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A755C" w:rsidR="00FA755C">
        <w:tc>
          <w:tcPr>
            <w:tcW w:type="dxa" w:w="2985"/>
            <w:hideMark/>
          </w:tcPr>
          <w:p w:rsidRDefault="00FA755C" w:rsidP="00FA755C" w:rsidR="00FA755C">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A755C" w:rsidP="00FA755C" w:rsidR="00FA755C">
            <w:pPr>
              <w:spacing w:after="0"/>
              <w:jc w:val="center"/>
            </w:pPr>
            <w:r>
              <w:t>Republika Hrvatska</w:t>
            </w:r>
          </w:p>
          <w:p w:rsidRDefault="00FA755C" w:rsidP="00FA755C" w:rsidR="00FA755C">
            <w:pPr>
              <w:spacing w:after="0"/>
              <w:jc w:val="center"/>
            </w:pPr>
            <w:r>
              <w:t>Trgovački sud u Varaždinu</w:t>
            </w:r>
          </w:p>
          <w:p w:rsidRDefault="00FA755C" w:rsidP="00FA755C" w:rsidR="00FA755C">
            <w:pPr>
              <w:spacing w:after="0"/>
              <w:jc w:val="center"/>
            </w:pPr>
            <w:r>
              <w:t>Varaždin, Braće Radić 2</w:t>
            </w:r>
          </w:p>
        </w:tc>
      </w:tr>
    </w:tbl>
    <w:p w14:textId="5621d0f" w14:paraId="5621d0f" w:rsidRDefault="00FA755C" w:rsidP="00FA755C" w:rsidR="00FA755C">
      <w:pPr>
        <w:spacing w:after="0"/>
        <w15:collapsed w:val="false"/>
        <w:rPr>
          <w:bCs/>
        </w:rPr>
      </w:pPr>
    </w:p>
    <w:p w:rsidRDefault="00FA755C" w:rsidP="00FA755C" w:rsidR="00FA755C">
      <w:pPr>
        <w:spacing w:after="0"/>
        <w:jc w:val="right"/>
      </w:pPr>
      <w:r>
        <w:t>Poslovni broj:  St-43/2015-47</w:t>
      </w:r>
    </w:p>
    <w:p w:rsidRDefault="00FA755C" w:rsidP="00FA755C" w:rsidR="00FA755C">
      <w:pPr>
        <w:spacing w:after="0"/>
        <w:jc w:val="right"/>
      </w:pPr>
    </w:p>
    <w:p w:rsidRDefault="00FA755C" w:rsidP="00FA755C" w:rsidR="00FA755C">
      <w:pPr>
        <w:spacing w:after="0"/>
      </w:pPr>
    </w:p>
    <w:p w:rsidRDefault="00FA755C" w:rsidP="00FA755C" w:rsidR="00FA755C">
      <w:pPr>
        <w:spacing w:after="0"/>
      </w:pPr>
    </w:p>
    <w:p w:rsidRDefault="00FA755C" w:rsidP="00FA755C" w:rsidR="00FA755C">
      <w:pPr>
        <w:spacing w:after="0"/>
        <w:jc w:val="center"/>
      </w:pPr>
      <w:r>
        <w:t>R E P U B L I K A   H R V A T S K A</w:t>
      </w:r>
    </w:p>
    <w:p w:rsidRDefault="00FA755C" w:rsidP="00FA755C" w:rsidR="00FA755C">
      <w:pPr>
        <w:spacing w:after="0"/>
        <w:jc w:val="center"/>
      </w:pPr>
    </w:p>
    <w:p w:rsidRDefault="00FA755C" w:rsidP="00FA755C" w:rsidR="00FA755C">
      <w:pPr>
        <w:spacing w:after="0"/>
        <w:jc w:val="center"/>
      </w:pPr>
      <w:r>
        <w:t>R J E Š E N J E</w:t>
      </w:r>
    </w:p>
    <w:p w:rsidRDefault="00FA755C" w:rsidP="00FA755C" w:rsidR="00FA755C">
      <w:pPr>
        <w:spacing w:after="0"/>
      </w:pPr>
    </w:p>
    <w:p w:rsidRDefault="00FA755C" w:rsidP="00FA755C" w:rsidR="00FA755C">
      <w:pPr>
        <w:spacing w:after="0"/>
      </w:pPr>
    </w:p>
    <w:p w:rsidRDefault="00FA755C" w:rsidP="00FA755C" w:rsidR="00FA755C">
      <w:pPr>
        <w:spacing w:after="0"/>
        <w:jc w:val="both"/>
      </w:pPr>
      <w:r>
        <w:tab/>
        <w:t>Trgovački sud u Varaždinu, po sucu toga suda Jasni Lekić, u stečajnom postupku nad stečajnim dužnikom IZOLIT d.o.o. u stečaju, Draškovec, Kralja Zvonimira 5, MBS: 070005839, OIB: 98400093746, nakon održanog naknadnog ispitnog ročišta dana 15. ožujka 2017. godine,</w:t>
      </w:r>
    </w:p>
    <w:p w:rsidRDefault="00FA755C" w:rsidP="00FA755C" w:rsidR="00FA755C">
      <w:pPr>
        <w:spacing w:after="0"/>
        <w:jc w:val="both"/>
      </w:pPr>
    </w:p>
    <w:p w:rsidRDefault="00FA755C" w:rsidP="00FA755C" w:rsidR="00FA755C">
      <w:pPr>
        <w:spacing w:after="0"/>
        <w:jc w:val="both"/>
      </w:pPr>
    </w:p>
    <w:p w:rsidRDefault="00FA755C" w:rsidP="00FA755C" w:rsidR="00FA755C">
      <w:pPr>
        <w:spacing w:after="0"/>
        <w:jc w:val="center"/>
      </w:pPr>
      <w:r>
        <w:t>r i j e š i o   j e</w:t>
      </w:r>
    </w:p>
    <w:p w:rsidRDefault="00FA755C" w:rsidP="00FA755C" w:rsidR="00FA755C">
      <w:pPr>
        <w:spacing w:after="0"/>
        <w:jc w:val="center"/>
      </w:pPr>
    </w:p>
    <w:p w:rsidRDefault="00FA755C" w:rsidP="00FA755C" w:rsidR="00FA755C">
      <w:pPr>
        <w:spacing w:after="0"/>
        <w:ind w:left="705"/>
        <w:jc w:val="both"/>
      </w:pPr>
      <w:r>
        <w:t>I/ Utvrđuju se osnovanim slijedeće tražbine:</w:t>
      </w:r>
    </w:p>
    <w:p w:rsidRDefault="00FA755C" w:rsidP="00FA755C" w:rsidR="00FA755C">
      <w:pPr>
        <w:spacing w:after="0"/>
        <w:jc w:val="both"/>
        <w:rPr>
          <w:b/>
        </w:rPr>
      </w:pPr>
    </w:p>
    <w:p w:rsidRDefault="00FA755C" w:rsidP="00FA755C" w:rsidR="00FA755C">
      <w:pPr>
        <w:spacing w:lineRule="auto" w:line="288" w:after="0"/>
      </w:pPr>
      <w:r>
        <w:rPr>
          <w:u w:val="single"/>
        </w:rPr>
        <w:t xml:space="preserve">II VIŠI ISPLATNI RED </w:t>
      </w:r>
    </w:p>
    <w:p w:rsidRDefault="00FA755C" w:rsidP="00FA755C" w:rsidR="00FA755C">
      <w:pPr>
        <w:spacing w:lineRule="auto" w:line="288" w:after="0"/>
      </w:pPr>
    </w:p>
    <w:tbl>
      <w:tblPr>
        <w:tblW w:type="dxa" w:w="8400"/>
        <w:jc w:val="center"/>
        <w:tblInd w:type="dxa" w:w="-26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062"/>
        <w:gridCol w:w="1916"/>
        <w:gridCol w:w="1492"/>
        <w:gridCol w:w="1485"/>
        <w:gridCol w:w="1445"/>
      </w:tblGrid>
      <w:tr w:rsidTr="00FA755C" w:rsidR="00FA755C">
        <w:trPr>
          <w:trHeight w:val="1134"/>
          <w:jc w:val="center"/>
        </w:trPr>
        <w:tc>
          <w:tcPr>
            <w:tcW w:type="dxa" w:w="2061"/>
            <w:tcBorders>
              <w:top w:space="0" w:sz="4" w:color="auto" w:val="single"/>
              <w:left w:space="0" w:sz="4" w:color="auto" w:val="single"/>
              <w:bottom w:space="0" w:sz="4" w:color="auto" w:val="single"/>
              <w:right w:space="0" w:sz="4" w:color="auto" w:val="single"/>
            </w:tcBorders>
            <w:noWrap/>
          </w:tcPr>
          <w:p w:rsidRDefault="00FA755C" w:rsidP="00FA755C" w:rsidR="00FA755C">
            <w:pPr>
              <w:spacing w:lineRule="auto" w:line="288" w:after="0"/>
              <w:jc w:val="center"/>
              <w:rPr>
                <w:rFonts w:eastAsia="Calibri"/>
                <w:bCs/>
              </w:rPr>
            </w:pPr>
          </w:p>
          <w:p w:rsidRDefault="00FA755C" w:rsidP="00FA755C" w:rsidR="00FA755C">
            <w:pPr>
              <w:spacing w:lineRule="auto" w:line="288" w:after="0"/>
              <w:jc w:val="center"/>
              <w:rPr>
                <w:rFonts w:eastAsia="Calibri"/>
                <w:bCs/>
              </w:rPr>
            </w:pPr>
            <w:r>
              <w:rPr>
                <w:rFonts w:eastAsia="Calibri"/>
                <w:bCs/>
                <w:sz w:val="22"/>
                <w:szCs w:val="22"/>
              </w:rPr>
              <w:t>Naziv i adresa vjerovnika</w:t>
            </w:r>
          </w:p>
        </w:tc>
        <w:tc>
          <w:tcPr>
            <w:tcW w:type="dxa" w:w="1915"/>
            <w:tcBorders>
              <w:top w:space="0" w:sz="4" w:color="auto" w:val="single"/>
              <w:left w:space="0" w:sz="4" w:color="auto" w:val="single"/>
              <w:bottom w:space="0" w:sz="4" w:color="auto" w:val="single"/>
              <w:right w:space="0" w:sz="4" w:color="auto" w:val="single"/>
            </w:tcBorders>
          </w:tcPr>
          <w:p w:rsidRDefault="00FA755C" w:rsidP="00FA755C" w:rsidR="00FA755C">
            <w:pPr>
              <w:spacing w:lineRule="auto" w:line="288" w:after="0"/>
              <w:jc w:val="center"/>
              <w:rPr>
                <w:rFonts w:eastAsia="Calibri"/>
                <w:bCs/>
              </w:rPr>
            </w:pPr>
          </w:p>
          <w:p w:rsidRDefault="00FA755C" w:rsidP="00FA755C" w:rsidR="00FA755C">
            <w:pPr>
              <w:spacing w:lineRule="auto" w:line="288" w:after="0"/>
              <w:jc w:val="center"/>
              <w:rPr>
                <w:rFonts w:eastAsia="Calibri"/>
                <w:bCs/>
              </w:rPr>
            </w:pPr>
            <w:r>
              <w:rPr>
                <w:rFonts w:eastAsia="Calibri"/>
                <w:bCs/>
                <w:sz w:val="22"/>
                <w:szCs w:val="22"/>
              </w:rPr>
              <w:t>Osnov</w:t>
            </w:r>
            <w:r>
              <w:rPr>
                <w:rFonts w:eastAsia="Calibri"/>
                <w:bCs/>
                <w:sz w:val="22"/>
                <w:szCs w:val="22"/>
              </w:rPr>
              <w:br/>
              <w:t>tražbine</w:t>
            </w:r>
          </w:p>
        </w:tc>
        <w:tc>
          <w:tcPr>
            <w:tcW w:type="dxa" w:w="1492"/>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jc w:val="center"/>
              <w:rPr>
                <w:rFonts w:eastAsia="Calibri"/>
                <w:bCs/>
              </w:rPr>
            </w:pPr>
            <w:r>
              <w:rPr>
                <w:rFonts w:eastAsia="Calibri"/>
                <w:bCs/>
                <w:sz w:val="22"/>
                <w:szCs w:val="22"/>
              </w:rPr>
              <w:t xml:space="preserve">Iznos </w:t>
            </w:r>
            <w:r>
              <w:rPr>
                <w:rFonts w:eastAsia="Calibri"/>
                <w:bCs/>
                <w:sz w:val="22"/>
                <w:szCs w:val="22"/>
              </w:rPr>
              <w:br/>
              <w:t>prijavljene                                                                                                                                                                                    tražbine/KN</w:t>
            </w:r>
          </w:p>
        </w:tc>
        <w:tc>
          <w:tcPr>
            <w:tcW w:type="dxa" w:w="1485"/>
            <w:tcBorders>
              <w:top w:space="0" w:sz="4" w:color="auto" w:val="single"/>
              <w:left w:space="0" w:sz="4" w:color="auto" w:val="single"/>
              <w:bottom w:space="0" w:sz="4" w:color="auto" w:val="single"/>
              <w:right w:space="0" w:sz="4" w:color="auto" w:val="single"/>
            </w:tcBorders>
          </w:tcPr>
          <w:p w:rsidRDefault="00FA755C" w:rsidP="00FA755C" w:rsidR="00FA755C">
            <w:pPr>
              <w:spacing w:lineRule="auto" w:line="288" w:after="0"/>
              <w:jc w:val="center"/>
              <w:rPr>
                <w:rFonts w:eastAsia="Calibri"/>
                <w:bCs/>
              </w:rPr>
            </w:pPr>
          </w:p>
          <w:p w:rsidRDefault="00FA755C" w:rsidP="00FA755C" w:rsidR="00FA755C">
            <w:pPr>
              <w:spacing w:lineRule="auto" w:line="288" w:after="0"/>
              <w:jc w:val="center"/>
              <w:rPr>
                <w:rFonts w:eastAsia="Calibri"/>
                <w:bCs/>
              </w:rPr>
            </w:pPr>
            <w:r>
              <w:rPr>
                <w:rFonts w:eastAsia="Calibri"/>
                <w:bCs/>
                <w:sz w:val="22"/>
                <w:szCs w:val="22"/>
              </w:rPr>
              <w:t>Iznos priznate tražbine/KN</w:t>
            </w:r>
          </w:p>
        </w:tc>
        <w:tc>
          <w:tcPr>
            <w:tcW w:type="dxa" w:w="1445"/>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jc w:val="center"/>
              <w:rPr>
                <w:rFonts w:eastAsia="Calibri"/>
                <w:bCs/>
              </w:rPr>
            </w:pPr>
            <w:r>
              <w:rPr>
                <w:rFonts w:eastAsia="Calibri"/>
                <w:bCs/>
                <w:sz w:val="22"/>
                <w:szCs w:val="22"/>
              </w:rPr>
              <w:t>Iznos osporene tražbine/KN</w:t>
            </w:r>
          </w:p>
        </w:tc>
      </w:tr>
      <w:tr w:rsidTr="00FA755C" w:rsidR="00FA755C">
        <w:trPr>
          <w:trHeight w:val="1134"/>
          <w:jc w:val="center"/>
        </w:trPr>
        <w:tc>
          <w:tcPr>
            <w:tcW w:type="dxa" w:w="2061"/>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rPr>
                <w:rFonts w:eastAsia="Calibri"/>
              </w:rPr>
            </w:pPr>
            <w:r>
              <w:rPr>
                <w:rFonts w:eastAsia="Calibri"/>
                <w:sz w:val="22"/>
                <w:szCs w:val="22"/>
              </w:rPr>
              <w:t>SMJELI d.o.o., Dugopolje bb, 21204 Dugopolje, OIB: 44985079850</w:t>
            </w:r>
          </w:p>
        </w:tc>
        <w:tc>
          <w:tcPr>
            <w:tcW w:type="dxa" w:w="1915"/>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rPr>
                <w:rFonts w:eastAsia="Calibri"/>
              </w:rPr>
            </w:pPr>
            <w:r>
              <w:rPr>
                <w:rFonts w:eastAsia="Calibri"/>
                <w:sz w:val="22"/>
                <w:szCs w:val="22"/>
              </w:rPr>
              <w:t>Izvod otvorenih stavaka za predujam, Pravomoćna i ovršna Presuda br. Povrv-216/15-15 od 18.05.2016. godine, kamata</w:t>
            </w:r>
          </w:p>
        </w:tc>
        <w:tc>
          <w:tcPr>
            <w:tcW w:type="dxa" w:w="1492"/>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68.509,11</w:t>
            </w:r>
          </w:p>
        </w:tc>
        <w:tc>
          <w:tcPr>
            <w:tcW w:type="dxa" w:w="1485"/>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68.509,11</w:t>
            </w:r>
          </w:p>
        </w:tc>
        <w:tc>
          <w:tcPr>
            <w:tcW w:type="dxa" w:w="1445"/>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0,00</w:t>
            </w:r>
          </w:p>
        </w:tc>
      </w:tr>
      <w:tr w:rsidTr="00FA755C" w:rsidR="00FA755C">
        <w:trPr>
          <w:trHeight w:val="690"/>
          <w:jc w:val="center"/>
        </w:trPr>
        <w:tc>
          <w:tcPr>
            <w:tcW w:type="dxa" w:w="2061"/>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rPr>
                <w:rFonts w:eastAsia="Calibri"/>
              </w:rPr>
            </w:pPr>
            <w:r>
              <w:rPr>
                <w:rFonts w:eastAsia="Calibri"/>
                <w:sz w:val="22"/>
                <w:szCs w:val="22"/>
              </w:rPr>
              <w:t>"DM SERVIS" , vl. Dragutin Završki i Mario Kroflin, Veliki Komor 1A, 49251 Mače, OIB: 63244994573</w:t>
            </w:r>
          </w:p>
        </w:tc>
        <w:tc>
          <w:tcPr>
            <w:tcW w:type="dxa" w:w="1915"/>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rPr>
                <w:rFonts w:eastAsia="Calibri"/>
              </w:rPr>
            </w:pPr>
            <w:r>
              <w:rPr>
                <w:rFonts w:eastAsia="Calibri"/>
                <w:sz w:val="22"/>
                <w:szCs w:val="22"/>
              </w:rPr>
              <w:t xml:space="preserve">Izvod iz poslovnih knjiga, račun </w:t>
            </w:r>
          </w:p>
        </w:tc>
        <w:tc>
          <w:tcPr>
            <w:tcW w:type="dxa" w:w="1492"/>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19.201,20</w:t>
            </w:r>
          </w:p>
        </w:tc>
        <w:tc>
          <w:tcPr>
            <w:tcW w:type="dxa" w:w="1485"/>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19.201,20</w:t>
            </w:r>
          </w:p>
        </w:tc>
        <w:tc>
          <w:tcPr>
            <w:tcW w:type="dxa" w:w="1445"/>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0,00</w:t>
            </w:r>
          </w:p>
        </w:tc>
      </w:tr>
      <w:tr w:rsidTr="00FA755C" w:rsidR="00FA755C">
        <w:trPr>
          <w:trHeight w:val="693"/>
          <w:jc w:val="center"/>
        </w:trPr>
        <w:tc>
          <w:tcPr>
            <w:tcW w:type="dxa" w:w="2061"/>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rPr>
                <w:rFonts w:eastAsia="Calibri"/>
              </w:rPr>
            </w:pPr>
            <w:r>
              <w:rPr>
                <w:rFonts w:eastAsia="Calibri"/>
                <w:sz w:val="22"/>
                <w:szCs w:val="22"/>
              </w:rPr>
              <w:lastRenderedPageBreak/>
              <w:t>IZOFORMA-PANELI d.o.o., Rupa 71/b, Rupa, 51214 Šapjane, OIB:78003730312</w:t>
            </w:r>
          </w:p>
        </w:tc>
        <w:tc>
          <w:tcPr>
            <w:tcW w:type="dxa" w:w="1915"/>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rPr>
                <w:rFonts w:eastAsia="Calibri"/>
              </w:rPr>
            </w:pPr>
            <w:r>
              <w:rPr>
                <w:rFonts w:eastAsia="Calibri"/>
                <w:sz w:val="22"/>
                <w:szCs w:val="22"/>
              </w:rPr>
              <w:t>Neplaćeni računi iz Rješenja o odobravanju predstečajne nagodbe, kamata</w:t>
            </w:r>
          </w:p>
        </w:tc>
        <w:tc>
          <w:tcPr>
            <w:tcW w:type="dxa" w:w="1492"/>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55.971,99</w:t>
            </w:r>
          </w:p>
        </w:tc>
        <w:tc>
          <w:tcPr>
            <w:tcW w:type="dxa" w:w="1485"/>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27.622,53</w:t>
            </w:r>
          </w:p>
        </w:tc>
        <w:tc>
          <w:tcPr>
            <w:tcW w:type="dxa" w:w="1445"/>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28.349,46</w:t>
            </w:r>
          </w:p>
        </w:tc>
      </w:tr>
      <w:tr w:rsidTr="00FA755C" w:rsidR="00FA755C">
        <w:trPr>
          <w:trHeight w:val="690"/>
          <w:jc w:val="center"/>
        </w:trPr>
        <w:tc>
          <w:tcPr>
            <w:tcW w:type="dxa" w:w="2061"/>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rPr>
                <w:rFonts w:eastAsia="Calibri"/>
              </w:rPr>
            </w:pPr>
            <w:r>
              <w:rPr>
                <w:rFonts w:eastAsia="Calibri"/>
                <w:sz w:val="22"/>
                <w:szCs w:val="22"/>
              </w:rPr>
              <w:t>RH, MINISTARSTVO FINANCIJA, Porezna uprava, Područni ured sjeverna Hrvatska, OIB:52634238587</w:t>
            </w:r>
          </w:p>
        </w:tc>
        <w:tc>
          <w:tcPr>
            <w:tcW w:type="dxa" w:w="1915"/>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rPr>
                <w:rFonts w:eastAsia="Calibri"/>
              </w:rPr>
            </w:pPr>
            <w:r>
              <w:rPr>
                <w:rFonts w:eastAsia="Calibri"/>
                <w:sz w:val="22"/>
                <w:szCs w:val="22"/>
              </w:rPr>
              <w:t>Porez PDV utvrđen po Zapisniku, očitovanje vezano uz uvjetnu tražbinu priznatu na I. ispitnom ročištu, Porezno Rješenje, kamata</w:t>
            </w:r>
          </w:p>
        </w:tc>
        <w:tc>
          <w:tcPr>
            <w:tcW w:type="dxa" w:w="1492"/>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260.153,13</w:t>
            </w:r>
          </w:p>
        </w:tc>
        <w:tc>
          <w:tcPr>
            <w:tcW w:type="dxa" w:w="1485"/>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260.153,13</w:t>
            </w:r>
          </w:p>
        </w:tc>
        <w:tc>
          <w:tcPr>
            <w:tcW w:type="dxa" w:w="1445"/>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0,00</w:t>
            </w:r>
          </w:p>
        </w:tc>
      </w:tr>
      <w:tr w:rsidTr="00FA755C" w:rsidR="00FA755C">
        <w:trPr>
          <w:trHeight w:val="690"/>
          <w:jc w:val="center"/>
        </w:trPr>
        <w:tc>
          <w:tcPr>
            <w:tcW w:type="dxa" w:w="2061"/>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rPr>
                <w:rFonts w:eastAsia="Calibri"/>
              </w:rPr>
            </w:pPr>
            <w:r>
              <w:rPr>
                <w:rFonts w:eastAsia="Calibri"/>
                <w:sz w:val="22"/>
                <w:szCs w:val="22"/>
              </w:rPr>
              <w:t>VENTUS biro 64  d.o.o., Ilica 64/III, 10000 Zagreb, OIB: 92724088676</w:t>
            </w:r>
          </w:p>
        </w:tc>
        <w:tc>
          <w:tcPr>
            <w:tcW w:type="dxa" w:w="1915"/>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rPr>
                <w:rFonts w:eastAsia="Calibri"/>
              </w:rPr>
            </w:pPr>
            <w:r>
              <w:rPr>
                <w:rFonts w:eastAsia="Calibri"/>
                <w:sz w:val="22"/>
                <w:szCs w:val="22"/>
              </w:rPr>
              <w:t>Izvod potraživanja od kupaca</w:t>
            </w:r>
          </w:p>
        </w:tc>
        <w:tc>
          <w:tcPr>
            <w:tcW w:type="dxa" w:w="1492"/>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80.919,16</w:t>
            </w:r>
          </w:p>
        </w:tc>
        <w:tc>
          <w:tcPr>
            <w:tcW w:type="dxa" w:w="1485"/>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70.919,16</w:t>
            </w:r>
          </w:p>
        </w:tc>
        <w:tc>
          <w:tcPr>
            <w:tcW w:type="dxa" w:w="1445"/>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10.000,00</w:t>
            </w:r>
          </w:p>
        </w:tc>
      </w:tr>
      <w:tr w:rsidTr="00FA755C" w:rsidR="00FA755C">
        <w:trPr>
          <w:trHeight w:val="690"/>
          <w:jc w:val="center"/>
        </w:trPr>
        <w:tc>
          <w:tcPr>
            <w:tcW w:type="dxa" w:w="2061"/>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rPr>
                <w:rFonts w:eastAsia="Calibri"/>
              </w:rPr>
            </w:pPr>
            <w:r>
              <w:rPr>
                <w:rFonts w:eastAsia="Calibri"/>
                <w:sz w:val="22"/>
                <w:szCs w:val="22"/>
              </w:rPr>
              <w:t>RAIFFEISENBANK AUSTRIA d.d., Petrinjska 59, 10000 Zagreb, OIB: 53056966535</w:t>
            </w:r>
          </w:p>
        </w:tc>
        <w:tc>
          <w:tcPr>
            <w:tcW w:type="dxa" w:w="1915"/>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rPr>
                <w:rFonts w:eastAsia="Calibri"/>
              </w:rPr>
            </w:pPr>
            <w:r>
              <w:rPr>
                <w:rFonts w:eastAsia="Calibri"/>
                <w:sz w:val="22"/>
                <w:szCs w:val="22"/>
              </w:rPr>
              <w:t>Podnesak za kamate i obračun kamata</w:t>
            </w:r>
          </w:p>
        </w:tc>
        <w:tc>
          <w:tcPr>
            <w:tcW w:type="dxa" w:w="1492"/>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108.178,78</w:t>
            </w:r>
          </w:p>
        </w:tc>
        <w:tc>
          <w:tcPr>
            <w:tcW w:type="dxa" w:w="1485"/>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0,00</w:t>
            </w:r>
          </w:p>
        </w:tc>
        <w:tc>
          <w:tcPr>
            <w:tcW w:type="dxa" w:w="1445"/>
            <w:tcBorders>
              <w:top w:space="0" w:sz="4" w:color="auto" w:val="single"/>
              <w:left w:space="0" w:sz="4" w:color="auto" w:val="single"/>
              <w:bottom w:space="0" w:sz="4" w:color="auto" w:val="single"/>
              <w:right w:space="0" w:sz="4" w:color="auto" w:val="single"/>
            </w:tcBorders>
            <w:noWrap/>
            <w:vAlign w:val="center"/>
            <w:hideMark/>
          </w:tcPr>
          <w:p w:rsidRDefault="00FA755C" w:rsidP="00FA755C" w:rsidR="00FA755C">
            <w:pPr>
              <w:spacing w:lineRule="auto" w:line="288" w:after="0"/>
              <w:jc w:val="right"/>
              <w:rPr>
                <w:rFonts w:eastAsia="Calibri"/>
              </w:rPr>
            </w:pPr>
            <w:r>
              <w:rPr>
                <w:rFonts w:eastAsia="Calibri"/>
                <w:sz w:val="22"/>
                <w:szCs w:val="22"/>
              </w:rPr>
              <w:t>108.178,78</w:t>
            </w:r>
          </w:p>
        </w:tc>
      </w:tr>
      <w:tr w:rsidTr="00FA755C" w:rsidR="00FA755C">
        <w:trPr>
          <w:trHeight w:val="622"/>
          <w:jc w:val="center"/>
        </w:trPr>
        <w:tc>
          <w:tcPr>
            <w:tcW w:type="dxa" w:w="2061"/>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rPr>
                <w:rFonts w:eastAsia="Calibri"/>
                <w:bCs/>
              </w:rPr>
            </w:pPr>
            <w:r>
              <w:rPr>
                <w:rFonts w:eastAsia="Calibri"/>
                <w:bCs/>
                <w:sz w:val="22"/>
                <w:szCs w:val="22"/>
              </w:rPr>
              <w:t xml:space="preserve">PRIJAVLJENE TRAŽBINE  II VIŠI ISPLATNI RED </w:t>
            </w:r>
          </w:p>
        </w:tc>
        <w:tc>
          <w:tcPr>
            <w:tcW w:type="dxa" w:w="1915"/>
            <w:tcBorders>
              <w:top w:space="0" w:sz="4" w:color="auto" w:val="single"/>
              <w:left w:space="0" w:sz="4" w:color="auto" w:val="single"/>
              <w:bottom w:space="0" w:sz="4" w:color="auto" w:val="single"/>
              <w:right w:space="0" w:sz="4" w:color="auto" w:val="single"/>
            </w:tcBorders>
            <w:hideMark/>
          </w:tcPr>
          <w:p w:rsidRDefault="00FA755C" w:rsidP="00FA755C" w:rsidR="00FA755C">
            <w:pPr>
              <w:spacing w:lineRule="auto" w:line="288" w:after="0"/>
              <w:rPr>
                <w:rFonts w:eastAsia="Calibri"/>
                <w:bCs/>
              </w:rPr>
            </w:pPr>
            <w:r>
              <w:rPr>
                <w:rFonts w:eastAsia="Calibri"/>
                <w:bCs/>
                <w:sz w:val="22"/>
                <w:szCs w:val="22"/>
              </w:rPr>
              <w:t> </w:t>
            </w:r>
          </w:p>
        </w:tc>
        <w:tc>
          <w:tcPr>
            <w:tcW w:type="dxa" w:w="1492"/>
            <w:tcBorders>
              <w:top w:space="0" w:sz="4" w:color="auto" w:val="single"/>
              <w:left w:space="0" w:sz="4" w:color="auto" w:val="single"/>
              <w:bottom w:space="0" w:sz="4" w:color="auto" w:val="single"/>
              <w:right w:space="0" w:sz="4" w:color="auto" w:val="single"/>
            </w:tcBorders>
            <w:noWrap/>
          </w:tcPr>
          <w:p w:rsidRDefault="00FA755C" w:rsidP="00FA755C" w:rsidR="00FA755C">
            <w:pPr>
              <w:spacing w:lineRule="auto" w:line="288" w:after="0"/>
              <w:jc w:val="right"/>
              <w:rPr>
                <w:rFonts w:eastAsia="Calibri"/>
                <w:bCs/>
              </w:rPr>
            </w:pPr>
          </w:p>
          <w:p w:rsidRDefault="00FA755C" w:rsidP="00FA755C" w:rsidR="00FA755C">
            <w:pPr>
              <w:spacing w:lineRule="auto" w:line="288" w:after="0"/>
              <w:jc w:val="right"/>
              <w:rPr>
                <w:rFonts w:eastAsia="Calibri"/>
                <w:bCs/>
              </w:rPr>
            </w:pPr>
            <w:r>
              <w:rPr>
                <w:rFonts w:eastAsia="Calibri"/>
                <w:bCs/>
                <w:sz w:val="22"/>
                <w:szCs w:val="22"/>
              </w:rPr>
              <w:fldChar w:fldCharType="begin"/>
            </w:r>
            <w:r>
              <w:rPr>
                <w:rFonts w:eastAsia="Calibri"/>
                <w:bCs/>
                <w:sz w:val="22"/>
                <w:szCs w:val="22"/>
              </w:rPr>
              <w:instrText xml:space="preserve"> =SUM(ABOVE) </w:instrText>
            </w:r>
            <w:r>
              <w:rPr>
                <w:rFonts w:eastAsia="Calibri"/>
                <w:bCs/>
                <w:sz w:val="22"/>
                <w:szCs w:val="22"/>
              </w:rPr>
              <w:fldChar w:fldCharType="separate"/>
            </w:r>
            <w:r>
              <w:rPr>
                <w:rFonts w:eastAsia="Calibri"/>
                <w:bCs/>
                <w:noProof/>
                <w:sz w:val="22"/>
                <w:szCs w:val="22"/>
              </w:rPr>
              <w:t>592.933,37</w:t>
            </w:r>
            <w:r>
              <w:rPr>
                <w:rFonts w:eastAsia="Calibri"/>
                <w:bCs/>
                <w:sz w:val="22"/>
                <w:szCs w:val="22"/>
              </w:rPr>
              <w:fldChar w:fldCharType="end"/>
            </w:r>
          </w:p>
        </w:tc>
        <w:tc>
          <w:tcPr>
            <w:tcW w:type="dxa" w:w="1485"/>
            <w:tcBorders>
              <w:top w:space="0" w:sz="4" w:color="auto" w:val="single"/>
              <w:left w:space="0" w:sz="4" w:color="auto" w:val="single"/>
              <w:bottom w:space="0" w:sz="4" w:color="auto" w:val="single"/>
              <w:right w:space="0" w:sz="4" w:color="auto" w:val="single"/>
            </w:tcBorders>
            <w:noWrap/>
          </w:tcPr>
          <w:p w:rsidRDefault="00FA755C" w:rsidP="00FA755C" w:rsidR="00FA755C">
            <w:pPr>
              <w:spacing w:lineRule="auto" w:line="288" w:after="0"/>
              <w:jc w:val="right"/>
              <w:rPr>
                <w:rFonts w:eastAsia="Calibri"/>
                <w:bCs/>
              </w:rPr>
            </w:pPr>
          </w:p>
          <w:p w:rsidRDefault="00FA755C" w:rsidP="00FA755C" w:rsidR="00FA755C">
            <w:pPr>
              <w:spacing w:lineRule="auto" w:line="288" w:after="0"/>
              <w:jc w:val="right"/>
              <w:rPr>
                <w:rFonts w:eastAsia="Calibri"/>
                <w:bCs/>
              </w:rPr>
            </w:pPr>
            <w:r>
              <w:rPr>
                <w:rFonts w:eastAsia="Calibri"/>
                <w:bCs/>
                <w:sz w:val="22"/>
                <w:szCs w:val="22"/>
              </w:rPr>
              <w:fldChar w:fldCharType="begin"/>
            </w:r>
            <w:r>
              <w:rPr>
                <w:rFonts w:eastAsia="Calibri"/>
                <w:bCs/>
                <w:sz w:val="22"/>
                <w:szCs w:val="22"/>
              </w:rPr>
              <w:instrText xml:space="preserve"> =SUM(ABOVE) </w:instrText>
            </w:r>
            <w:r>
              <w:rPr>
                <w:rFonts w:eastAsia="Calibri"/>
                <w:bCs/>
                <w:sz w:val="22"/>
                <w:szCs w:val="22"/>
              </w:rPr>
              <w:fldChar w:fldCharType="separate"/>
            </w:r>
            <w:r>
              <w:rPr>
                <w:rFonts w:eastAsia="Calibri"/>
                <w:bCs/>
                <w:noProof/>
                <w:sz w:val="22"/>
                <w:szCs w:val="22"/>
              </w:rPr>
              <w:t>446.405,13</w:t>
            </w:r>
            <w:r>
              <w:rPr>
                <w:rFonts w:eastAsia="Calibri"/>
                <w:bCs/>
                <w:sz w:val="22"/>
                <w:szCs w:val="22"/>
              </w:rPr>
              <w:fldChar w:fldCharType="end"/>
            </w:r>
          </w:p>
        </w:tc>
        <w:tc>
          <w:tcPr>
            <w:tcW w:type="dxa" w:w="1445"/>
            <w:tcBorders>
              <w:top w:space="0" w:sz="4" w:color="auto" w:val="single"/>
              <w:left w:space="0" w:sz="4" w:color="auto" w:val="single"/>
              <w:bottom w:space="0" w:sz="4" w:color="auto" w:val="single"/>
              <w:right w:space="0" w:sz="4" w:color="auto" w:val="single"/>
            </w:tcBorders>
            <w:noWrap/>
          </w:tcPr>
          <w:p w:rsidRDefault="00FA755C" w:rsidP="00FA755C" w:rsidR="00FA755C">
            <w:pPr>
              <w:spacing w:lineRule="auto" w:line="288" w:after="0"/>
              <w:jc w:val="right"/>
              <w:rPr>
                <w:rFonts w:eastAsia="Calibri"/>
                <w:bCs/>
              </w:rPr>
            </w:pPr>
          </w:p>
          <w:p w:rsidRDefault="00FA755C" w:rsidP="00FA755C" w:rsidR="00FA755C">
            <w:pPr>
              <w:spacing w:lineRule="auto" w:line="288" w:after="0"/>
              <w:jc w:val="right"/>
              <w:rPr>
                <w:rFonts w:eastAsia="Calibri"/>
                <w:bCs/>
              </w:rPr>
            </w:pPr>
            <w:r>
              <w:rPr>
                <w:rFonts w:eastAsia="Calibri"/>
                <w:bCs/>
                <w:sz w:val="22"/>
                <w:szCs w:val="22"/>
              </w:rPr>
              <w:fldChar w:fldCharType="begin"/>
            </w:r>
            <w:r>
              <w:rPr>
                <w:rFonts w:eastAsia="Calibri"/>
                <w:bCs/>
                <w:sz w:val="22"/>
                <w:szCs w:val="22"/>
              </w:rPr>
              <w:instrText xml:space="preserve"> =SUM(ABOVE) </w:instrText>
            </w:r>
            <w:r>
              <w:rPr>
                <w:rFonts w:eastAsia="Calibri"/>
                <w:bCs/>
                <w:sz w:val="22"/>
                <w:szCs w:val="22"/>
              </w:rPr>
              <w:fldChar w:fldCharType="separate"/>
            </w:r>
            <w:r>
              <w:rPr>
                <w:rFonts w:eastAsia="Calibri"/>
                <w:bCs/>
                <w:noProof/>
                <w:sz w:val="22"/>
                <w:szCs w:val="22"/>
              </w:rPr>
              <w:t>146.528,24</w:t>
            </w:r>
            <w:r>
              <w:rPr>
                <w:rFonts w:eastAsia="Calibri"/>
                <w:bCs/>
                <w:sz w:val="22"/>
                <w:szCs w:val="22"/>
              </w:rPr>
              <w:fldChar w:fldCharType="end"/>
            </w:r>
          </w:p>
        </w:tc>
      </w:tr>
    </w:tbl>
    <w:p w:rsidRDefault="00FA755C" w:rsidP="00FA755C" w:rsidR="00FA755C">
      <w:pPr>
        <w:spacing w:lineRule="auto" w:line="288" w:after="0"/>
      </w:pPr>
    </w:p>
    <w:p w:rsidRDefault="00FA755C" w:rsidP="00FA755C" w:rsidR="00FA755C">
      <w:pPr>
        <w:spacing w:lineRule="auto" w:line="288" w:after="0"/>
        <w:ind w:firstLine="708"/>
        <w:jc w:val="both"/>
      </w:pPr>
      <w:r>
        <w:t>II/</w:t>
      </w:r>
      <w:r>
        <w:rPr>
          <w:b/>
        </w:rPr>
        <w:t xml:space="preserve"> </w:t>
      </w:r>
      <w:r>
        <w:t>Vjerovnici čija je tražbina u cijelosti ili djelomično osporena upućuju se na pokretanje parničnog postupka radi utvrđivanja osnovanosti tražbine, odnosno na podnošenje prijedloga za nastavak parnice, u roku od 8 dana od dana primitka rješenja o upućivanju na parnicu. Ukoliko vjerovnici ne pokrenu parnicu ili ne podnesu prijedlog za nastavak parnice u roku od 8 dana od dana primitka rješenja o upućivanju na parnicu, smatrati će se da su odustali od prava na vođenje parnice. Žalba na ovo rješenje ne utječe na rok u kojem su vjerovnici upućeni na pokretanje parnice, odnosno podnošenje prijedloga za nastavak parnice.</w:t>
      </w:r>
    </w:p>
    <w:p w:rsidRDefault="00FA755C" w:rsidP="00FA755C" w:rsidR="00FA755C">
      <w:pPr>
        <w:spacing w:lineRule="auto" w:line="288" w:after="0"/>
        <w:jc w:val="both"/>
      </w:pPr>
    </w:p>
    <w:p w:rsidRDefault="00FA755C" w:rsidP="00FA755C" w:rsidR="00FA755C">
      <w:pPr>
        <w:spacing w:lineRule="auto" w:line="288" w:after="0"/>
        <w:jc w:val="both"/>
      </w:pPr>
    </w:p>
    <w:p w:rsidRDefault="00FA755C" w:rsidP="00FA755C" w:rsidR="00FA755C">
      <w:pPr>
        <w:spacing w:after="0"/>
        <w:jc w:val="center"/>
      </w:pPr>
      <w:r>
        <w:t>Obrazloženje</w:t>
      </w:r>
    </w:p>
    <w:p w:rsidRDefault="00FA755C" w:rsidP="00FA755C" w:rsidR="00FA755C">
      <w:pPr>
        <w:spacing w:after="0"/>
      </w:pPr>
    </w:p>
    <w:p w:rsidRDefault="00FA755C" w:rsidP="00FA755C" w:rsidR="00FA755C">
      <w:pPr>
        <w:spacing w:after="0"/>
        <w:ind w:firstLine="567"/>
        <w:jc w:val="both"/>
      </w:pPr>
      <w:r>
        <w:t>Na naknadnom ispitnom ročištu u ovom stečajnom postupku ispitane su tražbine u svom iznosu i redu. Na ispitnom ročištu tražbine je osporio stečajni upravitelj, a osporavanje nije otklonjeno.</w:t>
      </w:r>
    </w:p>
    <w:p w:rsidRDefault="00FA755C" w:rsidP="00FA755C" w:rsidR="00FA755C">
      <w:pPr>
        <w:spacing w:after="0"/>
        <w:ind w:firstLine="567"/>
        <w:jc w:val="both"/>
      </w:pPr>
    </w:p>
    <w:p w:rsidRDefault="00FA755C" w:rsidP="00FA755C" w:rsidR="00FA755C">
      <w:pPr>
        <w:spacing w:after="0"/>
        <w:ind w:firstLine="567"/>
        <w:jc w:val="both"/>
      </w:pPr>
      <w:r>
        <w:t xml:space="preserve">Stečajni upravitelj je naveo slijedeće razloge osporavanja: </w:t>
      </w:r>
    </w:p>
    <w:p w:rsidRDefault="00FA755C" w:rsidP="00FA755C" w:rsidR="00FA755C">
      <w:pPr>
        <w:spacing w:after="0"/>
        <w:ind w:firstLine="480"/>
        <w:jc w:val="both"/>
      </w:pPr>
      <w:r>
        <w:lastRenderedPageBreak/>
        <w:t xml:space="preserve"> Razlog osporavanja tražbine vjerovnika II višeg isplatnog reda IZOFORMA-PANELI d.o.o. Rupa koja je prijavljena u iznosu od 55.971,99 kn, a osporena u iznosu od 28.349,46 kn, je da je osporena tražbina u ukupnom iznosu od 11.591,24 kn s osnova glavnice, koja predstavlja više prijavljenu tražbinu u odnosu na onu koja je prijavljena u predstečajnoj nagodbi i u iznosu od 16.758,22 kn s osnova kamate koje nisu obračunate sukladno sklopljenoj predstečajnoj nagodbi, odnosno rješenju Trgovačkog suda u Varaždinu broj 2 Stpn-18/14-7 od 3.3.2014.</w:t>
      </w:r>
    </w:p>
    <w:p w:rsidRDefault="00FA755C" w:rsidP="00FA755C" w:rsidR="00FA755C">
      <w:pPr>
        <w:spacing w:after="0"/>
        <w:ind w:firstLine="480"/>
        <w:jc w:val="both"/>
      </w:pPr>
    </w:p>
    <w:p w:rsidRDefault="00FA755C" w:rsidP="00FA755C" w:rsidR="00FA755C">
      <w:pPr>
        <w:pStyle w:val="Odlomakpopisa"/>
        <w:widowControl w:val="false"/>
        <w:suppressAutoHyphens/>
        <w:autoSpaceDN w:val="false"/>
        <w:spacing w:lineRule="auto" w:line="288" w:after="0"/>
        <w:ind w:firstLine="480"/>
        <w:textAlignment w:val="baseline"/>
        <w:rPr>
          <w:rFonts w:eastAsia="SimSun"/>
          <w:kern w:val="3"/>
          <w:lang w:bidi="hi-IN" w:eastAsia="zh-CN"/>
        </w:rPr>
      </w:pPr>
      <w:r>
        <w:rPr>
          <w:rFonts w:eastAsia="SimSun"/>
          <w:kern w:val="3"/>
          <w:lang w:bidi="hi-IN" w:eastAsia="zh-CN" w:val="pl-PL"/>
        </w:rPr>
        <w:t xml:space="preserve">U odnosu na tražbinu vjerovnika </w:t>
      </w:r>
      <w:r>
        <w:rPr>
          <w:rFonts w:eastAsia="SimSun"/>
          <w:kern w:val="3"/>
          <w:lang w:bidi="hi-IN" w:eastAsia="zh-CN"/>
        </w:rPr>
        <w:t>VENTUS biro 64 d.o.o., Ilica 64/III, 10000 Zagreb, OIB: 92724088676, stečajni upravitelj navodi da je tražbina prijavljena u iznosu od 80.919,16 kn, ista je osporena u iznosu od 10.000,00 kn, prema podacima iz poslovnih knjiga stečajnog dužnika prije otvaranja stečajnog postupka, odnosno u poslovnim evidencijama ukupno dugovanje stečajnog dužnika prema navedenom vjerovniku iznosi 78.833,45 kn, a potraživanje stečajnog dužnika od vjerovnika iznosi 7.914,29 kn, te nakon što se izvrši prijeboj ukupno dugovanje iznosi 70.919,16 kn koji je i iznos priznat po stečajnom upravitelju (78.833,45-7.914,29).</w:t>
      </w:r>
    </w:p>
    <w:p w:rsidRDefault="00FA755C" w:rsidP="00FA755C" w:rsidR="00FA755C">
      <w:pPr>
        <w:pStyle w:val="Odlomakpopisa"/>
        <w:widowControl w:val="false"/>
        <w:suppressAutoHyphens/>
        <w:autoSpaceDN w:val="false"/>
        <w:spacing w:lineRule="auto" w:line="288" w:after="0"/>
        <w:ind w:firstLine="360"/>
        <w:textAlignment w:val="baseline"/>
        <w:rPr>
          <w:rFonts w:eastAsia="SimSun"/>
          <w:kern w:val="3"/>
          <w:lang w:bidi="hi-IN" w:eastAsia="zh-CN"/>
        </w:rPr>
      </w:pPr>
    </w:p>
    <w:p w:rsidRDefault="00FA755C" w:rsidP="00FA755C" w:rsidR="00FA755C">
      <w:pPr>
        <w:pStyle w:val="Odlomakpopisa"/>
        <w:widowControl w:val="false"/>
        <w:suppressAutoHyphens/>
        <w:autoSpaceDN w:val="false"/>
        <w:spacing w:lineRule="auto" w:line="288" w:after="0"/>
        <w:ind w:firstLine="480"/>
        <w:textAlignment w:val="baseline"/>
        <w:rPr>
          <w:rFonts w:eastAsia="SimSun"/>
          <w:kern w:val="3"/>
          <w:lang w:bidi="hi-IN" w:eastAsia="zh-CN"/>
        </w:rPr>
      </w:pPr>
      <w:r>
        <w:rPr>
          <w:rFonts w:eastAsia="SimSun"/>
          <w:kern w:val="3"/>
          <w:lang w:bidi="hi-IN" w:eastAsia="zh-CN" w:val="pl-PL"/>
        </w:rPr>
        <w:t xml:space="preserve">Prema obrazloženju razloga osporavanja stečajnog upravitelja u odnosu na tražbinu vjerovnika </w:t>
      </w:r>
      <w:r>
        <w:rPr>
          <w:rFonts w:eastAsia="SimSun"/>
          <w:kern w:val="3"/>
          <w:lang w:bidi="hi-IN" w:eastAsia="zh-CN"/>
        </w:rPr>
        <w:t xml:space="preserve">RAIFFEISENBANK AUSTRIA d.d., Petrinjska 59, 10000 Zagreb, OIB: 53056966535, tražbina je prijavljena u iznosu od 108.178,78 kn s osnova obračuna kamata, a osporena je jer se odnosi na kamate koje nisu obračunate u skladu sa sklopljenom predstečajnom nagodbom.  </w:t>
      </w:r>
    </w:p>
    <w:p w:rsidRDefault="00FA755C" w:rsidP="00FA755C" w:rsidR="00FA755C">
      <w:pPr>
        <w:pStyle w:val="Odlomakpopisa"/>
        <w:widowControl w:val="false"/>
        <w:suppressAutoHyphens/>
        <w:autoSpaceDN w:val="false"/>
        <w:spacing w:lineRule="auto" w:line="288" w:after="0"/>
        <w:ind w:firstLine="360"/>
        <w:textAlignment w:val="baseline"/>
        <w:rPr>
          <w:rFonts w:eastAsia="SimSun"/>
          <w:kern w:val="3"/>
          <w:lang w:bidi="hi-IN" w:eastAsia="zh-CN"/>
        </w:rPr>
      </w:pPr>
    </w:p>
    <w:p w:rsidRDefault="00FA755C" w:rsidP="00FA755C" w:rsidR="00FA755C">
      <w:pPr>
        <w:widowControl w:val="false"/>
        <w:suppressAutoHyphens/>
        <w:autoSpaceDN w:val="false"/>
        <w:spacing w:lineRule="auto" w:line="288" w:after="0"/>
        <w:ind w:firstLine="480"/>
        <w:jc w:val="both"/>
        <w:textAlignment w:val="baseline"/>
        <w:rPr>
          <w:rFonts w:eastAsia="SimSun"/>
          <w:kern w:val="3"/>
          <w:lang w:bidi="hi-IN" w:eastAsia="zh-CN"/>
        </w:rPr>
      </w:pPr>
      <w:r>
        <w:rPr>
          <w:rFonts w:eastAsia="SimSun"/>
          <w:kern w:val="3"/>
          <w:lang w:bidi="hi-IN" w:eastAsia="zh-CN"/>
        </w:rPr>
        <w:t>Stečajni upravitelj navodi da, vjerovnik RAIFFEISENBANK AUSTRIA d.d. je izvršio prijavu tražbine za I. ispitno ročište u ukupnom iznosu od 1.427.739,63 kn i to prema izvatku:  za glavnicu u iznosu od 1.284.028,63 kn, redovne kamate u iznosu od 117.430,49 kn, zatezne kamate u iznosu od 16.922,83 kn i troškova u iznosu od 9.357,68 kn.</w:t>
      </w:r>
    </w:p>
    <w:p w:rsidRDefault="00FA755C" w:rsidP="00FA755C" w:rsidR="00FA755C">
      <w:pPr>
        <w:widowControl w:val="false"/>
        <w:suppressAutoHyphens/>
        <w:autoSpaceDN w:val="false"/>
        <w:spacing w:lineRule="auto" w:line="288" w:after="0"/>
        <w:ind w:firstLine="480"/>
        <w:jc w:val="both"/>
        <w:textAlignment w:val="baseline"/>
        <w:rPr>
          <w:rFonts w:eastAsia="SimSun"/>
          <w:kern w:val="3"/>
          <w:lang w:bidi="hi-IN" w:eastAsia="zh-CN"/>
        </w:rPr>
      </w:pPr>
    </w:p>
    <w:p w:rsidRDefault="00FA755C" w:rsidP="00FA755C" w:rsidR="00FA755C">
      <w:pPr>
        <w:spacing w:after="0"/>
        <w:ind w:firstLine="480"/>
        <w:jc w:val="both"/>
        <w:rPr>
          <w:rFonts w:eastAsia="Times New Roman"/>
          <w:lang w:eastAsia="hr-HR"/>
        </w:rPr>
      </w:pPr>
      <w:r>
        <w:rPr>
          <w:rFonts w:eastAsia="SimSun"/>
          <w:kern w:val="3"/>
          <w:lang w:bidi="hi-IN" w:eastAsia="zh-CN"/>
        </w:rPr>
        <w:t>Navedena tražbina je priznata u iznosu od 1.319.560,85 kn,</w:t>
      </w:r>
      <w:r>
        <w:rPr>
          <w:rFonts w:eastAsia="SimSun"/>
          <w:b/>
          <w:kern w:val="3"/>
          <w:lang w:bidi="hi-IN" w:eastAsia="zh-CN"/>
        </w:rPr>
        <w:t xml:space="preserve"> </w:t>
      </w:r>
      <w:r>
        <w:rPr>
          <w:rFonts w:eastAsia="SimSun"/>
          <w:kern w:val="3"/>
          <w:lang w:bidi="hi-IN" w:eastAsia="zh-CN"/>
        </w:rPr>
        <w:t>a osporena u iznosu od 108.178,78 kn,</w:t>
      </w:r>
      <w:r>
        <w:rPr>
          <w:rFonts w:eastAsia="SimSun"/>
          <w:b/>
          <w:kern w:val="3"/>
          <w:lang w:bidi="hi-IN" w:eastAsia="zh-CN"/>
        </w:rPr>
        <w:t xml:space="preserve"> </w:t>
      </w:r>
      <w:r>
        <w:rPr>
          <w:rFonts w:eastAsia="SimSun"/>
          <w:kern w:val="3"/>
          <w:lang w:bidi="hi-IN" w:eastAsia="zh-CN"/>
        </w:rPr>
        <w:t xml:space="preserve"> jer kamate nisu bile obračunate sukladno sklopljenoj predstečajnoj nagodbi. Prema rješenju broj </w:t>
      </w:r>
      <w:r>
        <w:t xml:space="preserve">2 Stpn-18/14-7 od 3.3.2014. i predstečajnoj nagodbi predviđeno je </w:t>
      </w:r>
      <w:r>
        <w:rPr>
          <w:rFonts w:eastAsia="SimSun"/>
          <w:kern w:val="3"/>
          <w:lang w:bidi="hi-IN" w:eastAsia="zh-CN"/>
        </w:rPr>
        <w:t xml:space="preserve">namirenje 100% iznosa glavnice utvrđenih tražbina vjerovnika iz grupe financijskih institucija-kreditne institucije, dok se zatezne kamate otpisuju u 100% iznosu, a plaćanje glavnice je na rok od 7 godina s kamatom od 5% uz poček plaćanja glavnice i plaćanja kamate do 30.10.2014. godine i godišnju kamatnu stopu od 5% godišnje, te otplatu prvog mjesečnoga anuiteta 31.10.2014. godine, odnosno utvrđena glavnica po predstečajnoj nagodbi u iznosu od 1.284.183,16 kn otplata na 7 godina uz 5% kamate, mjesečne rate, 1. rata 31.10.2014. godine (str. 15 iz sklopljene nagodbe broj: 2 Stpn-18/14-6).  </w:t>
      </w:r>
    </w:p>
    <w:p w:rsidRDefault="00FA755C" w:rsidP="00FA755C" w:rsidR="00FA755C">
      <w:pPr>
        <w:widowControl w:val="false"/>
        <w:suppressAutoHyphens/>
        <w:autoSpaceDN w:val="false"/>
        <w:spacing w:lineRule="auto" w:line="288" w:after="0"/>
        <w:ind w:firstLine="480"/>
        <w:jc w:val="both"/>
        <w:textAlignment w:val="baseline"/>
        <w:rPr>
          <w:rFonts w:eastAsia="SimSun"/>
          <w:kern w:val="3"/>
          <w:lang w:bidi="hi-IN" w:eastAsia="zh-CN"/>
        </w:rPr>
      </w:pPr>
    </w:p>
    <w:p w:rsidRDefault="00FA755C" w:rsidP="00FA755C" w:rsidR="00FA755C">
      <w:pPr>
        <w:widowControl w:val="false"/>
        <w:suppressAutoHyphens/>
        <w:autoSpaceDN w:val="false"/>
        <w:spacing w:lineRule="auto" w:line="288" w:after="0"/>
        <w:ind w:firstLine="480"/>
        <w:jc w:val="both"/>
        <w:textAlignment w:val="baseline"/>
        <w:rPr>
          <w:rFonts w:eastAsia="SimSun"/>
          <w:kern w:val="3"/>
          <w:lang w:bidi="hi-IN" w:eastAsia="zh-CN"/>
        </w:rPr>
      </w:pPr>
      <w:r>
        <w:rPr>
          <w:rFonts w:eastAsia="SimSun"/>
          <w:kern w:val="3"/>
          <w:lang w:bidi="hi-IN" w:eastAsia="zh-CN"/>
        </w:rPr>
        <w:t xml:space="preserve">Za prijavljenu kamatu navedenog vjerovnika izvršen je reobračun kamate sukladno predstečajnoj nagodbi i na I. ispitnom ročištu tražbina je ispitana i priznata u ukupnom iznosu od 1.319.560,85 kn. Nakon prvog ispitnog ročišta vjerovnik je dostavio dopunu prijave  tražbine s osnove osporenih kamata u iznosu od 108.178,78 kn, koja je tražbina na posebnom ispitnom ročištu od strane stečajnog upravitelja ponovno osporena uz napomenu da kamate </w:t>
      </w:r>
      <w:r>
        <w:rPr>
          <w:rFonts w:eastAsia="SimSun"/>
          <w:kern w:val="3"/>
          <w:lang w:bidi="hi-IN" w:eastAsia="zh-CN"/>
        </w:rPr>
        <w:lastRenderedPageBreak/>
        <w:t xml:space="preserve">nisu obračunate sukladno sklopljenoj predstečanoj nagodbi, a kako je gore navedeno. </w:t>
      </w:r>
    </w:p>
    <w:p w:rsidRDefault="00FA755C" w:rsidP="00FA755C" w:rsidR="00FA755C">
      <w:pPr>
        <w:widowControl w:val="false"/>
        <w:suppressAutoHyphens/>
        <w:autoSpaceDN w:val="false"/>
        <w:spacing w:lineRule="auto" w:line="288" w:after="0"/>
        <w:ind w:firstLine="480"/>
        <w:jc w:val="both"/>
        <w:textAlignment w:val="baseline"/>
        <w:rPr>
          <w:rFonts w:eastAsia="SimSun"/>
          <w:kern w:val="3"/>
          <w:lang w:bidi="hi-IN" w:eastAsia="zh-CN"/>
        </w:rPr>
      </w:pPr>
    </w:p>
    <w:p w:rsidRDefault="00FA755C" w:rsidP="00FA755C" w:rsidR="00FA755C">
      <w:pPr>
        <w:widowControl w:val="false"/>
        <w:suppressAutoHyphens/>
        <w:autoSpaceDN w:val="false"/>
        <w:spacing w:lineRule="auto" w:line="288" w:after="0"/>
        <w:ind w:firstLine="480"/>
        <w:jc w:val="both"/>
        <w:textAlignment w:val="baseline"/>
        <w:rPr>
          <w:rFonts w:eastAsia="SimSun"/>
          <w:kern w:val="3"/>
          <w:lang w:bidi="hi-IN" w:eastAsia="zh-CN"/>
        </w:rPr>
      </w:pPr>
      <w:r>
        <w:rPr>
          <w:rFonts w:eastAsia="SimSun"/>
          <w:kern w:val="3"/>
          <w:lang w:bidi="hi-IN" w:eastAsia="zh-CN"/>
        </w:rPr>
        <w:t>Slijedom ovakvog izjašnjenja stečajnog upravitelja na naknadnom ispitnom ročištu te obrazloženja razloga osporavanja, stečajni sudac je donio rješenje o ispitanim tražbinama odnosno rješenje o upućivanju na parnicu radi utvrđenja osnovanosti osporene tražbine vjerovnika čija je tražbina u cijelosti odnosno djelomično osporena i to prema izjašnjenju stečajnog upravitelja koji je tražbinu osporio za razliku koju smatra da je više obračunata od one koja bi vjerovniku pripala prema sklopljenoj predstečajnoj nagodbi dužnika i vjerovnika. Za navedenu razliku, sukladno osporavanju stečajnog upravitelja, na parnicu je valjalo uputiti vjerovnika čija je tražbina osporena.</w:t>
      </w:r>
    </w:p>
    <w:p w:rsidRDefault="00FA755C" w:rsidP="00FA755C" w:rsidR="00FA755C">
      <w:pPr>
        <w:widowControl w:val="false"/>
        <w:suppressAutoHyphens/>
        <w:autoSpaceDN w:val="false"/>
        <w:spacing w:lineRule="auto" w:line="288" w:after="0"/>
        <w:ind w:firstLine="480"/>
        <w:jc w:val="both"/>
        <w:textAlignment w:val="baseline"/>
        <w:rPr>
          <w:rFonts w:eastAsia="SimSun"/>
          <w:kern w:val="3"/>
          <w:lang w:bidi="hi-IN" w:eastAsia="zh-CN"/>
        </w:rPr>
      </w:pPr>
    </w:p>
    <w:p w:rsidRDefault="00FA755C" w:rsidP="00FA755C" w:rsidR="00FA755C">
      <w:pPr>
        <w:widowControl w:val="false"/>
        <w:suppressAutoHyphens/>
        <w:autoSpaceDN w:val="false"/>
        <w:spacing w:lineRule="auto" w:line="288" w:after="0"/>
        <w:ind w:firstLine="480"/>
        <w:jc w:val="both"/>
        <w:textAlignment w:val="baseline"/>
        <w:rPr>
          <w:rFonts w:eastAsia="SimSun"/>
          <w:kern w:val="3"/>
          <w:lang w:bidi="hi-IN" w:eastAsia="zh-CN"/>
        </w:rPr>
      </w:pPr>
      <w:r>
        <w:rPr>
          <w:rFonts w:eastAsia="SimSun"/>
          <w:kern w:val="3"/>
          <w:lang w:bidi="hi-IN" w:eastAsia="zh-CN"/>
        </w:rPr>
        <w:t xml:space="preserve">Primjenom odredbe članka 177. </w:t>
      </w:r>
      <w:r>
        <w:t>Stečajnog zakona (N.N. 44/96, 29/99, 129/00, 123/03, 82/06, 116/10, 25/12 i 133/12), u svezi s člankom 441. stavak 1. Stečajnog zakona (N.N. 71/15), stečajni sudac je donio rješenje kao u izreci.</w:t>
      </w:r>
    </w:p>
    <w:p w:rsidRDefault="00FA755C" w:rsidP="00FA755C" w:rsidR="00FA755C">
      <w:pPr>
        <w:spacing w:after="0"/>
        <w:jc w:val="both"/>
        <w:rPr>
          <w:rFonts w:eastAsia="Times New Roman"/>
          <w:lang w:eastAsia="hr-HR"/>
        </w:rPr>
      </w:pPr>
    </w:p>
    <w:p w:rsidRDefault="00FA755C" w:rsidP="00FA755C" w:rsidR="00FA755C">
      <w:pPr>
        <w:spacing w:after="0"/>
        <w:jc w:val="both"/>
      </w:pPr>
    </w:p>
    <w:p w:rsidRDefault="00FA755C" w:rsidP="00FA755C" w:rsidR="00FA755C">
      <w:pPr>
        <w:spacing w:after="0"/>
        <w:jc w:val="center"/>
      </w:pPr>
      <w:r>
        <w:t xml:space="preserve">Varaždin, 15. ožujka 2017. </w:t>
      </w:r>
    </w:p>
    <w:p w:rsidRDefault="00FA755C" w:rsidP="00FA755C" w:rsidR="00FA755C">
      <w:pPr>
        <w:spacing w:after="0"/>
      </w:pPr>
    </w:p>
    <w:p w:rsidRDefault="00FA755C" w:rsidP="00FA755C" w:rsidR="00FA755C">
      <w:pPr>
        <w:spacing w:after="0"/>
        <w:jc w:val="center"/>
      </w:pPr>
    </w:p>
    <w:p w:rsidRDefault="00FA755C" w:rsidP="00FA755C" w:rsidR="00FA755C">
      <w:pPr>
        <w:spacing w:after="0"/>
        <w:jc w:val="both"/>
      </w:pPr>
      <w:r>
        <w:t xml:space="preserve">                                                                                                                  Sudac:</w:t>
      </w:r>
    </w:p>
    <w:p w:rsidRDefault="00FA755C" w:rsidP="00FA755C" w:rsidR="00FA755C">
      <w:pPr>
        <w:spacing w:after="0"/>
        <w:jc w:val="both"/>
      </w:pPr>
    </w:p>
    <w:p w:rsidRDefault="00FA755C" w:rsidP="00FA755C" w:rsidR="00FA755C">
      <w:pPr>
        <w:spacing w:after="0"/>
        <w:jc w:val="both"/>
      </w:pPr>
      <w:r>
        <w:t xml:space="preserve">                                                                                                             Jasna Lekić</w:t>
      </w:r>
    </w:p>
    <w:p w:rsidRDefault="00FA755C" w:rsidP="00FA755C" w:rsidR="00FA755C">
      <w:pPr>
        <w:spacing w:after="0"/>
        <w:jc w:val="both"/>
      </w:pPr>
    </w:p>
    <w:p w:rsidRDefault="00FA755C" w:rsidP="00FA755C" w:rsidR="00FA755C">
      <w:pPr>
        <w:spacing w:after="0"/>
        <w:jc w:val="both"/>
      </w:pPr>
    </w:p>
    <w:p w:rsidRDefault="00FA755C" w:rsidP="00FA755C" w:rsidR="00FA755C">
      <w:pPr>
        <w:spacing w:after="0"/>
        <w:jc w:val="both"/>
      </w:pPr>
      <w:r>
        <w:t xml:space="preserve">                                                                                      </w:t>
      </w:r>
    </w:p>
    <w:p w:rsidRDefault="00FA755C" w:rsidP="00FA755C" w:rsidR="00FA755C">
      <w:pPr>
        <w:spacing w:after="0"/>
        <w:jc w:val="both"/>
      </w:pPr>
    </w:p>
    <w:p w:rsidRDefault="00FA755C" w:rsidP="00FA755C" w:rsidR="00FA755C">
      <w:pPr>
        <w:spacing w:after="0"/>
        <w:jc w:val="both"/>
      </w:pPr>
      <w:r>
        <w:t>POUKA O PRAVNOM LIJEKU:</w:t>
      </w:r>
    </w:p>
    <w:p w:rsidRDefault="00FA755C" w:rsidP="00FA755C" w:rsidR="00FA755C">
      <w:pPr>
        <w:spacing w:after="0"/>
        <w:jc w:val="both"/>
      </w:pPr>
    </w:p>
    <w:p w:rsidRDefault="00FA755C" w:rsidP="00FA755C" w:rsidR="00FA755C">
      <w:pPr>
        <w:spacing w:after="0"/>
        <w:jc w:val="both"/>
      </w:pPr>
      <w:r>
        <w:tab/>
        <w:t>Protiv ovog rješenja dopuštena je žalba u roku od 8 dana od dana dostave rješenja, time da se ista podnosi u 3 primjerka ovome sudu, a o istoj odlučuje Visoki trgovački sud RH. Rješenje može pobijati stečajni upravitelj i vjerovnici u dijelu koji se tiču njihove tražbine koja je osporena.</w:t>
      </w:r>
    </w:p>
    <w:p w:rsidRDefault="00FA755C" w:rsidP="00FA755C" w:rsidR="00FA755C">
      <w:pPr>
        <w:spacing w:after="0"/>
        <w:jc w:val="both"/>
      </w:pPr>
    </w:p>
    <w:p w:rsidRDefault="00FA755C" w:rsidP="00FA755C" w:rsidR="00FA755C">
      <w:pPr>
        <w:spacing w:after="0"/>
        <w:jc w:val="both"/>
      </w:pPr>
    </w:p>
    <w:p w:rsidRDefault="00FA755C" w:rsidP="00FA755C" w:rsidR="00FA755C">
      <w:pPr>
        <w:spacing w:after="0"/>
        <w:jc w:val="both"/>
      </w:pPr>
    </w:p>
    <w:p w:rsidRDefault="00FA755C" w:rsidP="00FA755C" w:rsidR="00FA755C">
      <w:pPr>
        <w:spacing w:after="0"/>
        <w:jc w:val="both"/>
      </w:pPr>
    </w:p>
    <w:p w:rsidRDefault="00FA755C" w:rsidP="00FA755C" w:rsidR="00FA755C">
      <w:pPr>
        <w:spacing w:after="0"/>
        <w:jc w:val="both"/>
      </w:pPr>
      <w:r>
        <w:t>DNA: 1. Stečajni upravitelj Stanko Makar, dipl. oec. iz Ludbrega, Petra Zrinskog 3</w:t>
      </w:r>
    </w:p>
    <w:p w:rsidRDefault="00FA755C" w:rsidP="00FA755C" w:rsidR="00FA755C">
      <w:pPr>
        <w:spacing w:after="0"/>
        <w:jc w:val="both"/>
      </w:pPr>
      <w:r>
        <w:t xml:space="preserve">           2. ŽDO Varaždin, građansko upravni odjel </w:t>
      </w:r>
    </w:p>
    <w:p w:rsidRDefault="00FA755C" w:rsidP="00FA755C" w:rsidR="00FA755C">
      <w:pPr>
        <w:spacing w:after="0"/>
      </w:pPr>
      <w:r>
        <w:t xml:space="preserve">           3. IZOFORMA-PANELI d.o.o. Rupa, po pun. ZOU Houška &amp; Grubišić iz Zagreba,</w:t>
      </w:r>
    </w:p>
    <w:p w:rsidRDefault="00FA755C" w:rsidP="00FA755C" w:rsidR="00FA755C">
      <w:pPr>
        <w:spacing w:after="0"/>
      </w:pPr>
      <w:r>
        <w:t xml:space="preserve">               Pavla Hatza 21</w:t>
      </w:r>
    </w:p>
    <w:p w:rsidRDefault="00FA755C" w:rsidP="00FA755C" w:rsidR="00FA755C">
      <w:pPr>
        <w:spacing w:after="0"/>
      </w:pPr>
      <w:r>
        <w:t xml:space="preserve">           4. VENTUS biro 64 d.o.o. Zagreb, Ilica 64/III</w:t>
      </w:r>
    </w:p>
    <w:p w:rsidRDefault="00FA755C" w:rsidP="00FA755C" w:rsidR="00FA755C">
      <w:pPr>
        <w:spacing w:after="0"/>
      </w:pPr>
      <w:r>
        <w:t xml:space="preserve">           5. Raiffeisenbank Austria d.d. Zagreb, Petrinjska 59</w:t>
      </w:r>
    </w:p>
    <w:p w:rsidRDefault="00FA755C" w:rsidP="00FA755C" w:rsidR="00FA755C">
      <w:pPr>
        <w:spacing w:after="0"/>
        <w:jc w:val="both"/>
      </w:pPr>
      <w:r>
        <w:t xml:space="preserve">           6. e-Oglasna ploča ovoga suda</w:t>
      </w:r>
    </w:p>
    <w:p w:rsidRDefault="00AE649C" w:rsidP="00FA755C" w:rsidR="00AE649C" w:rsidRPr="00B76F3C">
      <w:pPr>
        <w:pStyle w:val="NormaleSPIS"/>
        <w:spacing w:after="0"/>
      </w:pPr>
    </w:p>
    <w:p w:rsidRDefault="00AB4602" w:rsidP="00FA755C"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FA755C"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61B4" w:rsidP="00537B78" w:rsidR="00F461B4">
      <w:r>
        <w:separator/>
      </w:r>
    </w:p>
  </w:endnote>
  <w:endnote w:id="0" w:type="continuationSeparator">
    <w:p w:rsidRDefault="00F461B4" w:rsidP="00537B78" w:rsidR="00F461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61B4" w:rsidP="00537B78" w:rsidR="00F461B4">
      <w:r>
        <w:separator/>
      </w:r>
    </w:p>
  </w:footnote>
  <w:footnote w:id="0" w:type="continuationSeparator">
    <w:p w:rsidRDefault="00F461B4" w:rsidP="00537B78" w:rsidR="00F461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1F2"/>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1B4"/>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5C"/>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32569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St-43/2015-47</izvorni_sadrzaj>
    <derivirana_varijabla naziv="DomainObject.Oznaka_1">St-43/2015-47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zvorni_sadrzaj>
    <derivirana_varijabla naziv="DomainObject.Predmet.OstaliListFormated_1">
      <item>Sudski registar</item>
      <item>BOJAN SLAVIČEK</item>
      <item>Tomislav Đuričin</item>
      <item>E-oglasna ploča</item>
      <item>Sudski registar, Trgovački sud u Varaždinu</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FormatedOIB_1">
      <item>Sudski registar</item>
      <item>BOJAN SLAVIČEK, OIB 73270656450</item>
      <item>Tomislav Đuričin, OIB 01733609458</item>
      <item>E-oglasna ploča</item>
      <item>Sudski registar, Trgovački sud u Varaždinu</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zvorni_sadrzaj>
    <derivirana_varijabla naziv="DomainObject.Predmet.OstaliListNazivFormated_1">
      <item>Sudski registar</item>
      <item>BOJAN SLAVIČEK</item>
      <item>Tomislav Đuričin</item>
      <item>E-oglasna ploča</item>
      <item>Sudski registar, Trgovački sud u Varaždinu</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NazivFormatedOIB_1">
      <item>Sudski registar</item>
      <item>BOJAN SLAVIČEK, OIB 73270656450</item>
      <item>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St-43/2015-47</izvorni_sadrzaj>
    <derivirana_varijabla naziv="DomainObject.PoslovniBrojDokumenta_1">St-43/2015-47</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19A605-C35C-4B40-96F7-76761A22D6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1103</properties:Words>
  <properties:Characters>6372</properties:Characters>
  <properties:Lines>235</properties:Lines>
  <properties:Paragraphs>73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2017-12-01T07:34:00Z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St-43/2015-47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