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D3ED5" w:rsidR="004D3ED5">
        <w:tc>
          <w:tcPr>
            <w:tcW w:type="dxa" w:w="3060"/>
          </w:tcPr>
          <w:p w:rsidRDefault="004D3ED5" w:rsidR="004D3ED5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bookmarkStart w:name="_GoBack" w:id="0"/>
            <w:bookmarkEnd w:id="0"/>
          </w:p>
          <w:p w:rsidRDefault="004D3ED5" w:rsidR="004D3ED5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noProof/>
                <w:lang w:eastAsia="hr-HR"/>
              </w:rPr>
              <w:drawing>
                <wp:anchor allowOverlap="true" layoutInCell="true" locked="false" behindDoc="false" relativeHeight="251659264" simplePos="false" distR="114300" distL="114300" distB="0" distT="0">
                  <wp:simplePos y="0" x="0"/>
                  <wp:positionH relativeFrom="column">
                    <wp:posOffset>-30480</wp:posOffset>
                  </wp:positionH>
                  <wp:positionV relativeFrom="paragraph">
                    <wp:posOffset>152400</wp:posOffset>
                  </wp:positionV>
                  <wp:extent cy="963295" cx="719455"/>
                  <wp:effectExtent b="8255" r="4445" t="0" l="0"/>
                  <wp:wrapSquare wrapText="bothSides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Default="004D3ED5" w:rsidR="004D3ED5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</w:t>
            </w:r>
          </w:p>
          <w:p w:rsidRDefault="004D3ED5" w:rsidR="004D3ED5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</w:p>
          <w:p w:rsidRDefault="004D3ED5" w:rsidR="004D3ED5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</w:p>
          <w:p w:rsidRDefault="004D3ED5" w:rsidR="004D3ED5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</w:p>
          <w:p w:rsidRDefault="004D3ED5" w:rsidR="004D3ED5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</w:p>
          <w:p w:rsidRDefault="004D3ED5" w:rsidR="004D3ED5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</w:p>
          <w:p w:rsidRDefault="004D3ED5" w:rsidR="004D3ED5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4D3ED5" w:rsidR="004D3ED5">
            <w:pPr>
              <w:overflowPunct w:val="false"/>
              <w:autoSpaceDE w:val="false"/>
              <w:autoSpaceDN w:val="false"/>
              <w:adjustRightInd w:val="false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Trgovački sud u Zagrebu</w:t>
            </w:r>
          </w:p>
          <w:p w:rsidRDefault="004D3ED5" w:rsidR="004D3ED5">
            <w:pPr>
              <w:overflowPunct w:val="false"/>
              <w:autoSpaceDE w:val="false"/>
              <w:autoSpaceDN w:val="false"/>
              <w:adjustRightInd w:val="false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  Zagreb, Amruševa 2/II</w:t>
            </w:r>
          </w:p>
        </w:tc>
      </w:tr>
      <w:tr w:rsidTr="004D3ED5" w:rsidR="004D3ED5">
        <w:tc>
          <w:tcPr>
            <w:tcW w:type="dxa" w:w="3060"/>
          </w:tcPr>
          <w:p w:rsidRDefault="004D3ED5" w:rsidR="004D3ED5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</w:p>
        </w:tc>
      </w:tr>
    </w:tbl>
    <w:p w14:textId="fddeffc" w14:paraId="fddeffc" w:rsidRDefault="004D3ED5" w:rsidP="004D3ED5" w:rsidR="004D3ED5">
      <w:pPr>
        <w:overflowPunct w:val="false"/>
        <w:autoSpaceDE w:val="false"/>
        <w:autoSpaceDN w:val="false"/>
        <w:adjustRightInd w:val="false"/>
        <w15:collapsed w:val="false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</w:p>
    <w:p w:rsidRDefault="004D3ED5" w:rsidP="004D3ED5" w:rsidR="004D3ED5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</w:t>
      </w:r>
    </w:p>
    <w:p w:rsidRDefault="004D3ED5" w:rsidP="004D3ED5" w:rsidR="004D3ED5">
      <w:pPr>
        <w:jc w:val="center"/>
        <w:rPr>
          <w:rFonts w:cs="Times New Roman" w:eastAsia="Times New Roman"/>
          <w:szCs w:val="24"/>
          <w:lang w:eastAsia="hr-HR"/>
        </w:rPr>
      </w:pPr>
    </w:p>
    <w:p w:rsidRDefault="004D3ED5" w:rsidP="004D3ED5" w:rsidR="004D3ED5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R E P U B L I K A    H R V A T S K A                  </w:t>
      </w:r>
    </w:p>
    <w:p w:rsidRDefault="004D3ED5" w:rsidP="004D3ED5" w:rsidR="004D3ED5">
      <w:pPr>
        <w:jc w:val="center"/>
        <w:rPr>
          <w:rFonts w:cs="Times New Roman" w:eastAsia="Times New Roman"/>
          <w:szCs w:val="24"/>
          <w:lang w:eastAsia="hr-HR"/>
        </w:rPr>
      </w:pPr>
    </w:p>
    <w:p w:rsidRDefault="004D3ED5" w:rsidP="004D3ED5" w:rsidR="004D3ED5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4D3ED5" w:rsidP="004D3ED5" w:rsidR="004D3ED5">
      <w:pPr>
        <w:jc w:val="center"/>
        <w:rPr>
          <w:rFonts w:cs="Times New Roman" w:eastAsia="Times New Roman"/>
          <w:szCs w:val="24"/>
          <w:lang w:eastAsia="hr-HR"/>
        </w:rPr>
      </w:pPr>
    </w:p>
    <w:p w:rsidRDefault="004D3ED5" w:rsidP="004D3ED5" w:rsidR="004D3ED5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 xml:space="preserve">Trgovački sud u Zagrebu po sudskom savjetniku  Mariju Žiškoviću u pravnoj stvari podnositelja zahtjeva Financijske agencije, Zagreb, Trg svibanjskih žrtava 1995. br. 1, za pokretanjem skraćenog stečajnog postupka nad dužnikom CALUPUS j.d.o.o. MBS:080881918, OIB:11288432801, Orešje, Selčica 4, dana 27. travnja 2016. </w:t>
      </w:r>
    </w:p>
    <w:p w:rsidRDefault="004D3ED5" w:rsidP="004D3ED5" w:rsidR="004D3ED5">
      <w:pPr>
        <w:jc w:val="both"/>
        <w:rPr>
          <w:rFonts w:cs="Times New Roman" w:eastAsia="Times New Roman"/>
          <w:szCs w:val="24"/>
          <w:lang w:eastAsia="hr-HR"/>
        </w:rPr>
      </w:pPr>
    </w:p>
    <w:p w:rsidRDefault="004D3ED5" w:rsidP="004D3ED5" w:rsidR="004D3ED5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je</w:t>
      </w:r>
    </w:p>
    <w:p w:rsidRDefault="004D3ED5" w:rsidP="004D3ED5" w:rsidR="004D3ED5">
      <w:pPr>
        <w:jc w:val="center"/>
        <w:rPr>
          <w:rFonts w:cs="Times New Roman" w:eastAsia="Times New Roman"/>
          <w:szCs w:val="24"/>
          <w:lang w:eastAsia="hr-HR"/>
        </w:rPr>
      </w:pPr>
    </w:p>
    <w:p w:rsidRDefault="004D3ED5" w:rsidP="004D3ED5" w:rsidR="004D3ED5">
      <w:pPr>
        <w:ind w:firstLine="12" w:left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Pokreće se skraćeni stečajni postupak nad dužnikom CALUPUS j.d.o.o. MBS:080881918, OIB:11288432801, Orešje, Selčica 4.</w:t>
      </w:r>
    </w:p>
    <w:p w:rsidRDefault="004D3ED5" w:rsidP="004D3ED5" w:rsidR="004D3ED5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4D3ED5" w:rsidP="004D3ED5" w:rsidR="004D3ED5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4D3ED5" w:rsidP="004D3ED5" w:rsidR="004D3ED5">
      <w:pPr>
        <w:jc w:val="both"/>
        <w:rPr>
          <w:rFonts w:cs="Times New Roman" w:eastAsia="Times New Roman"/>
          <w:szCs w:val="24"/>
          <w:lang w:eastAsia="hr-HR"/>
        </w:rPr>
      </w:pPr>
    </w:p>
    <w:p w:rsidRDefault="004D3ED5" w:rsidP="004D3ED5" w:rsidR="004D3ED5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 xml:space="preserve">Zahtjev za provedbu skraćenog stečajnog postupka nad gore navedenom pravnom osobom podnijela je ovome sudu Financijska agencija, Zagreb, Trg svibanjskih žrtava 1995. br. 1,  (dalje: FINA), temeljem odredbe čl. 429. </w:t>
      </w:r>
      <w:r>
        <w:rPr>
          <w:rFonts w:cs="Times New Roman" w:eastAsia="Times New Roman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4D3ED5" w:rsidP="004D3ED5" w:rsidR="004D3ED5">
      <w:pPr>
        <w:jc w:val="both"/>
        <w:rPr>
          <w:rFonts w:cs="Times New Roman" w:eastAsia="Times New Roman"/>
          <w:szCs w:val="20"/>
          <w:lang w:eastAsia="hr-HR"/>
        </w:rPr>
      </w:pPr>
    </w:p>
    <w:p w:rsidRDefault="004D3ED5" w:rsidP="004D3ED5" w:rsidR="004D3ED5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422 dana te da ukupni iznos duga evidentiranog na temelju neizvršenih osnova za plaćanje iznosi 20.543,03 kuna na dan 01. rujna 2015.</w:t>
      </w:r>
    </w:p>
    <w:p w:rsidRDefault="004D3ED5" w:rsidP="004D3ED5" w:rsidR="004D3ED5">
      <w:pPr>
        <w:jc w:val="both"/>
        <w:rPr>
          <w:rFonts w:cs="Times New Roman" w:eastAsia="Times New Roman"/>
          <w:szCs w:val="20"/>
          <w:lang w:eastAsia="hr-HR"/>
        </w:rPr>
      </w:pPr>
    </w:p>
    <w:p w:rsidRDefault="004D3ED5" w:rsidP="004D3ED5" w:rsidR="004D3ED5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D3ED5" w:rsidP="004D3ED5" w:rsidR="004D3ED5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</w:r>
    </w:p>
    <w:p w:rsidRDefault="004D3ED5" w:rsidP="004D3ED5" w:rsidR="004D3ED5">
      <w:pPr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4D3ED5" w:rsidP="004D3ED5" w:rsidR="004D3ED5">
      <w:pPr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4D3ED5" w:rsidP="004D3ED5" w:rsidR="004D3ED5">
      <w:pPr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4D3ED5" w:rsidP="004D3ED5" w:rsidR="004D3ED5">
      <w:pPr>
        <w:ind w:firstLine="72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4D3ED5" w:rsidP="004D3ED5" w:rsidR="004D3ED5">
      <w:pPr>
        <w:jc w:val="center"/>
        <w:rPr>
          <w:rFonts w:cs="Times New Roman" w:eastAsia="Times New Roman"/>
          <w:szCs w:val="20"/>
          <w:lang w:eastAsia="hr-HR"/>
        </w:rPr>
      </w:pPr>
    </w:p>
    <w:p w:rsidRDefault="004D3ED5" w:rsidP="004D3ED5" w:rsidR="004D3ED5">
      <w:pPr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Zagrebu, 27. travnja 2016. </w:t>
      </w:r>
    </w:p>
    <w:p w:rsidRDefault="004D3ED5" w:rsidP="004D3ED5" w:rsidR="004D3ED5">
      <w:pPr>
        <w:jc w:val="center"/>
        <w:rPr>
          <w:rFonts w:cs="Times New Roman" w:eastAsia="Times New Roman"/>
          <w:szCs w:val="20"/>
          <w:lang w:eastAsia="hr-HR"/>
        </w:rPr>
      </w:pPr>
    </w:p>
    <w:p w:rsidRDefault="004D3ED5" w:rsidP="004D3ED5" w:rsidR="004D3ED5">
      <w:pPr>
        <w:ind w:firstLine="720" w:left="504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SUDSKI SAVJETNIK:</w:t>
      </w:r>
    </w:p>
    <w:p w:rsidRDefault="004D3ED5" w:rsidP="004D3ED5" w:rsidR="004D3ED5">
      <w:pPr>
        <w:ind w:firstLine="720" w:left="5040"/>
        <w:jc w:val="center"/>
        <w:rPr>
          <w:rFonts w:cs="Times New Roman" w:eastAsia="Times New Roman"/>
          <w:szCs w:val="20"/>
          <w:lang w:eastAsia="hr-HR"/>
        </w:rPr>
      </w:pPr>
    </w:p>
    <w:p w:rsidRDefault="004D3ED5" w:rsidP="004D3ED5" w:rsidR="004D3ED5">
      <w:pPr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CA7A42">
        <w:rPr>
          <w:rFonts w:cs="Times New Roman" w:eastAsia="Times New Roman"/>
          <w:szCs w:val="20"/>
          <w:lang w:eastAsia="hr-HR"/>
        </w:rPr>
        <w:t>, v.r.</w:t>
      </w:r>
      <w:r>
        <w:rPr>
          <w:rFonts w:cs="Times New Roman" w:eastAsia="Times New Roman"/>
          <w:szCs w:val="20"/>
          <w:lang w:eastAsia="hr-HR"/>
        </w:rPr>
        <w:t xml:space="preserve"> </w:t>
      </w:r>
    </w:p>
    <w:p w:rsidRDefault="004D3ED5" w:rsidP="004D3ED5" w:rsidR="004D3ED5">
      <w:pPr>
        <w:jc w:val="both"/>
        <w:rPr>
          <w:rFonts w:cs="Times New Roman" w:eastAsia="Times New Roman"/>
          <w:szCs w:val="24"/>
          <w:lang w:eastAsia="hr-HR"/>
        </w:rPr>
      </w:pPr>
    </w:p>
    <w:p w:rsidRDefault="004D3ED5" w:rsidP="004D3ED5" w:rsidR="004D3ED5">
      <w:pPr>
        <w:jc w:val="both"/>
        <w:rPr>
          <w:rFonts w:cs="Times New Roman" w:eastAsia="Times New Roman"/>
          <w:szCs w:val="24"/>
          <w:lang w:eastAsia="hr-HR"/>
        </w:rPr>
      </w:pPr>
    </w:p>
    <w:p w:rsidRDefault="004D3ED5" w:rsidP="004D3ED5" w:rsidR="004D3ED5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4D3ED5" w:rsidP="004D3ED5" w:rsidR="004D3ED5">
      <w:pPr>
        <w:jc w:val="both"/>
        <w:rPr>
          <w:rFonts w:cs="Times New Roman" w:eastAsia="Times New Roman"/>
          <w:i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ovog rješenja dopuštena je  žalba Visokom trgovačkom sudu RH, a koja se podnosi u roku od 8 dana ovome sudu u 3 primjerka.</w:t>
      </w:r>
      <w:r>
        <w:rPr>
          <w:rFonts w:cs="Times New Roman" w:eastAsia="Times New Roman"/>
          <w:i/>
          <w:szCs w:val="24"/>
          <w:lang w:eastAsia="hr-HR"/>
        </w:rPr>
        <w:t xml:space="preserve">  </w:t>
      </w:r>
    </w:p>
    <w:p w:rsidRDefault="004D3ED5" w:rsidP="004D3ED5" w:rsidR="004D3ED5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4D3ED5" w:rsidP="004D3ED5" w:rsidR="004D3ED5">
      <w:pPr>
        <w:jc w:val="both"/>
        <w:rPr>
          <w:rFonts w:cs="Times New Roman" w:eastAsia="Times New Roman"/>
          <w:szCs w:val="20"/>
          <w:lang w:eastAsia="hr-HR" w:val="en-GB"/>
        </w:rPr>
      </w:pPr>
    </w:p>
    <w:p w:rsidRDefault="00CA7A42" w:rsidP="00CA7A42" w:rsidR="004D3ED5">
      <w:pPr>
        <w:ind w:left="4956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 točnost otpravka – ovlašteni službenik:</w:t>
      </w:r>
    </w:p>
    <w:p w:rsidRDefault="00CA7A42" w:rsidP="00CA7A42" w:rsidR="00CA7A42">
      <w:pPr>
        <w:ind w:firstLine="708" w:left="4956"/>
        <w:jc w:val="both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  <w:r>
        <w:rPr>
          <w:rFonts w:cs="Times New Roman" w:eastAsia="Times New Roman"/>
          <w:szCs w:val="24"/>
          <w:lang w:eastAsia="hr-HR"/>
        </w:rPr>
        <w:t>Vlasta Bogović Milisavljević</w:t>
      </w:r>
    </w:p>
    <w:p w:rsidRDefault="004D3ED5" w:rsidP="004D3ED5" w:rsidR="004D3ED5">
      <w:pPr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4D3ED5" w:rsidP="004D3ED5" w:rsidR="004D3ED5">
      <w:pPr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4D3ED5" w:rsidP="004D3ED5" w:rsidR="004D3ED5">
      <w:pPr>
        <w:rPr>
          <w:rFonts w:cs="Times New Roman" w:eastAsia="Times New Roman" w:hAnsi="Arial" w:ascii="Arial"/>
          <w:szCs w:val="20"/>
          <w:lang w:eastAsia="hr-HR" w:val="en-GB"/>
        </w:rPr>
      </w:pPr>
    </w:p>
    <w:p w:rsidRDefault="004D3ED5" w:rsidP="004D3ED5" w:rsidR="004D3ED5">
      <w:pPr>
        <w:spacing w:lineRule="auto" w:line="276" w:after="200"/>
        <w:rPr>
          <w:rFonts w:hAnsiTheme="minorHAnsi" w:asciiTheme="minorHAnsi"/>
          <w:sz w:val="22"/>
        </w:rPr>
      </w:pPr>
    </w:p>
    <w:p w:rsidRDefault="004D3ED5" w:rsidP="004D3ED5" w:rsidR="004D3ED5">
      <w:pPr>
        <w:spacing w:lineRule="auto" w:line="276" w:after="200"/>
        <w:rPr>
          <w:rFonts w:hAnsiTheme="minorHAnsi" w:asciiTheme="minorHAnsi"/>
          <w:sz w:val="22"/>
        </w:rPr>
      </w:pPr>
    </w:p>
    <w:p w:rsidRDefault="004D3ED5" w:rsidP="004D3ED5" w:rsidR="004D3ED5">
      <w:pPr>
        <w:spacing w:lineRule="auto" w:line="276" w:after="200"/>
        <w:rPr>
          <w:rFonts w:hAnsiTheme="minorHAnsi" w:asciiTheme="minorHAnsi"/>
          <w:sz w:val="22"/>
        </w:rPr>
      </w:pPr>
    </w:p>
    <w:p w:rsidRDefault="004D3ED5" w:rsidP="004D3ED5" w:rsidR="004D3ED5">
      <w:pPr>
        <w:spacing w:lineRule="auto" w:line="276" w:after="200"/>
        <w:rPr>
          <w:rFonts w:hAnsiTheme="minorHAnsi" w:asciiTheme="minorHAnsi"/>
          <w:sz w:val="22"/>
        </w:rPr>
      </w:pPr>
    </w:p>
    <w:p w:rsidRDefault="004D3ED5" w:rsidP="004D3ED5" w:rsidR="004D3ED5">
      <w:pPr>
        <w:spacing w:lineRule="auto" w:line="276" w:after="200"/>
        <w:rPr>
          <w:rFonts w:hAnsiTheme="minorHAnsi" w:asciiTheme="minorHAnsi"/>
          <w:sz w:val="22"/>
        </w:rPr>
      </w:pPr>
    </w:p>
    <w:p w:rsidRDefault="004D3ED5" w:rsidP="004D3ED5" w:rsidR="004D3ED5"/>
    <w:p w:rsidRDefault="004D3ED5" w:rsidP="004D3ED5" w:rsidR="004D3ED5"/>
    <w:p w:rsidRDefault="004D3ED5" w:rsidP="004D3ED5" w:rsidR="004D3ED5"/>
    <w:p w:rsidRDefault="004D3ED5" w:rsidP="004D3ED5" w:rsidR="004D3ED5"/>
    <w:p w:rsidRDefault="004D3ED5" w:rsidP="004D3ED5" w:rsidR="004D3ED5"/>
    <w:p w:rsidRDefault="004D3ED5" w:rsidP="004D3ED5" w:rsidR="004D3ED5"/>
    <w:p w:rsidRDefault="004D3ED5" w:rsidP="004D3ED5" w:rsidR="004D3ED5"/>
    <w:p w:rsidRDefault="004D3ED5" w:rsidP="004D3ED5" w:rsidR="004D3ED5"/>
    <w:p w:rsidRDefault="004D3ED5" w:rsidP="004D3ED5" w:rsidR="004D3ED5"/>
    <w:p w:rsidRDefault="006C181C" w:rsidR="006C181C"/>
    <w:sectPr w:rsidR="006C181C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4FC0" w:rsidP="004D3ED5" w:rsidR="00D84FC0">
      <w:r>
        <w:separator/>
      </w:r>
    </w:p>
  </w:endnote>
  <w:endnote w:id="0" w:type="continuationSeparator">
    <w:p w:rsidRDefault="00D84FC0" w:rsidP="004D3ED5" w:rsidR="00D84F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4FC0" w:rsidP="004D3ED5" w:rsidR="00D84FC0">
      <w:r>
        <w:separator/>
      </w:r>
    </w:p>
  </w:footnote>
  <w:footnote w:id="0" w:type="continuationSeparator">
    <w:p w:rsidRDefault="00D84FC0" w:rsidP="004D3ED5" w:rsidR="00D84F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1735862"/>
      <w:docPartObj>
        <w:docPartGallery w:val="Page Numbers (Top of Page)"/>
        <w:docPartUnique/>
      </w:docPartObj>
    </w:sdtPr>
    <w:sdtEndPr/>
    <w:sdtContent>
      <w:p w:rsidRDefault="004D3ED5" w:rsidR="004D3ED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7A42">
          <w:rPr>
            <w:noProof/>
          </w:rPr>
          <w:t>1</w:t>
        </w:r>
        <w:r>
          <w:fldChar w:fldCharType="end"/>
        </w:r>
      </w:p>
    </w:sdtContent>
  </w:sdt>
  <w:p w:rsidRDefault="004D3ED5" w:rsidP="004D3ED5" w:rsidR="004D3ED5">
    <w:pPr>
      <w:pStyle w:val="Zaglavlje"/>
      <w:jc w:val="right"/>
    </w:pPr>
    <w:r>
      <w:t>81. St-5848/2015-5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3ED5"/>
    <w:rsid w:val="004D3ED5"/>
    <w:rsid w:val="006C181C"/>
    <w:rsid w:val="00AE295B"/>
    <w:rsid w:val="00CA7A42"/>
    <w:rsid w:val="00D84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3ED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D3E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3ED5"/>
  </w:style>
  <w:style w:styleId="Podnoje" w:type="paragraph">
    <w:name w:val="footer"/>
    <w:basedOn w:val="Normal"/>
    <w:link w:val="PodnojeChar"/>
    <w:uiPriority w:val="99"/>
    <w:unhideWhenUsed/>
    <w:rsid w:val="004D3E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3ED5"/>
  </w:style>
  <w:style w:styleId="Tekstrezerviranogmjesta" w:type="character">
    <w:name w:val="Placeholder Text"/>
    <w:basedOn w:val="Zadanifontodlomka"/>
    <w:uiPriority w:val="99"/>
    <w:semiHidden/>
    <w:rsid w:val="00CA7A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7A4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A7A42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A7A4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A7A4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3ED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D3E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3ED5"/>
  </w:style>
  <w:style w:styleId="Podnoje" w:type="paragraph">
    <w:name w:val="footer"/>
    <w:basedOn w:val="Normal"/>
    <w:link w:val="PodnojeChar"/>
    <w:uiPriority w:val="99"/>
    <w:unhideWhenUsed/>
    <w:rsid w:val="004D3E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3ED5"/>
  </w:style>
  <w:style w:styleId="Tekstrezerviranogmjesta" w:type="character">
    <w:name w:val="Placeholder Text"/>
    <w:basedOn w:val="Zadanifontodlomka"/>
    <w:uiPriority w:val="99"/>
    <w:semiHidden/>
    <w:rsid w:val="00CA7A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7A4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A7A42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A7A4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A7A4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6797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5848</izvorni_sadrzaj>
    <derivirana_varijabla naziv="DomainObject.Predmet.Broj_1">5848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St-5848/2015</izvorni_sadrzaj>
    <derivirana_varijabla naziv="DomainObject.Predmet.OznakaBroj_1">St-5848/2015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CAPULUS j.d.o.o.</izvorni_sadrzaj>
    <derivirana_varijabla naziv="DomainObject.Predmet.ProtustrankaFormated_1">  CAPULUS j.d.o.o.</derivirana_varijabla>
  </DomainObject.Predmet.ProtustrankaFormated>
  <DomainObject.Predmet.ProtustrankaFormatedOIB>
    <izvorni_sadrzaj>  CAPULUS j.d.o.o., OIB 11288432801</izvorni_sadrzaj>
    <derivirana_varijabla naziv="DomainObject.Predmet.ProtustrankaFormatedOIB_1">  CAPULUS j.d.o.o., OIB 11288432801</derivirana_varijabla>
  </DomainObject.Predmet.ProtustrankaFormatedOIB>
  <DomainObject.Predmet.ProtustrankaFormatedWithAdress>
    <izvorni_sadrzaj> CAPULUS j.d.o.o., Selčica 4, 10434 Orešje</izvorni_sadrzaj>
    <derivirana_varijabla naziv="DomainObject.Predmet.ProtustrankaFormatedWithAdress_1"> CAPULUS j.d.o.o., Selčica 4, 10434 Orešje</derivirana_varijabla>
  </DomainObject.Predmet.ProtustrankaFormatedWithAdress>
  <DomainObject.Predmet.ProtustrankaFormatedWithAdressOIB>
    <izvorni_sadrzaj> CAPULUS j.d.o.o., OIB 11288432801, Selčica 4, 10434 Orešje</izvorni_sadrzaj>
    <derivirana_varijabla naziv="DomainObject.Predmet.ProtustrankaFormatedWithAdressOIB_1"> CAPULUS j.d.o.o., OIB 11288432801, Selčica 4, 10434 Orešje</derivirana_varijabla>
  </DomainObject.Predmet.ProtustrankaFormatedWithAdressOIB>
  <DomainObject.Predmet.ProtustrankaWithAdress>
    <izvorni_sadrzaj>CAPULUS j.d.o.o. Selčica 4, 10434 Orešje</izvorni_sadrzaj>
    <derivirana_varijabla naziv="DomainObject.Predmet.ProtustrankaWithAdress_1">CAPULUS j.d.o.o. Selčica 4, 10434 Orešje</derivirana_varijabla>
  </DomainObject.Predmet.ProtustrankaWithAdress>
  <DomainObject.Predmet.ProtustrankaWithAdressOIB>
    <izvorni_sadrzaj>CAPULUS j.d.o.o., OIB 11288432801, Selčica 4, 10434 Orešje</izvorni_sadrzaj>
    <derivirana_varijabla naziv="DomainObject.Predmet.ProtustrankaWithAdressOIB_1">CAPULUS j.d.o.o., OIB 11288432801, Selčica 4, 10434 Orešje</derivirana_varijabla>
  </DomainObject.Predmet.ProtustrankaWithAdressOIB>
  <DomainObject.Predmet.ProtustrankaNazivFormated>
    <izvorni_sadrzaj>CAPULUS j.d.o.o.</izvorni_sadrzaj>
    <derivirana_varijabla naziv="DomainObject.Predmet.ProtustrankaNazivFormated_1">CAPULUS j.d.o.o.</derivirana_varijabla>
  </DomainObject.Predmet.ProtustrankaNazivFormated>
  <DomainObject.Predmet.ProtustrankaNazivFormatedOIB>
    <izvorni_sadrzaj>CAPULUS j.d.o.o., OIB 11288432801</izvorni_sadrzaj>
    <derivirana_varijabla naziv="DomainObject.Predmet.ProtustrankaNazivFormatedOIB_1">CAPULUS j.d.o.o., OIB 11288432801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CAPULUS j.d.o.o.</item>
    </izvorni_sadrzaj>
    <derivirana_varijabla naziv="DomainObject.Predmet.ProtuStrankaListFormated_1">
      <item>CAPULUS j.d.o.o.</item>
    </derivirana_varijabla>
  </DomainObject.Predmet.ProtuStrankaListFormated>
  <DomainObject.Predmet.ProtuStrankaListFormatedOIB>
    <izvorni_sadrzaj>
      <item>CAPULUS j.d.o.o., OIB 11288432801</item>
    </izvorni_sadrzaj>
    <derivirana_varijabla naziv="DomainObject.Predmet.ProtuStrankaListFormatedOIB_1">
      <item>CAPULUS j.d.o.o., OIB 11288432801</item>
    </derivirana_varijabla>
  </DomainObject.Predmet.ProtuStrankaListFormatedOIB>
  <DomainObject.Predmet.ProtuStrankaListFormatedWithAdress>
    <izvorni_sadrzaj>
      <item>CAPULUS j.d.o.o., Selčica 4, 10434 Orešje</item>
    </izvorni_sadrzaj>
    <derivirana_varijabla naziv="DomainObject.Predmet.ProtuStrankaListFormatedWithAdress_1">
      <item>CAPULUS j.d.o.o., Selčica 4, 10434 Orešje</item>
    </derivirana_varijabla>
  </DomainObject.Predmet.ProtuStrankaListFormatedWithAdress>
  <DomainObject.Predmet.ProtuStrankaListFormatedWithAdressOIB>
    <izvorni_sadrzaj>
      <item>CAPULUS j.d.o.o., OIB 11288432801, Selčica 4, 10434 Orešje</item>
    </izvorni_sadrzaj>
    <derivirana_varijabla naziv="DomainObject.Predmet.ProtuStrankaListFormatedWithAdressOIB_1">
      <item>CAPULUS j.d.o.o., OIB 11288432801, Selčica 4, 10434 Orešje</item>
    </derivirana_varijabla>
  </DomainObject.Predmet.ProtuStrankaListFormatedWithAdressOIB>
  <DomainObject.Predmet.ProtuStrankaListNazivFormated>
    <izvorni_sadrzaj>
      <item>CAPULUS j.d.o.o.</item>
    </izvorni_sadrzaj>
    <derivirana_varijabla naziv="DomainObject.Predmet.ProtuStrankaListNazivFormated_1">
      <item>CAPULUS j.d.o.o.</item>
    </derivirana_varijabla>
  </DomainObject.Predmet.ProtuStrankaListNazivFormated>
  <DomainObject.Predmet.ProtuStrankaListNazivFormatedOIB>
    <izvorni_sadrzaj>
      <item>CAPULUS j.d.o.o., OIB 11288432801</item>
    </izvorni_sadrzaj>
    <derivirana_varijabla naziv="DomainObject.Predmet.ProtuStrankaListNazivFormatedOIB_1">
      <item>CAPULUS j.d.o.o., OIB 11288432801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CAPULUS j.d.o.o.</izvorni_sadrzaj>
    <derivirana_varijabla naziv="DomainObject.Predmet.ProtustrankaIDrugi_1">CAPULUS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CAPULUS j.d.o.o., OIB 11288432801, Selčica 4, 10434 Orešje</izvorni_sadrzaj>
    <derivirana_varijabla naziv="DomainObject.Predmet.ProtustrankaIDrugiAdressOIB_1">CAPULUS j.d.o.o., OIB 11288432801, Selčica 4, 10434 Orešje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CAPULUS j.d.o.o.</item>
    </izvorni_sadrzaj>
    <derivirana_varijabla naziv="DomainObject.Predmet.SudioniciListNaziv_1">
      <item>FINA Regionalni centar Zagreb</item>
      <item>CAPULUS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CAPULUS j.d.o.o., OIB 11288432801, Selčica 4,10434 Orešje</item>
    </izvorni_sadrzaj>
    <derivirana_varijabla naziv="DomainObject.Predmet.SudioniciListAdressOIB_1">
      <item>FINA Regionalni centar Zagreb, OIB 85821130368, Trg svibanjskih žrtava 1995. 1,10000 Zagreb</item>
      <item>CAPULUS j.d.o.o., OIB 11288432801, Selčica 4,10434 Orešje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11288432801</item>
    </izvorni_sadrzaj>
    <derivirana_varijabla naziv="DomainObject.Predmet.SudioniciListNazivOIB_1">
      <item>, OIB 85821130368</item>
      <item>, OIB 11288432801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356</properties:Words>
  <properties:Characters>1919</properties:Characters>
  <properties:Lines>86</properties:Lines>
  <properties:Paragraphs>20</properties:Paragraphs>
  <properties:TotalTime>3</properties:TotalTime>
  <properties:ScaleCrop>false</properties:ScaleCrop>
  <properties:LinksUpToDate>false</properties:LinksUpToDate>
  <properties:CharactersWithSpaces>2454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2016-04-27T11:53:00Z</dcterms:created>
  <dc:creator>Lidija Klinčić</dc:creator>
  <cp:lastModifiedBy>Lidija Klinčić</cp:lastModifiedBy>
  <dcterms:modified xmlns:xsi="http://www.w3.org/2001/XMLSchema-instance" xsi:type="dcterms:W3CDTF">2016-04-27T11:57:00Z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