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23571"/>
        <w:tblInd w:type="dxa" w:w="93"/>
        <w:tblLook w:val="04A0" w:noVBand="1" w:noHBand="0" w:lastColumn="0" w:firstColumn="1" w:lastRow="0" w:firstRow="1"/>
      </w:tblPr>
      <w:tblGrid>
        <w:gridCol w:w="2628"/>
        <w:gridCol w:w="860"/>
        <w:gridCol w:w="858"/>
        <w:gridCol w:w="1298"/>
        <w:gridCol w:w="3512"/>
        <w:gridCol w:w="3512"/>
        <w:gridCol w:w="3903"/>
        <w:gridCol w:w="2580"/>
        <w:gridCol w:w="1540"/>
        <w:gridCol w:w="960"/>
        <w:gridCol w:w="960"/>
        <w:gridCol w:w="960"/>
      </w:tblGrid>
      <w:tr w:rsidTr="004850D7" w:rsidR="004850D7" w:rsidRPr="004850D7">
        <w:trPr>
          <w:trHeight w:val="276"/>
        </w:trPr>
        <w:tc>
          <w:tcPr>
            <w:tcW w:type="dxa" w:w="434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bookmarkStart w:name="_GoBack" w:id="0"/>
            <w:bookmarkEnd w:id="0"/>
            <w:r w:rsidRPr="004850D7">
              <w:rPr>
                <w:rFonts w:cs="Arial" w:eastAsia="Times New Roman" w:hAnsi="Arial" w:ascii="Arial"/>
                <w:b/>
                <w:bCs/>
                <w:lang w:eastAsia="hr-HR"/>
              </w:rPr>
              <w:t>RIBA  d.d. u stečaju</w:t>
            </w: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3488"/>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Kaniška Iva bb</w:t>
            </w: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3488"/>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Kaniška Iva</w:t>
            </w: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85"/>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434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Virovitica, 18.10.2017.</w:t>
            </w: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7415"/>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TRGOVAČKI SUD U BJELOVARU</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7415"/>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Šetalište dr. I. Lebovića  42</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7415"/>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43 000 Bjelovar</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7415"/>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Na broj: St-296/2017</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3943"/>
            <w:gridSpan w:val="6"/>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Predračun troškova provođenja st. postupka u trajanju od 12 mjeseci</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300"/>
        </w:trPr>
        <w:tc>
          <w:tcPr>
            <w:tcW w:type="dxa" w:w="2628"/>
            <w:tcBorders>
              <w:top w:val="nil"/>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Red.br.</w:t>
            </w:r>
          </w:p>
        </w:tc>
        <w:tc>
          <w:tcPr>
            <w:tcW w:type="dxa" w:w="1718"/>
            <w:gridSpan w:val="2"/>
            <w:tcBorders>
              <w:top w:val="nil"/>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Vrsta troška</w:t>
            </w:r>
          </w:p>
        </w:tc>
        <w:tc>
          <w:tcPr>
            <w:tcW w:type="dxa" w:w="1298"/>
            <w:tcBorders>
              <w:top w:val="nil"/>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 </w:t>
            </w:r>
          </w:p>
        </w:tc>
        <w:tc>
          <w:tcPr>
            <w:tcW w:type="dxa" w:w="7024"/>
            <w:gridSpan w:val="2"/>
            <w:tcBorders>
              <w:top w:val="nil"/>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 xml:space="preserve">                                                                                                 Iznos kuna</w:t>
            </w:r>
          </w:p>
        </w:tc>
        <w:tc>
          <w:tcPr>
            <w:tcW w:type="dxa" w:w="3903"/>
            <w:tcBorders>
              <w:top w:val="nil"/>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4"/>
                <w:szCs w:val="24"/>
                <w:lang w:eastAsia="hr-HR"/>
              </w:rPr>
            </w:pPr>
            <w:r w:rsidRPr="004850D7">
              <w:rPr>
                <w:rFonts w:cs="Arial" w:eastAsia="Times New Roman" w:hAnsi="Arial" w:ascii="Arial"/>
                <w:sz w:val="24"/>
                <w:szCs w:val="24"/>
                <w:lang w:eastAsia="hr-HR"/>
              </w:rPr>
              <w:t xml:space="preserve">                              Iznos troška,kn</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15"/>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1.</w:t>
            </w:r>
          </w:p>
        </w:tc>
        <w:tc>
          <w:tcPr>
            <w:tcW w:type="dxa" w:w="301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Trošak oglašavanja  imovine</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20.000,00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2.</w:t>
            </w:r>
          </w:p>
        </w:tc>
        <w:tc>
          <w:tcPr>
            <w:tcW w:type="dxa" w:w="1718"/>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Trošak PDV-a</w:t>
            </w: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100.000,00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3.</w:t>
            </w:r>
          </w:p>
        </w:tc>
        <w:tc>
          <w:tcPr>
            <w:tcW w:type="dxa" w:w="1718"/>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Plaće (neto)</w:t>
            </w: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260.000,00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4.</w:t>
            </w:r>
          </w:p>
        </w:tc>
        <w:tc>
          <w:tcPr>
            <w:tcW w:type="dxa" w:w="1718"/>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Hrana za ribu</w:t>
            </w: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50.000,00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5.</w:t>
            </w:r>
          </w:p>
        </w:tc>
        <w:tc>
          <w:tcPr>
            <w:tcW w:type="dxa" w:w="6528"/>
            <w:gridSpan w:val="4"/>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Gorivo, rez. dijelovi i popravci</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20.000,00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6.</w:t>
            </w:r>
          </w:p>
        </w:tc>
        <w:tc>
          <w:tcPr>
            <w:tcW w:type="dxa" w:w="1718"/>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Porezi i doprinosi</w:t>
            </w: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40.000,00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55"/>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7.</w:t>
            </w:r>
          </w:p>
        </w:tc>
        <w:tc>
          <w:tcPr>
            <w:tcW w:type="dxa" w:w="301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Računovodstvene usluge</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20.000,00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8.</w:t>
            </w:r>
          </w:p>
        </w:tc>
        <w:tc>
          <w:tcPr>
            <w:tcW w:type="dxa" w:w="301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Komunalni i režijski trošak</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35.000,00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9.</w:t>
            </w:r>
          </w:p>
        </w:tc>
        <w:tc>
          <w:tcPr>
            <w:tcW w:type="dxa" w:w="301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 xml:space="preserve">Bruto nagrada st.  </w:t>
            </w:r>
            <w:r w:rsidRPr="004850D7">
              <w:rPr>
                <w:rFonts w:cs="Arial" w:eastAsia="Times New Roman" w:hAnsi="Arial" w:ascii="Arial"/>
                <w:lang w:eastAsia="hr-HR"/>
              </w:rPr>
              <w:lastRenderedPageBreak/>
              <w:t>upravitelja</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160.000,00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lastRenderedPageBreak/>
              <w:t>10.</w:t>
            </w:r>
          </w:p>
        </w:tc>
        <w:tc>
          <w:tcPr>
            <w:tcW w:type="dxa" w:w="6528"/>
            <w:gridSpan w:val="4"/>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Bruto stvarni trošak st. upravitelja</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20.000,00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11.</w:t>
            </w:r>
          </w:p>
        </w:tc>
        <w:tc>
          <w:tcPr>
            <w:tcW w:type="dxa" w:w="301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Trošak FINA-e usluga</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1.500,00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0"/>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12.</w:t>
            </w:r>
          </w:p>
        </w:tc>
        <w:tc>
          <w:tcPr>
            <w:tcW w:type="dxa" w:w="301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Poštanske usluge i dr.</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2.000,00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13.</w:t>
            </w:r>
          </w:p>
        </w:tc>
        <w:tc>
          <w:tcPr>
            <w:tcW w:type="dxa" w:w="6528"/>
            <w:gridSpan w:val="4"/>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Ostalo (takse, pristojbe, biljezi i dr.)</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5.000,00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center"/>
              <w:rPr>
                <w:rFonts w:cs="Arial" w:eastAsia="Times New Roman" w:hAnsi="Arial" w:ascii="Arial"/>
                <w:lang w:eastAsia="hr-HR"/>
              </w:rPr>
            </w:pPr>
            <w:r w:rsidRPr="004850D7">
              <w:rPr>
                <w:rFonts w:cs="Arial" w:eastAsia="Times New Roman" w:hAnsi="Arial" w:ascii="Arial"/>
                <w:lang w:eastAsia="hr-HR"/>
              </w:rPr>
              <w:t>14.</w:t>
            </w:r>
          </w:p>
        </w:tc>
        <w:tc>
          <w:tcPr>
            <w:tcW w:type="dxa" w:w="3016"/>
            <w:gridSpan w:val="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Trošak procjene imovine</w:t>
            </w: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lang w:eastAsia="hr-HR"/>
              </w:rPr>
            </w:pPr>
            <w:r w:rsidRPr="004850D7">
              <w:rPr>
                <w:rFonts w:cs="Arial" w:eastAsia="Times New Roman" w:hAnsi="Arial" w:ascii="Arial"/>
                <w:lang w:eastAsia="hr-HR"/>
              </w:rPr>
              <w:t>18.000,00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space="0" w:sz="4" w:color="auto" w:val="single"/>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 </w:t>
            </w:r>
          </w:p>
        </w:tc>
        <w:tc>
          <w:tcPr>
            <w:tcW w:type="dxa" w:w="1718"/>
            <w:gridSpan w:val="2"/>
            <w:tcBorders>
              <w:top w:space="0" w:sz="4" w:color="auto" w:val="single"/>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UKUPNO:</w:t>
            </w:r>
          </w:p>
        </w:tc>
        <w:tc>
          <w:tcPr>
            <w:tcW w:type="dxa" w:w="1298"/>
            <w:tcBorders>
              <w:top w:space="0" w:sz="4" w:color="auto" w:val="single"/>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lang w:eastAsia="hr-HR"/>
              </w:rPr>
            </w:pPr>
            <w:r w:rsidRPr="004850D7">
              <w:rPr>
                <w:rFonts w:cs="Arial" w:eastAsia="Times New Roman" w:hAnsi="Arial" w:ascii="Arial"/>
                <w:b/>
                <w:bCs/>
                <w:lang w:eastAsia="hr-HR"/>
              </w:rPr>
              <w:t> </w:t>
            </w:r>
          </w:p>
        </w:tc>
        <w:tc>
          <w:tcPr>
            <w:tcW w:type="dxa" w:w="3512"/>
            <w:tcBorders>
              <w:top w:space="0" w:sz="4" w:color="auto" w:val="single"/>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sz w:val="20"/>
                <w:szCs w:val="20"/>
                <w:lang w:eastAsia="hr-HR"/>
              </w:rPr>
            </w:pPr>
            <w:r w:rsidRPr="004850D7">
              <w:rPr>
                <w:rFonts w:cs="Arial" w:eastAsia="Times New Roman" w:hAnsi="Arial" w:ascii="Arial"/>
                <w:b/>
                <w:bCs/>
                <w:sz w:val="20"/>
                <w:szCs w:val="20"/>
                <w:lang w:eastAsia="hr-HR"/>
              </w:rPr>
              <w:t> </w:t>
            </w:r>
          </w:p>
        </w:tc>
        <w:tc>
          <w:tcPr>
            <w:tcW w:type="dxa" w:w="3512"/>
            <w:tcBorders>
              <w:top w:space="0" w:sz="4" w:color="auto" w:val="single"/>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b/>
                <w:bCs/>
                <w:sz w:val="20"/>
                <w:szCs w:val="20"/>
                <w:lang w:eastAsia="hr-HR"/>
              </w:rPr>
            </w:pPr>
            <w:r w:rsidRPr="004850D7">
              <w:rPr>
                <w:rFonts w:cs="Arial" w:eastAsia="Times New Roman" w:hAnsi="Arial" w:ascii="Arial"/>
                <w:b/>
                <w:bCs/>
                <w:sz w:val="20"/>
                <w:szCs w:val="20"/>
                <w:lang w:eastAsia="hr-HR"/>
              </w:rPr>
              <w:t> </w:t>
            </w:r>
          </w:p>
        </w:tc>
        <w:tc>
          <w:tcPr>
            <w:tcW w:type="dxa" w:w="3903"/>
            <w:tcBorders>
              <w:top w:space="0" w:sz="4" w:color="auto" w:val="single"/>
              <w:left w:val="nil"/>
              <w:bottom w:space="0" w:sz="4" w:color="auto" w:val="single"/>
              <w:right w:val="nil"/>
            </w:tcBorders>
            <w:shd w:fill="auto" w:color="auto" w:val="clear"/>
            <w:noWrap/>
            <w:vAlign w:val="bottom"/>
            <w:hideMark/>
          </w:tcPr>
          <w:p w:rsidRDefault="004850D7" w:rsidP="004850D7" w:rsidR="004850D7" w:rsidRPr="004850D7">
            <w:pPr>
              <w:spacing w:lineRule="auto" w:line="240" w:after="0"/>
              <w:jc w:val="right"/>
              <w:rPr>
                <w:rFonts w:cs="Arial" w:eastAsia="Times New Roman" w:hAnsi="Arial" w:ascii="Arial"/>
                <w:b/>
                <w:bCs/>
                <w:lang w:eastAsia="hr-HR"/>
              </w:rPr>
            </w:pPr>
            <w:r w:rsidRPr="004850D7">
              <w:rPr>
                <w:rFonts w:cs="Arial" w:eastAsia="Times New Roman" w:hAnsi="Arial" w:ascii="Arial"/>
                <w:b/>
                <w:bCs/>
                <w:lang w:eastAsia="hr-HR"/>
              </w:rPr>
              <w:t>751.500,00</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7415"/>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 xml:space="preserve">   Stečajni upravitelj</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7415"/>
            <w:gridSpan w:val="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r w:rsidRPr="004850D7">
              <w:rPr>
                <w:rFonts w:cs="Arial" w:eastAsia="Times New Roman" w:hAnsi="Arial" w:ascii="Arial"/>
                <w:lang w:eastAsia="hr-HR"/>
              </w:rPr>
              <w:t xml:space="preserve">     Valentić Branko </w:t>
            </w: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85"/>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sz w:val="20"/>
                <w:szCs w:val="20"/>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r>
      <w:tr w:rsidTr="004850D7" w:rsidR="004850D7" w:rsidRPr="004850D7">
        <w:trPr>
          <w:trHeight w:val="276"/>
        </w:trPr>
        <w:tc>
          <w:tcPr>
            <w:tcW w:type="dxa" w:w="262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85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298"/>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512"/>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3903"/>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258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154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c>
          <w:tcPr>
            <w:tcW w:type="dxa" w:w="960"/>
            <w:tcBorders>
              <w:top w:val="nil"/>
              <w:left w:val="nil"/>
              <w:bottom w:val="nil"/>
              <w:right w:val="nil"/>
            </w:tcBorders>
            <w:shd w:fill="auto" w:color="auto" w:val="clear"/>
            <w:noWrap/>
            <w:vAlign w:val="bottom"/>
            <w:hideMark/>
          </w:tcPr>
          <w:p w:rsidRDefault="004850D7" w:rsidP="004850D7" w:rsidR="004850D7" w:rsidRPr="004850D7">
            <w:pPr>
              <w:spacing w:lineRule="auto" w:line="240" w:after="0"/>
              <w:rPr>
                <w:rFonts w:cs="Arial" w:eastAsia="Times New Roman" w:hAnsi="Arial" w:ascii="Arial"/>
                <w:lang w:eastAsia="hr-HR"/>
              </w:rPr>
            </w:pPr>
          </w:p>
        </w:tc>
      </w:tr>
    </w:tbl>
    <w:p w14:textId="b4ed7e5" w14:paraId="b4ed7e5" w:rsidRDefault="00D40780" w:rsidP="004850D7" w:rsidR="00D40780" w:rsidRPr="004850D7">
      <w:pPr>
        <w15:collapsed w:val="false"/>
      </w:pPr>
    </w:p>
    <w:sectPr w:rsidSect="00FC3C19" w:rsidR="00D40780" w:rsidRPr="004850D7">
      <w:pgSz w:orient="landscape" w:h="11906" w:w="16838"/>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C19"/>
    <w:rsid w:val="0041107D"/>
    <w:rsid w:val="004850D7"/>
    <w:rsid w:val="006842E2"/>
    <w:rsid w:val="00CF7045"/>
    <w:rsid w:val="00D330C7"/>
    <w:rsid w:val="00D40780"/>
    <w:rsid w:val="00FC3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2E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F7045"/>
    <w:rPr>
      <w:color w:val="808080"/>
      <w:bdr w:space="0" w:sz="0" w:color="auto" w:val="none"/>
      <w:shd w:fill="CCFFFF" w:color="auto" w:val="clear"/>
    </w:rPr>
  </w:style>
  <w:style w:customStyle="true" w:styleId="eSPISCCParagraphDefaultFont" w:type="character">
    <w:name w:val="eSPIS_CC_Paragraph Default Font"/>
    <w:basedOn w:val="Zadanifontodlomka"/>
    <w:rsid w:val="00CF7045"/>
    <w:rPr>
      <w:rFonts w:cs="Times New Roman" w:eastAsia="Times New Roman" w:hAnsi="Times New Roman" w:ascii="Times New Roman"/>
      <w:b/>
      <w:bCs/>
      <w:sz w:val="24"/>
      <w:bdr w:space="0" w:sz="0" w:color="auto" w:val="none"/>
      <w:shd w:fill="auto" w:color="auto" w:val="clear"/>
      <w:lang w:eastAsia="hr-HR" w:val="hr-HR"/>
    </w:rPr>
  </w:style>
  <w:style w:customStyle="true" w:styleId="PozadinaSvijetloZuta" w:type="character">
    <w:name w:val="Pozadina_SvijetloZuta"/>
    <w:basedOn w:val="Zadanifontodlomka"/>
    <w:rsid w:val="00CF7045"/>
    <w:rPr>
      <w:rFonts w:cs="Arial" w:eastAsia="Times New Roman" w:hAnsi="Arial" w:ascii="Arial"/>
      <w:b/>
      <w:bCs/>
      <w:bdr w:space="0" w:sz="0" w:color="auto" w:val="none"/>
      <w:shd w:fill="FFFFCC" w:color="auto" w:val="clear"/>
      <w:lang w:eastAsia="hr-HR" w:val="hr-HR"/>
    </w:rPr>
  </w:style>
  <w:style w:customStyle="true" w:styleId="PozadinaSvijetloCrvena" w:type="character">
    <w:name w:val="Pozadina_SvijetloCrvena"/>
    <w:basedOn w:val="eSPISCCParagraphDefaultFont"/>
    <w:rsid w:val="00CF7045"/>
    <w:rPr>
      <w:rFonts w:cs="Arial" w:eastAsia="Times New Roman" w:hAnsi="Arial" w:ascii="Arial"/>
      <w:b w:val="false"/>
      <w:bCs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7045"/>
    <w:rPr>
      <w:rFonts w:cs="Arial" w:eastAsia="Times New Roman" w:hAnsi="Arial" w:ascii="Arial"/>
      <w:b w:val="false"/>
      <w:bCs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2E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F7045"/>
    <w:rPr>
      <w:color w:val="808080"/>
      <w:bdr w:color="auto" w:space="0" w:sz="0" w:val="none"/>
      <w:shd w:color="auto" w:fill="CCFFFF" w:val="clear"/>
    </w:rPr>
  </w:style>
  <w:style w:customStyle="1" w:styleId="eSPISCCParagraphDefaultFont" w:type="character">
    <w:name w:val="eSPIS_CC_Paragraph Default Font"/>
    <w:basedOn w:val="Zadanifontodlomka"/>
    <w:rsid w:val="00CF7045"/>
    <w:rPr>
      <w:rFonts w:ascii="Times New Roman" w:cs="Times New Roman" w:eastAsia="Times New Roman" w:hAnsi="Times New Roman"/>
      <w:b/>
      <w:bCs/>
      <w:sz w:val="24"/>
      <w:bdr w:color="auto" w:space="0" w:sz="0" w:val="none"/>
      <w:shd w:color="auto" w:fill="auto" w:val="clear"/>
      <w:lang w:eastAsia="hr-HR" w:val="hr-HR"/>
    </w:rPr>
  </w:style>
  <w:style w:customStyle="1" w:styleId="PozadinaSvijetloZuta" w:type="character">
    <w:name w:val="Pozadina_SvijetloZuta"/>
    <w:basedOn w:val="Zadanifontodlomka"/>
    <w:rsid w:val="00CF7045"/>
    <w:rPr>
      <w:rFonts w:ascii="Arial" w:cs="Arial" w:eastAsia="Times New Roman" w:hAnsi="Arial"/>
      <w:b/>
      <w:bCs/>
      <w:bdr w:color="auto" w:space="0" w:sz="0" w:val="none"/>
      <w:shd w:color="auto" w:fill="FFFFCC" w:val="clear"/>
      <w:lang w:eastAsia="hr-HR" w:val="hr-HR"/>
    </w:rPr>
  </w:style>
  <w:style w:customStyle="1" w:styleId="PozadinaSvijetloCrvena" w:type="character">
    <w:name w:val="Pozadina_SvijetloCrvena"/>
    <w:basedOn w:val="eSPISCCParagraphDefaultFont"/>
    <w:rsid w:val="00CF7045"/>
    <w:rPr>
      <w:rFonts w:ascii="Arial" w:cs="Arial" w:eastAsia="Times New Roman" w:hAnsi="Arial"/>
      <w:b w:val="0"/>
      <w:bCs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7045"/>
    <w:rPr>
      <w:rFonts w:ascii="Arial" w:cs="Arial" w:eastAsia="Times New Roman" w:hAnsi="Arial"/>
      <w:b w:val="0"/>
      <w:bCs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475305">
      <w:bodyDiv w:val="true"/>
      <w:marLeft w:val="0"/>
      <w:marRight w:val="0"/>
      <w:marTop w:val="0"/>
      <w:marBottom w:val="0"/>
      <w:divBdr>
        <w:top w:space="0" w:sz="0" w:color="auto" w:val="none"/>
        <w:left w:space="0" w:sz="0" w:color="auto" w:val="none"/>
        <w:bottom w:space="0" w:sz="0" w:color="auto" w:val="none"/>
        <w:right w:space="0" w:sz="0" w:color="auto" w:val="none"/>
      </w:divBdr>
    </w:div>
    <w:div w:id="325787575">
      <w:bodyDiv w:val="true"/>
      <w:marLeft w:val="0"/>
      <w:marRight w:val="0"/>
      <w:marTop w:val="0"/>
      <w:marBottom w:val="0"/>
      <w:divBdr>
        <w:top w:space="0" w:sz="0" w:color="auto" w:val="none"/>
        <w:left w:space="0" w:sz="0" w:color="auto" w:val="none"/>
        <w:bottom w:space="0" w:sz="0" w:color="auto" w:val="none"/>
        <w:right w:space="0" w:sz="0" w:color="auto" w:val="none"/>
      </w:divBdr>
    </w:div>
    <w:div w:id="5721614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izvorni_sadrzaj>
    <derivirana_varijabla naziv="DomainObject.Predmet.SudioniciListNazivOIB_1">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126</properties:Words>
  <properties:Characters>741</properties:Characters>
  <properties:Lines>532</properties:Lines>
  <properties:Paragraphs>59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2017-03-24T07:40:00Z</dcterms:created>
  <dc:creator>Marina Frčko</dc:creator>
  <cp:lastModifiedBy>Marina Frčko</cp:lastModifiedBy>
  <dcterms:modified xmlns:xsi="http://www.w3.org/2001/XMLSchema-instance" xsi:type="dcterms:W3CDTF">2017-10-23T06:37:00Z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