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8eb7" w14:paraId="e858eb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95427" w:rsidP="00E95427" w:rsidR="00E95427" w:rsidRPr="00E95427">
      <w:pPr>
        <w:spacing w:after="0"/>
        <w:ind w:firstLine="708" w:left="4956"/>
        <w:rPr>
          <w:rFonts w:cs="Times New Roman" w:eastAsia="Calibri"/>
          <w:szCs w:val="22"/>
        </w:rPr>
      </w:pPr>
      <w:r w:rsidRPr="00E95427">
        <w:rPr>
          <w:rFonts w:cs="Times New Roman" w:eastAsia="Calibri"/>
          <w:szCs w:val="22"/>
        </w:rPr>
        <w:t>Poslovni broj: 12. St-286/2013-6</w:t>
      </w:r>
    </w:p>
    <w:p w:rsidRDefault="00E95427" w:rsidP="00E95427" w:rsidR="00E95427" w:rsidRPr="00E95427">
      <w:pPr>
        <w:spacing w:after="0"/>
        <w:ind w:firstLine="708"/>
        <w:rPr>
          <w:rFonts w:cs="Times New Roman" w:eastAsia="Calibri"/>
          <w:sz w:val="4"/>
          <w:szCs w:val="4"/>
        </w:rPr>
      </w:pPr>
    </w:p>
    <w:p w:rsidRDefault="00E95427" w:rsidP="00E95427" w:rsidR="00E95427" w:rsidRPr="00E95427">
      <w:pPr>
        <w:spacing w:after="0"/>
        <w:rPr>
          <w:rFonts w:cs="Times New Roman" w:eastAsia="Calibri"/>
        </w:rPr>
      </w:pPr>
      <w:r w:rsidRPr="00E95427">
        <w:rPr>
          <w:rFonts w:cs="Times New Roman" w:eastAsia="Calibri"/>
        </w:rPr>
        <w:t>REPUBLIKA HRVATSKA</w:t>
      </w:r>
    </w:p>
    <w:p w:rsidRDefault="00E95427" w:rsidP="00E95427" w:rsidR="00E95427" w:rsidRPr="00E95427">
      <w:pPr>
        <w:spacing w:after="0"/>
        <w:rPr>
          <w:rFonts w:cs="Times New Roman" w:eastAsia="Calibri"/>
        </w:rPr>
      </w:pPr>
      <w:r w:rsidRPr="00E95427">
        <w:rPr>
          <w:rFonts w:cs="Times New Roman" w:eastAsia="Calibri"/>
        </w:rPr>
        <w:t>TRGOVAČKI SUD U SPLITU</w:t>
      </w:r>
    </w:p>
    <w:p w:rsidRDefault="00E95427" w:rsidP="00E95427" w:rsidR="00E95427" w:rsidRPr="00E95427">
      <w:pPr>
        <w:spacing w:after="0"/>
        <w:rPr>
          <w:rFonts w:cs="Times New Roman" w:eastAsia="Calibri"/>
        </w:rPr>
      </w:pPr>
      <w:r w:rsidRPr="00E95427">
        <w:rPr>
          <w:rFonts w:cs="Times New Roman" w:eastAsia="Calibri"/>
        </w:rPr>
        <w:t>Split, Sukoišanska br. 6</w:t>
      </w:r>
    </w:p>
    <w:p w:rsidRDefault="00E95427" w:rsidP="00E95427" w:rsidR="00E95427" w:rsidRPr="00E95427">
      <w:pPr>
        <w:spacing w:after="0"/>
        <w:rPr>
          <w:rFonts w:cs="Times New Roman" w:eastAsia="Calibri"/>
          <w:szCs w:val="22"/>
        </w:rPr>
      </w:pPr>
    </w:p>
    <w:p w:rsidRDefault="00E95427" w:rsidP="00E95427" w:rsidR="00E95427" w:rsidRPr="00E95427">
      <w:pPr>
        <w:spacing w:after="0"/>
        <w:jc w:val="center"/>
        <w:rPr>
          <w:rFonts w:cs="Times New Roman" w:eastAsia="Calibri"/>
          <w:szCs w:val="22"/>
        </w:rPr>
      </w:pPr>
      <w:r w:rsidRPr="00E95427">
        <w:rPr>
          <w:rFonts w:cs="Times New Roman" w:eastAsia="Calibri"/>
          <w:szCs w:val="22"/>
        </w:rPr>
        <w:t>R E P U B L I K A    H R V A T S K A</w:t>
      </w:r>
    </w:p>
    <w:p w:rsidRDefault="00E95427" w:rsidP="00E95427" w:rsidR="00E95427" w:rsidRPr="00E95427">
      <w:pPr>
        <w:spacing w:after="0"/>
        <w:jc w:val="center"/>
        <w:rPr>
          <w:rFonts w:cs="Times New Roman" w:eastAsia="Calibri"/>
          <w:szCs w:val="22"/>
        </w:rPr>
      </w:pPr>
    </w:p>
    <w:p w:rsidRDefault="00E95427" w:rsidP="00E95427" w:rsidR="00E95427" w:rsidRPr="00E95427">
      <w:pPr>
        <w:spacing w:after="0"/>
        <w:jc w:val="center"/>
        <w:rPr>
          <w:rFonts w:cs="Times New Roman" w:eastAsia="Calibri"/>
          <w:szCs w:val="22"/>
        </w:rPr>
      </w:pPr>
      <w:r w:rsidRPr="00E95427">
        <w:rPr>
          <w:rFonts w:cs="Times New Roman" w:eastAsia="Calibri"/>
          <w:szCs w:val="22"/>
        </w:rPr>
        <w:t>R J E Š E N J E</w:t>
      </w:r>
    </w:p>
    <w:p w:rsidRDefault="00E95427" w:rsidP="00E95427" w:rsidR="00E95427" w:rsidRPr="00E95427">
      <w:pPr>
        <w:spacing w:after="0"/>
        <w:jc w:val="center"/>
        <w:rPr>
          <w:rFonts w:cs="Times New Roman" w:eastAsia="Calibri"/>
          <w:b/>
          <w:szCs w:val="22"/>
        </w:rPr>
      </w:pPr>
    </w:p>
    <w:p w:rsidRDefault="00E95427" w:rsidP="00E95427" w:rsidR="00E95427" w:rsidRPr="00E95427">
      <w:pPr>
        <w:spacing w:after="0"/>
        <w:jc w:val="both"/>
        <w:rPr>
          <w:rFonts w:cs="Times New Roman" w:eastAsia="Calibri"/>
          <w:szCs w:val="22"/>
        </w:rPr>
      </w:pPr>
      <w:r w:rsidRPr="00E95427">
        <w:rPr>
          <w:rFonts w:cs="Times New Roman" w:eastAsia="Calibri"/>
          <w:szCs w:val="22"/>
        </w:rPr>
        <w:tab/>
        <w:t xml:space="preserve">Trgovački sud u Splitu, po sucu tog suda Pašku Bačiću, kao stečajnom sucu, u stečajnom postupku povodom prijedloga </w:t>
      </w:r>
      <w:r w:rsidRPr="00E95427">
        <w:rPr>
          <w:rFonts w:cs="Times New Roman" w:eastAsia="Calibri"/>
        </w:rPr>
        <w:t>predlagatelja-vjerovnika PERUTNINA PTUJ - PIPO d.o.o. Čakovec, Rudolfa Steinera 7, OIB: 07977096210, za otvaranje stečajnog postupka nad dužnikom KERUM d.o.o. Split, Zrinjsko-Frankopanska 68, OIB: 66124057408</w:t>
      </w:r>
      <w:r w:rsidRPr="00E95427">
        <w:rPr>
          <w:rFonts w:cs="Times New Roman" w:eastAsia="Calibri"/>
          <w:szCs w:val="22"/>
        </w:rPr>
        <w:t xml:space="preserve">, 2. listopada 2018. </w:t>
      </w:r>
    </w:p>
    <w:p w:rsidRDefault="00E95427" w:rsidP="00E95427" w:rsidR="00E95427" w:rsidRPr="00E95427">
      <w:pPr>
        <w:spacing w:after="0"/>
        <w:jc w:val="both"/>
        <w:rPr>
          <w:rFonts w:cs="Times New Roman" w:eastAsia="Calibri"/>
        </w:rPr>
      </w:pPr>
    </w:p>
    <w:p w:rsidRDefault="00E95427" w:rsidP="00E95427" w:rsidR="00E95427" w:rsidRPr="00E95427">
      <w:pPr>
        <w:spacing w:after="0"/>
        <w:jc w:val="center"/>
        <w:rPr>
          <w:rFonts w:cs="Times New Roman" w:eastAsia="Calibri"/>
          <w:szCs w:val="22"/>
        </w:rPr>
      </w:pPr>
      <w:r w:rsidRPr="00E95427">
        <w:rPr>
          <w:rFonts w:cs="Times New Roman" w:eastAsia="Calibri"/>
          <w:szCs w:val="22"/>
        </w:rPr>
        <w:t>r i j e š i o   j e</w:t>
      </w:r>
    </w:p>
    <w:p w:rsidRDefault="00E95427" w:rsidP="00E95427" w:rsidR="00E95427" w:rsidRPr="00E95427">
      <w:pPr>
        <w:spacing w:after="0"/>
        <w:jc w:val="center"/>
        <w:rPr>
          <w:rFonts w:cs="Times New Roman" w:eastAsia="Calibri"/>
          <w:szCs w:val="22"/>
        </w:rPr>
      </w:pPr>
    </w:p>
    <w:p w:rsidRDefault="00E95427" w:rsidP="00E95427" w:rsidR="00E95427" w:rsidRPr="00E95427">
      <w:pPr>
        <w:spacing w:after="0"/>
        <w:ind w:firstLine="348" w:left="360"/>
        <w:jc w:val="both"/>
        <w:rPr>
          <w:rFonts w:cs="Times New Roman" w:eastAsia="Calibri"/>
          <w:szCs w:val="22"/>
        </w:rPr>
      </w:pPr>
      <w:r w:rsidRPr="00E95427">
        <w:rPr>
          <w:rFonts w:cs="Times New Roman" w:eastAsia="Calibri"/>
          <w:szCs w:val="22"/>
        </w:rPr>
        <w:t xml:space="preserve">I.   Određuje se prekid ovog postupka. </w:t>
      </w:r>
    </w:p>
    <w:p w:rsidRDefault="00E95427" w:rsidP="00E95427" w:rsidR="00E95427" w:rsidRPr="00E95427">
      <w:pPr>
        <w:spacing w:after="0"/>
        <w:ind w:left="360"/>
        <w:jc w:val="both"/>
        <w:rPr>
          <w:rFonts w:cs="Times New Roman" w:eastAsia="Calibri"/>
          <w:szCs w:val="22"/>
        </w:rPr>
      </w:pPr>
    </w:p>
    <w:p w:rsidRDefault="00E95427" w:rsidP="00E95427" w:rsidR="00E95427" w:rsidRPr="00E95427">
      <w:pPr>
        <w:spacing w:after="0"/>
        <w:ind w:left="708"/>
        <w:jc w:val="both"/>
        <w:rPr>
          <w:rFonts w:cs="Times New Roman" w:eastAsia="Calibri"/>
          <w:szCs w:val="22"/>
        </w:rPr>
      </w:pPr>
      <w:r w:rsidRPr="00E95427">
        <w:rPr>
          <w:rFonts w:cs="Times New Roman" w:eastAsia="Calibri"/>
          <w:szCs w:val="22"/>
        </w:rPr>
        <w:t>II. Ovaj postupak će se nastaviti nakon donošenja pravomoćne odluke o ranije podnesenim prijedlozima za otvaranje stečajnog postupka nad dužnikom u predmetima koji se kod ovog suda vode pod poslovnim brojevima: St-2/2013, St-166/2013, St-171/2013, St-172/2013, St-174/2013, St-197/2013, St-198/2013, St-199/2013, St-211/2013, St-221/2013, St-245/2013 i  St-252/2013.</w:t>
      </w:r>
    </w:p>
    <w:p w:rsidRDefault="00E95427" w:rsidP="00E95427" w:rsidR="00E95427" w:rsidRPr="00E95427">
      <w:pPr>
        <w:spacing w:after="0"/>
        <w:ind w:left="360"/>
        <w:jc w:val="both"/>
        <w:rPr>
          <w:rFonts w:cs="Times New Roman" w:eastAsia="Calibri"/>
          <w:sz w:val="22"/>
          <w:szCs w:val="22"/>
        </w:rPr>
      </w:pPr>
    </w:p>
    <w:p w:rsidRDefault="00E95427" w:rsidP="00E95427" w:rsidR="00E95427" w:rsidRPr="00E95427">
      <w:pPr>
        <w:spacing w:after="0"/>
        <w:jc w:val="both"/>
        <w:rPr>
          <w:rFonts w:cs="Times New Roman" w:eastAsia="Calibri"/>
        </w:rPr>
      </w:pPr>
    </w:p>
    <w:p w:rsidRDefault="00E95427" w:rsidP="00E95427" w:rsidR="00E95427" w:rsidRPr="00E95427">
      <w:pPr>
        <w:spacing w:after="0"/>
        <w:jc w:val="center"/>
        <w:rPr>
          <w:rFonts w:cs="Times New Roman" w:eastAsia="Calibri"/>
        </w:rPr>
      </w:pPr>
      <w:r w:rsidRPr="00E95427">
        <w:rPr>
          <w:rFonts w:cs="Times New Roman" w:eastAsia="Calibri"/>
        </w:rPr>
        <w:t>Obrazloženje</w:t>
      </w:r>
    </w:p>
    <w:p w:rsidRDefault="00E95427" w:rsidP="00E95427" w:rsidR="00E95427" w:rsidRPr="00E95427">
      <w:pPr>
        <w:spacing w:after="0"/>
        <w:jc w:val="center"/>
        <w:rPr>
          <w:rFonts w:cs="Times New Roman" w:eastAsia="Calibri"/>
        </w:rPr>
      </w:pPr>
    </w:p>
    <w:p w:rsidRDefault="00E95427" w:rsidP="00E95427" w:rsidR="00E95427" w:rsidRPr="00E95427">
      <w:pPr>
        <w:spacing w:after="0"/>
        <w:ind w:firstLine="708"/>
        <w:jc w:val="both"/>
        <w:rPr>
          <w:rFonts w:cs="Times New Roman" w:eastAsia="Calibri"/>
        </w:rPr>
      </w:pPr>
      <w:r w:rsidRPr="00E95427">
        <w:rPr>
          <w:rFonts w:cs="Times New Roman" w:eastAsia="Calibri"/>
        </w:rPr>
        <w:t xml:space="preserve">Predlagatelj – vjerovnik Perutnina Ptuj - Pipo d.o.o. Čakovec podnio je ovom sudu 23. travnja 2013. prijedlog za otvaranje stečajnog postupka nad dužnikom KERUM d.o.o. Split, a koji prijedlog je zaveden pod poslovnim brojem </w:t>
      </w:r>
      <w:r w:rsidRPr="00E95427">
        <w:rPr>
          <w:rFonts w:cs="Times New Roman" w:eastAsia="Calibri"/>
          <w:szCs w:val="22"/>
        </w:rPr>
        <w:t>St-286/2013</w:t>
      </w:r>
      <w:r w:rsidRPr="00E95427">
        <w:rPr>
          <w:rFonts w:cs="Times New Roman" w:eastAsia="Calibri"/>
        </w:rPr>
        <w:t>.</w:t>
      </w:r>
    </w:p>
    <w:p w:rsidRDefault="00E95427" w:rsidP="00E95427" w:rsidR="00E95427" w:rsidRPr="00E95427">
      <w:pPr>
        <w:spacing w:after="0"/>
        <w:ind w:firstLine="708"/>
        <w:jc w:val="both"/>
        <w:rPr>
          <w:rFonts w:cs="Times New Roman" w:eastAsia="Calibri"/>
        </w:rPr>
      </w:pPr>
    </w:p>
    <w:p w:rsidRDefault="00E95427" w:rsidP="00E95427" w:rsidR="00E95427" w:rsidRPr="00E95427">
      <w:pPr>
        <w:spacing w:after="0"/>
        <w:ind w:firstLine="708"/>
        <w:jc w:val="both"/>
        <w:rPr>
          <w:rFonts w:cs="Times New Roman" w:eastAsia="Calibri"/>
          <w:szCs w:val="22"/>
        </w:rPr>
      </w:pPr>
      <w:r w:rsidRPr="00E95427">
        <w:rPr>
          <w:rFonts w:cs="Times New Roman" w:eastAsia="Calibri"/>
          <w:szCs w:val="22"/>
        </w:rPr>
        <w:t>Međutim, provjerom u stečajnoj pisarnici ovog suda utvrđeno je da su kod ovog suda već ranije zaprimljeni prijedlozi drugih predlagatelja – vjerovnika, za otvaranje stečajnog postupka nad istim dužnikom, a o kojim prijedlozima nije pravomoćno odlučeno i koji se kod ovog suda vode pod poslovnim brojevima: St-2/2013, St-166/2013, St-171/2013, St-172/2013, St-174/2013, St-197/2013, St-198/2013, St-199/2013, St-211/2013, St-221/2013, St-245/2013 i St-252/2013. Isto tako, utvrđeno je da je po prvom od tih zaprimljenih prijedloga koji se vodi pod brojem St-2/2013, rješenjem ovog suda broj St-2/2013 od 8. srpnja 2013. određen prekid tog postupka do pravomoćnog završetka postupka predstečajne nagodbe koji je dužnik pokrenuo kad Financijske agencije, a to rješenje o prekidu postupka potvrđeno je rješenjem Visokog trgovačkog suda RH broj 75. Pž-6667/13-3 od 22. kolovoza 2013.</w:t>
      </w:r>
    </w:p>
    <w:p w:rsidRDefault="00E95427" w:rsidP="00E95427" w:rsidR="00E95427" w:rsidRPr="00E95427">
      <w:pPr>
        <w:spacing w:after="0"/>
        <w:ind w:firstLine="720"/>
        <w:jc w:val="both"/>
        <w:rPr>
          <w:rFonts w:cs="Times New Roman" w:eastAsia="Calibri"/>
          <w:sz w:val="16"/>
          <w:szCs w:val="16"/>
        </w:rPr>
      </w:pPr>
    </w:p>
    <w:p w:rsidRDefault="00E95427" w:rsidP="00E95427" w:rsidR="00E95427" w:rsidRPr="00E95427">
      <w:pPr>
        <w:spacing w:after="0"/>
        <w:ind w:firstLine="720"/>
        <w:jc w:val="both"/>
        <w:rPr>
          <w:rFonts w:cs="Times New Roman" w:eastAsia="Calibri"/>
          <w:szCs w:val="22"/>
        </w:rPr>
      </w:pPr>
      <w:r w:rsidRPr="00E95427">
        <w:rPr>
          <w:rFonts w:cs="Times New Roman" w:eastAsia="Calibri"/>
          <w:szCs w:val="22"/>
        </w:rPr>
        <w:t xml:space="preserve">Protiv jednog dužnika ne može se voditi više stečajnih postupaka te u slučaju višestrukog predlaganja otvaranja stečajnog postupka nad jednim dužnikom, nadležni sud </w:t>
      </w:r>
      <w:r w:rsidRPr="00E95427">
        <w:rPr>
          <w:rFonts w:cs="Times New Roman" w:eastAsia="Calibri"/>
          <w:szCs w:val="22"/>
        </w:rPr>
        <w:lastRenderedPageBreak/>
        <w:t xml:space="preserve">provodi odgovarajući postupak po prvom zaprimljenom prijedlogu. Povodom kasnije zaprimljenih prijedloga postupak se prekida do pravomoćnosti odluke o prvom zaprimljenom prijedlogu, jer je pravomoćnost rješenja o prvom prijedlogu prethodno pitanje za ocjenu dopustivosti svih kasnijih prijedloga. Ako bi sud povodom prvog (odnosno ranije zaprimljenog) prijedloga pravomoćno otvorio stečajni postupak nad dužnikom, došlo bi do odbacivanja svih kasnije zaprimljenih prijedloga za otvaranje stečajnog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 </w:t>
      </w:r>
    </w:p>
    <w:p w:rsidRDefault="00E95427" w:rsidP="00E95427" w:rsidR="00E95427" w:rsidRPr="00E95427">
      <w:pPr>
        <w:spacing w:after="0"/>
        <w:ind w:firstLine="720"/>
        <w:jc w:val="both"/>
        <w:rPr>
          <w:rFonts w:cs="Times New Roman" w:eastAsia="Calibri"/>
          <w:szCs w:val="22"/>
        </w:rPr>
      </w:pPr>
    </w:p>
    <w:p w:rsidRDefault="00E95427" w:rsidP="00E95427" w:rsidR="00E95427" w:rsidRPr="00E95427">
      <w:pPr>
        <w:spacing w:after="0"/>
        <w:ind w:firstLine="720"/>
        <w:jc w:val="both"/>
        <w:rPr>
          <w:rFonts w:cs="Times New Roman" w:eastAsia="Calibri"/>
          <w:szCs w:val="22"/>
        </w:rPr>
      </w:pPr>
      <w:r w:rsidRPr="00E95427">
        <w:rPr>
          <w:rFonts w:cs="Times New Roman" w:eastAsia="Calibri"/>
          <w:szCs w:val="22"/>
        </w:rPr>
        <w:t xml:space="preserve">Kako su kod ovog suda već ranije zaprimljeni prijedlozi za otvaranje stečajnog postupka nad dužnikom o kojima nije pravomoćno odlučeno, to je stoga temeljem odredbi čl. 213. u vezi s čl. 12. Zakona o parničnom postupku (Narodne novine broj 53/91, 91/92, 112/99, 88/01, 117/03, 88/05, 2/07, 84/08, 96/08, 123/08, 57/11, 148/11 i 25/13 dalje ZPP-a) te čl. 6. Stečajnog zakona (Narodne novine broj 44/96, 29/99, 129/00, 123/03, 82/06, 116/10, 25/12, 133/12 i 45/13; dalje SZ) ovaj stečajni postupak, kao kasnije pokrenuti, valjalo prekinuti do donošenja pravomoćne odluke o ranije podnesenim prijedlozima za otvaranje stečajnog postupka nad dužnikom. </w:t>
      </w:r>
    </w:p>
    <w:p w:rsidRDefault="00E95427" w:rsidP="00E95427" w:rsidR="00E95427" w:rsidRPr="00E95427">
      <w:pPr>
        <w:spacing w:after="0"/>
        <w:ind w:firstLine="720"/>
        <w:jc w:val="both"/>
        <w:rPr>
          <w:rFonts w:cs="Times New Roman" w:eastAsia="Calibri"/>
          <w:szCs w:val="22"/>
        </w:rPr>
      </w:pPr>
    </w:p>
    <w:p w:rsidRDefault="00E95427" w:rsidP="00E95427" w:rsidR="00E95427" w:rsidRPr="00E95427">
      <w:pPr>
        <w:spacing w:after="0"/>
        <w:ind w:firstLine="720"/>
        <w:jc w:val="both"/>
        <w:rPr>
          <w:rFonts w:cs="Times New Roman" w:eastAsia="Calibri"/>
          <w:szCs w:val="22"/>
        </w:rPr>
      </w:pPr>
      <w:r w:rsidRPr="00E95427">
        <w:rPr>
          <w:rFonts w:cs="Times New Roman" w:eastAsia="Calibri"/>
          <w:szCs w:val="22"/>
        </w:rPr>
        <w:t xml:space="preserve">Slijedom naprijed navedenog, a temeljem naprijed navedenih odredbi ZPP-a i SZ-a, odlučeno je kao u točkama I. i II. izreke ovog rješenja. </w:t>
      </w:r>
    </w:p>
    <w:p w:rsidRDefault="00E95427" w:rsidP="00E95427" w:rsidR="00E95427" w:rsidRPr="00E95427">
      <w:pPr>
        <w:spacing w:after="0"/>
        <w:jc w:val="both"/>
        <w:rPr>
          <w:rFonts w:cs="Times New Roman" w:eastAsia="Calibri"/>
          <w:szCs w:val="22"/>
        </w:rPr>
      </w:pPr>
    </w:p>
    <w:p w:rsidRDefault="00E95427" w:rsidP="00E95427" w:rsidR="00E95427" w:rsidRPr="00E95427">
      <w:pPr>
        <w:spacing w:after="0"/>
        <w:jc w:val="center"/>
        <w:rPr>
          <w:rFonts w:cs="Times New Roman" w:eastAsia="Calibri"/>
        </w:rPr>
      </w:pPr>
      <w:r w:rsidRPr="00E95427">
        <w:rPr>
          <w:rFonts w:cs="Times New Roman" w:eastAsia="Calibri"/>
        </w:rPr>
        <w:t xml:space="preserve">U Splitu, 2. listopada 2018. </w:t>
      </w:r>
    </w:p>
    <w:p w:rsidRDefault="00E95427" w:rsidP="00E95427" w:rsidR="00E95427" w:rsidRPr="00E95427">
      <w:pPr>
        <w:spacing w:after="0"/>
        <w:ind w:firstLine="708"/>
        <w:jc w:val="both"/>
        <w:rPr>
          <w:rFonts w:cs="Times New Roman" w:eastAsia="Calibri"/>
          <w:sz w:val="16"/>
          <w:szCs w:val="16"/>
        </w:rPr>
      </w:pPr>
    </w:p>
    <w:p w:rsidRDefault="00E95427" w:rsidP="00E95427" w:rsidR="00E95427" w:rsidRPr="00E95427">
      <w:pPr>
        <w:spacing w:after="0"/>
        <w:ind w:left="4956"/>
        <w:jc w:val="center"/>
        <w:rPr>
          <w:rFonts w:cs="Times New Roman" w:eastAsia="Calibri"/>
        </w:rPr>
      </w:pPr>
      <w:r w:rsidRPr="00E95427">
        <w:rPr>
          <w:rFonts w:cs="Times New Roman" w:eastAsia="Calibri"/>
        </w:rPr>
        <w:t>Sudac</w:t>
      </w:r>
    </w:p>
    <w:p w:rsidRDefault="00E95427" w:rsidP="00E95427" w:rsidR="00E95427" w:rsidRPr="00E95427">
      <w:pPr>
        <w:spacing w:after="0"/>
        <w:ind w:left="4956"/>
        <w:jc w:val="center"/>
        <w:rPr>
          <w:rFonts w:cs="Times New Roman" w:eastAsia="Calibri"/>
          <w:sz w:val="28"/>
          <w:szCs w:val="28"/>
        </w:rPr>
      </w:pPr>
    </w:p>
    <w:p w:rsidRDefault="00E95427" w:rsidP="00E95427" w:rsidR="00E95427" w:rsidRPr="00E95427">
      <w:pPr>
        <w:spacing w:after="0"/>
        <w:ind w:left="4956"/>
        <w:jc w:val="center"/>
        <w:rPr>
          <w:rFonts w:cs="Times New Roman" w:eastAsia="Calibri"/>
        </w:rPr>
      </w:pPr>
      <w:r w:rsidRPr="00E95427">
        <w:rPr>
          <w:rFonts w:cs="Times New Roman" w:eastAsia="Calibri"/>
        </w:rPr>
        <w:t>Paško Bačić</w:t>
      </w:r>
      <w:r w:rsidRPr="00E95427">
        <w:rPr>
          <w:rFonts w:cs="Times New Roman" w:eastAsia="Calibri"/>
          <w:szCs w:val="22"/>
        </w:rPr>
        <w:t>, v.r.</w:t>
      </w:r>
    </w:p>
    <w:p w:rsidRDefault="00E95427" w:rsidP="00E95427" w:rsidR="00E95427" w:rsidRPr="00E95427">
      <w:pPr>
        <w:spacing w:after="0"/>
        <w:ind w:left="4956"/>
        <w:jc w:val="center"/>
        <w:rPr>
          <w:rFonts w:cs="Times New Roman" w:eastAsia="Calibri"/>
        </w:rPr>
      </w:pPr>
      <w:r w:rsidRPr="00E95427">
        <w:rPr>
          <w:rFonts w:cs="Times New Roman" w:eastAsia="Calibri"/>
        </w:rPr>
        <w:t>za točnost otpravka</w:t>
      </w:r>
      <w:r w:rsidRPr="00E95427">
        <w:rPr>
          <w:rFonts w:cs="Times New Roman" w:eastAsia="Calibri"/>
          <w:szCs w:val="22"/>
        </w:rPr>
        <w:t>-</w:t>
      </w:r>
      <w:r w:rsidRPr="00E95427">
        <w:rPr>
          <w:rFonts w:cs="Times New Roman" w:eastAsia="Calibri"/>
        </w:rPr>
        <w:t>ovlašteni službenik</w:t>
      </w:r>
    </w:p>
    <w:p w:rsidRDefault="00E95427" w:rsidP="00E95427" w:rsidR="00E95427" w:rsidRPr="00E95427">
      <w:pPr>
        <w:spacing w:after="0"/>
        <w:ind w:firstLine="708" w:left="5664"/>
        <w:rPr>
          <w:rFonts w:cs="Times New Roman" w:eastAsia="Calibri"/>
          <w:szCs w:val="22"/>
        </w:rPr>
      </w:pPr>
      <w:r w:rsidRPr="00E95427">
        <w:rPr>
          <w:rFonts w:cs="Times New Roman" w:eastAsia="Calibri"/>
        </w:rPr>
        <w:t xml:space="preserve"> Vesna Čargo</w:t>
      </w:r>
    </w:p>
    <w:p w:rsidRDefault="00E95427" w:rsidP="00E95427" w:rsidR="00E95427" w:rsidRPr="00E95427">
      <w:pPr>
        <w:spacing w:after="0"/>
        <w:rPr>
          <w:rFonts w:cs="Times New Roman" w:eastAsia="Calibri"/>
        </w:rPr>
      </w:pPr>
    </w:p>
    <w:p w:rsidRDefault="00E95427" w:rsidP="00E95427" w:rsidR="00E95427" w:rsidRPr="00E95427">
      <w:pPr>
        <w:spacing w:after="0"/>
        <w:rPr>
          <w:rFonts w:cs="Times New Roman" w:eastAsia="Calibri"/>
        </w:rPr>
      </w:pPr>
    </w:p>
    <w:p w:rsidRDefault="00E95427" w:rsidP="00E95427" w:rsidR="00E95427" w:rsidRPr="00E95427">
      <w:pPr>
        <w:spacing w:after="0"/>
        <w:rPr>
          <w:rFonts w:cs="Times New Roman" w:eastAsia="Calibri"/>
          <w:szCs w:val="22"/>
        </w:rPr>
      </w:pPr>
    </w:p>
    <w:p w:rsidRDefault="00E95427" w:rsidP="00E95427" w:rsidR="00E95427" w:rsidRPr="00E95427">
      <w:pPr>
        <w:spacing w:after="0"/>
        <w:jc w:val="both"/>
        <w:rPr>
          <w:rFonts w:cs="Times New Roman" w:eastAsia="Calibri"/>
          <w:szCs w:val="22"/>
        </w:rPr>
      </w:pPr>
      <w:r w:rsidRPr="00E95427">
        <w:rPr>
          <w:rFonts w:cs="Times New Roman" w:eastAsia="Calibri"/>
          <w:szCs w:val="22"/>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E95427" w:rsidP="00E95427" w:rsidR="00E95427" w:rsidRPr="00E95427">
      <w:pPr>
        <w:spacing w:after="0"/>
        <w:rPr>
          <w:rFonts w:cs="Times New Roman" w:eastAsia="Calibri"/>
          <w:szCs w:val="22"/>
        </w:rPr>
      </w:pPr>
    </w:p>
    <w:p w:rsidRDefault="00E95427" w:rsidP="00E95427" w:rsidR="00E95427" w:rsidRPr="00E95427">
      <w:pPr>
        <w:spacing w:after="0"/>
        <w:rPr>
          <w:rFonts w:cs="Times New Roman" w:eastAsia="Calibri"/>
          <w:sz w:val="16"/>
          <w:szCs w:val="16"/>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427"/>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27455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St-286/2013-6</izvorni_sadrzaj>
    <derivirana_varijabla naziv="DomainObject.Oznaka_1">St-286/2013-6</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2013.</izvorni_sadrzaj>
    <derivirana_varijabla naziv="DomainObject.Predmet.DatumOsnivanja_1">24.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St-286/2013</izvorni_sadrzaj>
    <derivirana_varijabla naziv="DomainObject.Predmet.OznakaBroj_1">St-286/2013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PERUTNINA PTUJ - PIPO d.o.o. za proizvodnju i trgovinu</izvorni_sadrzaj>
    <derivirana_varijabla naziv="DomainObject.Predmet.StrankaFormated_1">  PERUTNINA PTUJ - PIPO d.o.o. za proizvodnju i trgovinu</derivirana_varijabla>
  </DomainObject.Predmet.StrankaFormated>
  <DomainObject.Predmet.StrankaFormatedOIB>
    <izvorni_sadrzaj>  PERUTNINA PTUJ - PIPO d.o.o. za proizvodnju i trgovinu, OIB 07977096210</izvorni_sadrzaj>
    <derivirana_varijabla naziv="DomainObject.Predmet.StrankaFormatedOIB_1">  PERUTNINA PTUJ - PIPO d.o.o. za proizvodnju i trgovinu, OIB 07977096210</derivirana_varijabla>
  </DomainObject.Predmet.StrankaFormatedOIB>
  <DomainObject.Predmet.StrankaFormatedWithAdress>
    <izvorni_sadrzaj> PERUTNINA PTUJ - PIPO d.o.o. za proizvodnju i trgovinu, Ind.zona Istok,Rudolfa Steinera 7, Čakovec</izvorni_sadrzaj>
    <derivirana_varijabla naziv="DomainObject.Predmet.StrankaFormatedWithAdress_1"> PERUTNINA PTUJ - PIPO d.o.o. za proizvodnju i trgovinu, Ind.zona Istok,Rudolfa Steinera 7, Čakovec</derivirana_varijabla>
  </DomainObject.Predmet.StrankaFormatedWithAdress>
  <DomainObject.Predmet.StrankaFormatedWithAdressOIB>
    <izvorni_sadrzaj> PERUTNINA PTUJ - PIPO d.o.o. za proizvodnju i trgovinu, OIB 07977096210, Ind.zona Istok,Rudolfa Steinera 7, Čakovec</izvorni_sadrzaj>
    <derivirana_varijabla naziv="DomainObject.Predmet.StrankaFormatedWithAdressOIB_1"> PERUTNINA PTUJ - PIPO d.o.o. za proizvodnju i trgovinu, OIB 07977096210, Ind.zona Istok,Rudolfa Steinera 7, Čakovec</derivirana_varijabla>
  </DomainObject.Predmet.StrankaFormatedWithAdressOIB>
  <DomainObject.Predmet.StrankaWithAdress>
    <izvorni_sadrzaj>PERUTNINA PTUJ - PIPO d.o.o. za proizvodnju i trgovinu Ind.zona Istok,Rudolfa Steinera 7,Čakovec</izvorni_sadrzaj>
    <derivirana_varijabla naziv="DomainObject.Predmet.StrankaWithAdress_1">PERUTNINA PTUJ - PIPO d.o.o. za proizvodnju i trgovinu Ind.zona Istok,Rudolfa Steinera 7,Čakovec</derivirana_varijabla>
  </DomainObject.Predmet.StrankaWithAdress>
  <DomainObject.Predmet.StrankaWithAdressOIB>
    <izvorni_sadrzaj>PERUTNINA PTUJ - PIPO d.o.o. za proizvodnju i trgovinu, OIB 07977096210, Ind.zona Istok,Rudolfa Steinera 7,Čakovec</izvorni_sadrzaj>
    <derivirana_varijabla naziv="DomainObject.Predmet.StrankaWithAdressOIB_1">PERUTNINA PTUJ - PIPO d.o.o. za proizvodnju i trgovinu, OIB 07977096210, Ind.zona Istok,Rudolfa Steinera 7,Čakovec</derivirana_varijabla>
  </DomainObject.Predmet.StrankaWithAdressOIB>
  <DomainObject.Predmet.StrankaNazivFormated>
    <izvorni_sadrzaj>PERUTNINA PTUJ - PIPO d.o.o. za proizvodnju i trgovinu</izvorni_sadrzaj>
    <derivirana_varijabla naziv="DomainObject.Predmet.StrankaNazivFormated_1">PERUTNINA PTUJ - PIPO d.o.o. za proizvodnju i trgovinu</derivirana_varijabla>
  </DomainObject.Predmet.StrankaNazivFormated>
  <DomainObject.Predmet.StrankaNazivFormatedOIB>
    <izvorni_sadrzaj>PERUTNINA PTUJ - PIPO d.o.o. za proizvodnju i trgovinu, OIB 07977096210</izvorni_sadrzaj>
    <derivirana_varijabla naziv="DomainObject.Predmet.StrankaNazivFormatedOIB_1">PERUTNINA PTUJ - PIPO d.o.o. za proizvodnju i trgovinu, OIB 07977096210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PERUTNINA PTUJ - PIPO d.o.o. za proizvodnju i trgovinu</item>
    </izvorni_sadrzaj>
    <derivirana_varijabla naziv="DomainObject.Predmet.StrankaListFormated_1">
      <item>PERUTNINA PTUJ - PIPO d.o.o. za proizvodnju i trgovinu</item>
    </derivirana_varijabla>
  </DomainObject.Predmet.StrankaListFormated>
  <DomainObject.Predmet.StrankaListFormatedOIB>
    <izvorni_sadrzaj>
      <item>PERUTNINA PTUJ - PIPO d.o.o. za proizvodnju i trgovinu, OIB 07977096210</item>
    </izvorni_sadrzaj>
    <derivirana_varijabla naziv="DomainObject.Predmet.StrankaListFormatedOIB_1">
      <item>PERUTNINA PTUJ - PIPO d.o.o. za proizvodnju i trgovinu, OIB 07977096210</item>
    </derivirana_varijabla>
  </DomainObject.Predmet.StrankaListFormatedOIB>
  <DomainObject.Predmet.StrankaListFormatedWithAdress>
    <izvorni_sadrzaj>
      <item>PERUTNINA PTUJ - PIPO d.o.o. za proizvodnju i trgovinu, Ind.zona Istok,Rudolfa Steinera 7, Čakovec</item>
    </izvorni_sadrzaj>
    <derivirana_varijabla naziv="DomainObject.Predmet.StrankaListFormatedWithAdress_1">
      <item>PERUTNINA PTUJ - PIPO d.o.o. za proizvodnju i trgovinu, Ind.zona Istok,Rudolfa Steinera 7, Čakovec</item>
    </derivirana_varijabla>
  </DomainObject.Predmet.StrankaListFormatedWithAdress>
  <DomainObject.Predmet.StrankaListFormatedWithAdressOIB>
    <izvorni_sadrzaj>
      <item>PERUTNINA PTUJ - PIPO d.o.o. za proizvodnju i trgovinu, OIB 07977096210, Ind.zona Istok,Rudolfa Steinera 7, Čakovec</item>
    </izvorni_sadrzaj>
    <derivirana_varijabla naziv="DomainObject.Predmet.StrankaListFormatedWithAdressOIB_1">
      <item>PERUTNINA PTUJ - PIPO d.o.o. za proizvodnju i trgovinu, OIB 07977096210, Ind.zona Istok,Rudolfa Steinera 7, Čakovec</item>
    </derivirana_varijabla>
  </DomainObject.Predmet.StrankaListFormatedWithAdressOIB>
  <DomainObject.Predmet.StrankaListNazivFormated>
    <izvorni_sadrzaj>
      <item>PERUTNINA PTUJ - PIPO d.o.o. za proizvodnju i trgovinu</item>
    </izvorni_sadrzaj>
    <derivirana_varijabla naziv="DomainObject.Predmet.StrankaListNazivFormated_1">
      <item>PERUTNINA PTUJ - PIPO d.o.o. za proizvodnju i trgovinu</item>
    </derivirana_varijabla>
  </DomainObject.Predmet.StrankaListNazivFormated>
  <DomainObject.Predmet.StrankaListNazivFormatedOIB>
    <izvorni_sadrzaj>
      <item>PERUTNINA PTUJ - PIPO d.o.o. za proizvodnju i trgovinu, OIB 07977096210</item>
    </izvorni_sadrzaj>
    <derivirana_varijabla naziv="DomainObject.Predmet.StrankaListNazivFormatedOIB_1">
      <item>PERUTNINA PTUJ - PIPO d.o.o. za proizvodnju i trgovinu, OIB 07977096210</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St-286/2013-6</izvorni_sadrzaj>
    <derivirana_varijabla naziv="DomainObject.PoslovniBrojDokumenta_1">St-286/2013-6</derivirana_varijabla>
  </DomainObject.PoslovniBrojDokumenta>
  <DomainObject.Predmet.StrankaIDrugi>
    <izvorni_sadrzaj>PERUTNINA PTUJ - PIPO d.o.o. za proizvodnju i trgovinu</izvorni_sadrzaj>
    <derivirana_varijabla naziv="DomainObject.Predmet.StrankaIDrugi_1">PERUTNINA PTUJ - PIPO d.o.o. za proizvodnju i trgovinu</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PERUTNINA PTUJ - PIPO d.o.o. za proizvodnju i trgovinu, OIB 07977096210, Ind.zona Istok,Rudolfa Steinera 7, Čakovec</izvorni_sadrzaj>
    <derivirana_varijabla naziv="DomainObject.Predmet.StrankaIDrugiAdressOIB_1">PERUTNINA PTUJ - PIPO d.o.o. za proizvodnju i trgovinu, OIB 07977096210, Ind.zona Istok,Rudolfa Steinera 7, Čakovec</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PERUTNINA PTUJ - PIPO d.o.o. za proizvodnju i trgovinu</item>
    </izvorni_sadrzaj>
    <derivirana_varijabla naziv="DomainObject.Predmet.SudioniciListNaziv_1">
      <item>KERUM društvo s ograničenom odgovornošću, za unutarnju i vanjsku trgovinu, promet i usluge</item>
      <item>PERUTNINA PTUJ - PIPO d.o.o. za proizvodnju i trgovinu</item>
    </derivirana_varijabla>
  </DomainObject.Predmet.SudioniciListNaziv>
  <DomainObject.Predmet.SudioniciListAdressOIB>
    <izvorni_sadrzaj>
      <item>KERUM društvo s ograničenom odgovornošću, za unutarnju i vanjsku trgovinu, promet i usluge, OIB 66124057408, Zrinjsko Frankopanska 68,Split</item>
      <item>PERUTNINA PTUJ - PIPO d.o.o. za proizvodnju i trgovinu, OIB 07977096210, Ind.zona Istok,Rudolfa Steinera 7,Čakovec</item>
    </izvorni_sadrzaj>
    <derivirana_varijabla naziv="DomainObject.Predmet.SudioniciListAdressOIB_1">
      <item>KERUM društvo s ograničenom odgovornošću, za unutarnju i vanjsku trgovinu, promet i usluge, OIB 66124057408, Zrinjsko Frankopanska 68,Split</item>
      <item>PERUTNINA PTUJ - PIPO d.o.o. za proizvodnju i trgovinu, OIB 07977096210, Ind.zona Istok,Rudolfa Steinera 7,Čakovec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C938E7-01D5-489D-84A9-2F1FD64D68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610</properties:Words>
  <properties:Characters>3613</properties:Characters>
  <properties:Lines>87</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Paško Bačić</cp:lastModifiedBy>
  <dcterms:modified xmlns:xsi="http://www.w3.org/2001/XMLSchema-instance" xsi:type="dcterms:W3CDTF">2018-10-02T11:07:00Z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St-286/2013-6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