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23523e" w14:paraId="a23523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5255C">
        <w:rPr>
          <w:rFonts w:hAnsi="Times New Roman" w:ascii="Times New Roman"/>
          <w:b/>
          <w:sz w:val="24"/>
          <w:szCs w:val="24"/>
        </w:rPr>
        <w:t>930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5255C">
        <w:rPr>
          <w:rFonts w:hAnsi="Times New Roman" w:ascii="Times New Roman"/>
          <w:sz w:val="24"/>
          <w:szCs w:val="24"/>
        </w:rPr>
        <w:t>930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5255C" w:rsidRPr="0095255C">
        <w:rPr>
          <w:rFonts w:hAnsi="Times New Roman" w:ascii="Times New Roman"/>
          <w:sz w:val="24"/>
          <w:szCs w:val="24"/>
        </w:rPr>
        <w:t>CONFECTOR d.o.o.</w:t>
      </w:r>
      <w:r w:rsidR="0095255C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5255C" w:rsidRPr="0095255C">
        <w:rPr>
          <w:rFonts w:hAnsi="Times New Roman" w:ascii="Times New Roman"/>
          <w:sz w:val="24"/>
          <w:szCs w:val="24"/>
        </w:rPr>
        <w:t>49171948722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2E60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2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2E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2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2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2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2E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2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2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CONFECTOR d.o.o.</item>
    </izvorni_sadrzaj>
    <derivirana_varijabla naziv="DomainObject.Predmet.SudioniciListNaziv_1">
      <item>FINA Regionalni centar Zagreb</item>
      <item>CONFECTOR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CONFECTOR d.o.o., OIB 49171948722, Trg hrvatskih velikana 4,10000 Zagreb</item>
    </izvorni_sadrzaj>
    <derivirana_varijabla naziv="DomainObject.Predmet.SudioniciListAdressOIB_1">
      <item>FINA Regionalni centar Zagreb, OIB 85821130368, Trg svibanjskih žrtava 1995. br. 1,10000 Zagreb</item>
      <item>CONFECTOR d.o.o., OIB 49171948722,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49171948722</item>
    </izvorni_sadrzaj>
    <derivirana_varijabla naziv="DomainObject.Predmet.SudioniciListNazivOIB_1">
      <item>, OIB 85821130368</item>
      <item>, OIB 49171948722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2016-04-15T08:39:00Z</cp:lastPrinted>
  <dcterms:modified xmlns:xsi="http://www.w3.org/2001/XMLSchema-instance" xsi:type="dcterms:W3CDTF">2016-04-15T08:41:00Z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