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60"/>
      </w:tblGrid>
      <w:tr w:rsidTr="00B47262" w:rsidR="00B47262">
        <w:tc>
          <w:tcPr>
            <w:tcW w:type="dxa" w:w="3060"/>
            <w:tcMar>
              <w:top w:type="dxa" w:w="0"/>
              <w:left w:type="dxa" w:w="108"/>
              <w:bottom w:type="dxa" w:w="0"/>
              <w:right w:type="dxa" w:w="108"/>
            </w:tcMar>
            <w:hideMark/>
          </w:tcPr>
          <w:p w:rsidRDefault="00B47262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 </w:t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721D91" w:rsidP="00B16D89" w:rsidR="00721D91">
            <w:pPr>
              <w:tabs>
                <w:tab w:pos="1080" w:val="left"/>
                <w:tab w:pos="5940" w:val="left"/>
              </w:tabs>
              <w:jc w:val="both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1D91" w:rsidR="00721D91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B47262" w:rsidR="00B47262">
            <w:pPr>
              <w:keepNext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   Trgovački sud u Zagrebu</w:t>
            </w:r>
          </w:p>
          <w:p w:rsidRDefault="00B47262" w:rsidR="00B47262">
            <w:pPr>
              <w:overflowPunct w:val="false"/>
              <w:autoSpaceDE w:val="false"/>
              <w:autoSpaceDN w:val="false"/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     Zagreb,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c0d1be7" w14:paraId="c0d1be7" w:rsidRDefault="00B47262" w:rsidP="00B47262" w:rsidR="00B47262">
      <w:pPr>
        <w:overflowPunct w:val="false"/>
        <w:autoSpaceDE w:val="false"/>
        <w:autoSpaceDN w:val="false"/>
        <w:spacing w:lineRule="auto" w:line="240" w:after="0"/>
        <w15:collapsed w:val="false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                                                                                                                          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81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  <w:r>
        <w:rPr>
          <w:rFonts w:hAnsi="Times New Roman" w:ascii="Times New Roman"/>
          <w:b/>
          <w:bCs/>
          <w:sz w:val="24"/>
          <w:szCs w:val="24"/>
          <w:lang w:eastAsia="hr-HR"/>
        </w:rPr>
        <w:t xml:space="preserve"> </w:t>
      </w:r>
      <w:r>
        <w:rPr>
          <w:rFonts w:hAnsi="Times New Roman" w:ascii="Times New Roman"/>
          <w:sz w:val="24"/>
          <w:szCs w:val="24"/>
          <w:lang w:eastAsia="hr-HR"/>
        </w:rPr>
        <w:t>St-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7248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               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 R E P U B L I K A    H R V A T S K A                  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J E Š E N J 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Trgovački sud u Zagrebu po sudskom savjetniku  Mariju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Žiškoviću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u pravnoj stvari podnositelja zahtjeva Financijske agencije,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 za pokretanjem skraćenog </w:t>
      </w:r>
      <w:r w:rsidR="00A71838">
        <w:rPr>
          <w:rFonts w:hAnsi="Times New Roman" w:ascii="Times New Roman"/>
          <w:sz w:val="24"/>
          <w:szCs w:val="24"/>
          <w:lang w:eastAsia="hr-HR"/>
        </w:rPr>
        <w:t xml:space="preserve">stečajnog postupka nad dužnikom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LEDL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DESIGN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d.o.o., Zagreb, Milke Trnine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14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080012613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48152209178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dana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>. svibnja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 i j e š i o    je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237673" w:rsidR="00237673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10739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LEDL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DESIGN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d.o.o., Zagreb, Milke Trnine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14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MBS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>: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080012613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OIB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: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48152209178</w:t>
      </w:r>
      <w:proofErr w:type="spellEnd"/>
      <w:r w:rsidR="00D10739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D10739" w:rsidP="00237673" w:rsidR="00D10739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left="36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Zahtjev za provedbu skraćenog stečajnog postupka nad gore navedenom pravnom osobom podnijela je ovome sudu Financijska agencija, Zagreb, Trg svibanjskih žrtava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1995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br. 1,  (dalje: FINA), temeljem odredbe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Stečajnog zakona (NN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71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/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dalje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), navodeći da su kod dužnika ispunjeni uvjeti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-a: da dužnik nema zaposlenih, da nisu ispunjeni uvjeti za pokretanje drugog postupka radi brisanja istog iz sudskog registra te da u Očevidniku redoslijeda osnova za plaćanje (dalje: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)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Uz prijedlog FINA dostavlja podatke za identifikaciju dužnika, brojeve njegovih bankovnih računa; potvrdu Hrvatskog zavoda za mirovinsko osiguranje, uvidom u koju je utvrđeno da dužnik na dan podnošenja ovog prijedloga nema zaposlenih;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ORP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, uvidom u koji je utvrđeno da dužnik ima evidentirane neizvršene osnove za plaćanje u neprekidnom razdoblju od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120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dana te da ukupni iznos duga evidentiranog na temelju neizvršenih osnova za plaćanje iznosi 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5.808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>,</w:t>
      </w:r>
      <w:proofErr w:type="spellStart"/>
      <w:r w:rsidR="003D7BC1">
        <w:rPr>
          <w:rFonts w:hAnsi="Times New Roman" w:ascii="Times New Roman"/>
          <w:sz w:val="24"/>
          <w:szCs w:val="24"/>
          <w:lang w:eastAsia="hr-HR"/>
        </w:rPr>
        <w:t>69</w:t>
      </w:r>
      <w:proofErr w:type="spellEnd"/>
      <w:r w:rsidR="003D7BC1">
        <w:rPr>
          <w:rFonts w:hAnsi="Times New Roman" w:ascii="Times New Roman"/>
          <w:sz w:val="24"/>
          <w:szCs w:val="24"/>
          <w:lang w:eastAsia="hr-HR"/>
        </w:rPr>
        <w:t xml:space="preserve"> k</w:t>
      </w:r>
      <w:r w:rsidR="00721D91">
        <w:rPr>
          <w:rFonts w:hAnsi="Times New Roman" w:ascii="Times New Roman"/>
          <w:sz w:val="24"/>
          <w:szCs w:val="24"/>
          <w:lang w:eastAsia="hr-HR"/>
        </w:rPr>
        <w:t>n</w:t>
      </w:r>
      <w:r>
        <w:rPr>
          <w:rFonts w:hAnsi="Times New Roman" w:ascii="Times New Roman"/>
          <w:sz w:val="24"/>
          <w:szCs w:val="24"/>
          <w:lang w:eastAsia="hr-HR"/>
        </w:rPr>
        <w:t xml:space="preserve"> na dan 1. rujna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2015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       Uvidom u izvadak iz sudskog registra za dužnika utvrđeno je da nisu ispunjene pretpostavke za pokretanje drugog postupka radi brisanja dužnika iz sudskog registra.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            </w:t>
      </w:r>
    </w:p>
    <w:p w:rsidRDefault="00B47262" w:rsidP="00B47262" w:rsidR="00B47262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lastRenderedPageBreak/>
        <w:t xml:space="preserve">Temeljem gore navedenog proizlazi da je udovoljeno uvjetima iz čl.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i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429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-a, te je stoga odlučeno kao u izreci ovog rješenja, temeljem odredbe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428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SZ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U Zagrebu, 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13</w:t>
      </w:r>
      <w:proofErr w:type="spellEnd"/>
      <w:r w:rsidR="00721D91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2016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ind w:firstLine="720" w:left="504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SUDSKI SAVJETNIK:</w:t>
      </w:r>
    </w:p>
    <w:p w:rsidRDefault="00B47262" w:rsidP="00B47262" w:rsidR="004634B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                                                                                                      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MARIO </w:t>
      </w:r>
      <w:proofErr w:type="spellStart"/>
      <w:r w:rsidR="00721D91">
        <w:rPr>
          <w:rFonts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4634BA" w:rsidP="00B47262" w:rsidR="004634B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Za točnost 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4634BA" w:rsidP="00B47262" w:rsidR="00B47262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</w:t>
      </w:r>
      <w:bookmarkStart w:name="_GoBack" w:id="0"/>
      <w:bookmarkEnd w:id="0"/>
      <w:r>
        <w:rPr>
          <w:rFonts w:hAnsi="Times New Roman" w:ascii="Times New Roman"/>
          <w:sz w:val="24"/>
          <w:szCs w:val="24"/>
          <w:lang w:eastAsia="hr-HR"/>
        </w:rPr>
        <w:t>Željka Kordić</w:t>
      </w:r>
      <w:r w:rsidR="00721D9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21D91" w:rsidP="004634BA" w:rsidR="004634BA">
      <w:pPr>
        <w:spacing w:lineRule="auto" w:line="240" w:after="0"/>
        <w:jc w:val="center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</w:p>
    <w:p w:rsidRDefault="00B47262" w:rsidP="004634BA" w:rsidR="00B47262">
      <w:pPr>
        <w:spacing w:lineRule="auto" w:line="240" w:after="0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>Uputa o pravnom lijeku: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  <w:r>
        <w:rPr>
          <w:rFonts w:hAnsi="Times New Roman" w:ascii="Times New Roman"/>
          <w:i/>
          <w:iCs/>
          <w:sz w:val="24"/>
          <w:szCs w:val="24"/>
          <w:lang w:eastAsia="hr-HR"/>
        </w:rPr>
        <w:t xml:space="preserve">Protiv ovog rješenja dopuštena je  žalba Visokom trgovačkom sudu RH, a koja se podnosi u roku od 8 dana ovome sudu u 3 primjerka.  </w:t>
      </w:r>
    </w:p>
    <w:p w:rsidRDefault="00B47262" w:rsidP="00B47262" w:rsidR="00B47262">
      <w:pPr>
        <w:spacing w:lineRule="auto" w:line="240" w:after="0"/>
        <w:jc w:val="both"/>
        <w:rPr>
          <w:rFonts w:hAnsi="Times New Roman" w:ascii="Times New Roman"/>
          <w:i/>
          <w:iCs/>
          <w:sz w:val="24"/>
          <w:szCs w:val="24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hAnsi="Times New Roman" w:ascii="Times New Roman"/>
          <w:sz w:val="32"/>
          <w:szCs w:val="32"/>
          <w:highlight w:val="green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jc w:val="center"/>
        <w:rPr>
          <w:rFonts w:cs="Arial" w:hAnsi="Arial" w:ascii="Arial"/>
          <w:sz w:val="32"/>
          <w:szCs w:val="32"/>
          <w:u w:val="single"/>
          <w:lang w:eastAsia="hr-HR"/>
        </w:rPr>
      </w:pPr>
    </w:p>
    <w:p w:rsidRDefault="00B47262" w:rsidP="00B47262" w:rsidR="00B47262">
      <w:pPr>
        <w:spacing w:lineRule="auto" w:line="240" w:after="0"/>
        <w:rPr>
          <w:rFonts w:cs="Arial" w:hAnsi="Arial" w:ascii="Arial"/>
          <w:sz w:val="24"/>
          <w:szCs w:val="24"/>
          <w:lang w:eastAsia="hr-HR" w:val="en-GB"/>
        </w:rPr>
      </w:pPr>
    </w:p>
    <w:p w:rsidRDefault="00B47262" w:rsidP="00B47262" w:rsidR="00B47262"/>
    <w:p w:rsidRDefault="00B47262" w:rsidP="00B47262" w:rsidR="00B47262"/>
    <w:p w:rsidRDefault="008C2863" w:rsidR="008C2863"/>
    <w:sectPr w:rsidR="008C28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70909"/>
    <w:multiLevelType w:val="hybridMultilevel"/>
    <w:tmpl w:val="7E6453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2AB0"/>
    <w:rsid w:val="00204AD6"/>
    <w:rsid w:val="00237673"/>
    <w:rsid w:val="002F2222"/>
    <w:rsid w:val="003D7BC1"/>
    <w:rsid w:val="004634BA"/>
    <w:rsid w:val="00465967"/>
    <w:rsid w:val="00512AB0"/>
    <w:rsid w:val="00721D91"/>
    <w:rsid w:val="008C2863"/>
    <w:rsid w:val="00A71838"/>
    <w:rsid w:val="00B47262"/>
    <w:rsid w:val="00D1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262"/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9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59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59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59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59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262"/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21D9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1D9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22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9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59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59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59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59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38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St-7248/2015-5</izvorni_sadrzaj>
    <derivirana_varijabla naziv="DomainObject.Oznaka_1">St-7248/2015-5</derivirana_varijabla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7248</izvorni_sadrzaj>
    <derivirana_varijabla naziv="DomainObject.Predmet.Broj_1">7248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St-7248/2015</izvorni_sadrzaj>
    <derivirana_varijabla naziv="DomainObject.Predmet.OznakaBroj_1">St-7248/2015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LEDL DESIGN d.o.o.</izvorni_sadrzaj>
    <derivirana_varijabla naziv="DomainObject.Predmet.ProtustrankaFormated_1">  LEDL DESIGN d.o.o.</derivirana_varijabla>
  </DomainObject.Predmet.ProtustrankaFormated>
  <DomainObject.Predmet.ProtustrankaFormatedOIB>
    <izvorni_sadrzaj>  LEDL DESIGN d.o.o., OIB 48152209178</izvorni_sadrzaj>
    <derivirana_varijabla naziv="DomainObject.Predmet.ProtustrankaFormatedOIB_1">  LEDL DESIGN d.o.o., OIB 48152209178</derivirana_varijabla>
  </DomainObject.Predmet.ProtustrankaFormatedOIB>
  <DomainObject.Predmet.ProtustrankaFormatedWithAdress>
    <izvorni_sadrzaj> LEDL DESIGN d.o.o., Milke Trnine 14, 10000 Zagreb</izvorni_sadrzaj>
    <derivirana_varijabla naziv="DomainObject.Predmet.ProtustrankaFormatedWithAdress_1"> LEDL DESIGN d.o.o., Milke Trnine 14, 10000 Zagreb</derivirana_varijabla>
  </DomainObject.Predmet.ProtustrankaFormatedWithAdress>
  <DomainObject.Predmet.ProtustrankaFormatedWithAdressOIB>
    <izvorni_sadrzaj> LEDL DESIGN d.o.o., OIB 48152209178, Milke Trnine 14, 10000 Zagreb</izvorni_sadrzaj>
    <derivirana_varijabla naziv="DomainObject.Predmet.ProtustrankaFormatedWithAdressOIB_1"> LEDL DESIGN d.o.o., OIB 48152209178, Milke Trnine 14, 10000 Zagreb</derivirana_varijabla>
  </DomainObject.Predmet.ProtustrankaFormatedWithAdressOIB>
  <DomainObject.Predmet.ProtustrankaWithAdress>
    <izvorni_sadrzaj>LEDL DESIGN d.o.o. Milke Trnine 14, 10000 Zagreb</izvorni_sadrzaj>
    <derivirana_varijabla naziv="DomainObject.Predmet.ProtustrankaWithAdress_1">LEDL DESIGN d.o.o. Milke Trnine 14, 10000 Zagreb</derivirana_varijabla>
  </DomainObject.Predmet.ProtustrankaWithAdress>
  <DomainObject.Predmet.ProtustrankaWithAdressOIB>
    <izvorni_sadrzaj>LEDL DESIGN d.o.o., OIB 48152209178, Milke Trnine 14, 10000 Zagreb</izvorni_sadrzaj>
    <derivirana_varijabla naziv="DomainObject.Predmet.ProtustrankaWithAdressOIB_1">LEDL DESIGN d.o.o., OIB 48152209178, Milke Trnine 14, 10000 Zagreb</derivirana_varijabla>
  </DomainObject.Predmet.ProtustrankaWithAdressOIB>
  <DomainObject.Predmet.ProtustrankaNazivFormated>
    <izvorni_sadrzaj>LEDL DESIGN d.o.o.</izvorni_sadrzaj>
    <derivirana_varijabla naziv="DomainObject.Predmet.ProtustrankaNazivFormated_1">LEDL DESIGN d.o.o.</derivirana_varijabla>
  </DomainObject.Predmet.ProtustrankaNazivFormated>
  <DomainObject.Predmet.ProtustrankaNazivFormatedOIB>
    <izvorni_sadrzaj>LEDL DESIGN d.o.o., OIB 48152209178</izvorni_sadrzaj>
    <derivirana_varijabla naziv="DomainObject.Predmet.ProtustrankaNazivFormatedOIB_1">LEDL DESIGN d.o.o., OIB 48152209178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LEDL DESIGN d.o.o.</item>
    </izvorni_sadrzaj>
    <derivirana_varijabla naziv="DomainObject.Predmet.ProtuStrankaListFormated_1">
      <item>LEDL DESIGN d.o.o.</item>
    </derivirana_varijabla>
  </DomainObject.Predmet.ProtuStrankaListFormated>
  <DomainObject.Predmet.ProtuStrankaListFormatedOIB>
    <izvorni_sadrzaj>
      <item>LEDL DESIGN d.o.o., OIB 48152209178</item>
    </izvorni_sadrzaj>
    <derivirana_varijabla naziv="DomainObject.Predmet.ProtuStrankaListFormatedOIB_1">
      <item>LEDL DESIGN d.o.o., OIB 48152209178</item>
    </derivirana_varijabla>
  </DomainObject.Predmet.ProtuStrankaListFormatedOIB>
  <DomainObject.Predmet.ProtuStrankaListFormatedWithAdress>
    <izvorni_sadrzaj>
      <item>LEDL DESIGN d.o.o., Milke Trnine 14, 10000 Zagreb</item>
    </izvorni_sadrzaj>
    <derivirana_varijabla naziv="DomainObject.Predmet.ProtuStrankaListFormatedWithAdress_1">
      <item>LEDL DESIGN d.o.o., Milke Trnine 14, 10000 Zagreb</item>
    </derivirana_varijabla>
  </DomainObject.Predmet.ProtuStrankaListFormatedWithAdress>
  <DomainObject.Predmet.ProtuStrankaListFormatedWithAdressOIB>
    <izvorni_sadrzaj>
      <item>LEDL DESIGN d.o.o., OIB 48152209178, Milke Trnine 14, 10000 Zagreb</item>
    </izvorni_sadrzaj>
    <derivirana_varijabla naziv="DomainObject.Predmet.ProtuStrankaListFormatedWithAdressOIB_1">
      <item>LEDL DESIGN d.o.o., OIB 48152209178, Milke Trnine 14, 10000 Zagreb</item>
    </derivirana_varijabla>
  </DomainObject.Predmet.ProtuStrankaListFormatedWithAdressOIB>
  <DomainObject.Predmet.ProtuStrankaListNazivFormated>
    <izvorni_sadrzaj>
      <item>LEDL DESIGN d.o.o.</item>
    </izvorni_sadrzaj>
    <derivirana_varijabla naziv="DomainObject.Predmet.ProtuStrankaListNazivFormated_1">
      <item>LEDL DESIGN d.o.o.</item>
    </derivirana_varijabla>
  </DomainObject.Predmet.ProtuStrankaListNazivFormated>
  <DomainObject.Predmet.ProtuStrankaListNazivFormatedOIB>
    <izvorni_sadrzaj>
      <item>LEDL DESIGN d.o.o., OIB 48152209178</item>
    </izvorni_sadrzaj>
    <derivirana_varijabla naziv="DomainObject.Predmet.ProtuStrankaListNazivFormatedOIB_1">
      <item>LEDL DESIGN d.o.o., OIB 48152209178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St-7248/2015-5</izvorni_sadrzaj>
    <derivirana_varijabla naziv="DomainObject.PoslovniBrojDokumenta_1">St-7248/2015-5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LEDL DESIGN d.o.o.</izvorni_sadrzaj>
    <derivirana_varijabla naziv="DomainObject.Predmet.ProtustrankaIDrugi_1">LEDL DESIGN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LEDL DESIGN d.o.o., OIB 48152209178, Milke Trnine 14, 10000 Zagreb</izvorni_sadrzaj>
    <derivirana_varijabla naziv="DomainObject.Predmet.ProtustrankaIDrugiAdressOIB_1">LEDL DESIGN d.o.o., OIB 48152209178, Milke Trnine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LEDL DESIGN d.o.o.</item>
      <item>FINA Regionalni centar Zagreb</item>
    </izvorni_sadrzaj>
    <derivirana_varijabla naziv="DomainObject.Predmet.SudioniciListNaziv_1">
      <item>LEDL DESIGN d.o.o.</item>
      <item>FINA Regionalni centar Zagreb</item>
    </derivirana_varijabla>
  </DomainObject.Predmet.SudioniciListNaziv>
  <DomainObject.Predmet.SudioniciListAdressOIB>
    <izvorni_sadrzaj>
      <item>LEDL DESIGN d.o.o., OIB 48152209178, Milke Trnine 14,10000 Zagreb</item>
      <item>FINA Regionalni centar Zagreb, OIB 85821130368, Trg svibanjskih žrtava 1995. 1,10000 Zagreb</item>
    </izvorni_sadrzaj>
    <derivirana_varijabla naziv="DomainObject.Predmet.SudioniciListAdressOIB_1">
      <item>LEDL DESIGN d.o.o., OIB 48152209178, Milke Trnine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48152209178</item>
      <item>, OIB 85821130368</item>
    </izvorni_sadrzaj>
    <derivirana_varijabla naziv="DomainObject.Predmet.SudioniciListNazivOIB_1">
      <item>, OIB 48152209178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1912</properties:Characters>
  <properties:Lines>64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2016-05-13T07:33:00Z</dcterms:created>
  <dc:creator>Željka Kordić</dc:creator>
  <dc:description/>
  <cp:keywords/>
  <cp:lastModifiedBy>Željka Kordić</cp:lastModifiedBy>
  <cp:lastPrinted>2016-05-13T08:56:00Z</cp:lastPrinted>
  <dcterms:modified xmlns:xsi="http://www.w3.org/2001/XMLSchema-instance" xsi:type="dcterms:W3CDTF">2016-05-13T08:57:00Z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St-7248/2015-5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