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e9e09" w14:paraId="07e9e09" w:rsidRDefault="00147CE3" w:rsidP="00B7237E" w:rsidR="00147CE3">
      <w:pPr>
        <w:spacing w:lineRule="auto" w:line="240" w:after="0"/>
        <w:jc w:val="both"/>
        <w15:collapsed w:val="false"/>
        <w:rPr>
          <w:rFonts w:cs="Times New Roman" w:eastAsia="Times New Roman" w:hAnsi="Times New Roman" w:ascii="Times New Roman"/>
          <w:sz w:val="24"/>
          <w:szCs w:val="24"/>
          <w:lang w:eastAsia="hr-HR"/>
        </w:rPr>
      </w:pPr>
      <w:bookmarkStart w:name="_GoBack" w:id="0"/>
      <w:bookmarkEnd w:id="0"/>
    </w:p>
    <w:p w:rsidRDefault="00147CE3" w:rsidP="00B7237E" w:rsidR="00147CE3">
      <w:pPr>
        <w:spacing w:lineRule="auto" w:line="240" w:after="0"/>
        <w:jc w:val="both"/>
        <w:rPr>
          <w:rFonts w:cs="Times New Roman" w:eastAsia="Times New Roman" w:hAnsi="Times New Roman" w:ascii="Times New Roman"/>
          <w:sz w:val="24"/>
          <w:szCs w:val="24"/>
          <w:lang w:eastAsia="hr-HR"/>
        </w:rPr>
      </w:pPr>
    </w:p>
    <w:p w:rsidRDefault="00147CE3" w:rsidP="00B7237E" w:rsidR="00147CE3">
      <w:pPr>
        <w:spacing w:lineRule="auto" w:line="240" w:after="0"/>
        <w:jc w:val="both"/>
        <w:rPr>
          <w:rFonts w:cs="Times New Roman" w:eastAsia="Times New Roman" w:hAnsi="Times New Roman" w:ascii="Times New Roman"/>
          <w:sz w:val="24"/>
          <w:szCs w:val="24"/>
          <w:lang w:eastAsia="hr-HR"/>
        </w:rPr>
      </w:pPr>
    </w:p>
    <w:p w:rsidRDefault="00147CE3" w:rsidP="00B7237E" w:rsidR="00147CE3">
      <w:pPr>
        <w:spacing w:lineRule="auto" w:line="240" w:after="0"/>
        <w:jc w:val="both"/>
        <w:rPr>
          <w:rFonts w:cs="Times New Roman" w:eastAsia="Times New Roman" w:hAnsi="Times New Roman" w:ascii="Times New Roman"/>
          <w:sz w:val="24"/>
          <w:szCs w:val="24"/>
          <w:lang w:eastAsia="hr-HR"/>
        </w:rPr>
      </w:pPr>
    </w:p>
    <w:p w:rsidRDefault="00B7237E" w:rsidP="00B7237E" w:rsidR="00B7237E">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REPUBLIKA HRVATSKA</w:t>
      </w:r>
    </w:p>
    <w:p w:rsidRDefault="00B7237E" w:rsidP="00B7237E" w:rsidR="00B7237E">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TRGOVAČKI SUD U ZADRU</w:t>
      </w:r>
    </w:p>
    <w:p w:rsidRDefault="00B7237E" w:rsidP="00B7237E" w:rsidR="00B7237E">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B7237E" w:rsidP="00B7237E" w:rsidR="00B7237E">
      <w:pPr>
        <w:spacing w:lineRule="auto" w:line="240" w:after="0"/>
        <w:jc w:val="both"/>
        <w:rPr>
          <w:rFonts w:cs="Times New Roman" w:eastAsia="Times New Roman" w:hAnsi="Times New Roman" w:ascii="Times New Roman"/>
          <w:sz w:val="24"/>
          <w:szCs w:val="24"/>
          <w:lang w:eastAsia="hr-HR"/>
        </w:rPr>
      </w:pPr>
    </w:p>
    <w:p w:rsidRDefault="00B7237E" w:rsidP="00B7237E" w:rsidR="00B7237E">
      <w:pPr>
        <w:spacing w:lineRule="auto" w:line="240" w:after="0"/>
        <w:jc w:val="both"/>
        <w:rPr>
          <w:rFonts w:cs="Times New Roman" w:eastAsia="Times New Roman" w:hAnsi="Times New Roman" w:ascii="Times New Roman"/>
          <w:sz w:val="24"/>
          <w:szCs w:val="24"/>
          <w:lang w:eastAsia="hr-HR"/>
        </w:rPr>
      </w:pPr>
    </w:p>
    <w:p w:rsidRDefault="00B7237E" w:rsidP="00B7237E" w:rsidR="00B7237E">
      <w:pPr>
        <w:spacing w:lineRule="auto" w:line="240" w:after="0"/>
        <w:rPr>
          <w:rFonts w:cs="Times New Roman" w:eastAsia="Times New Roman" w:hAnsi="Times New Roman" w:ascii="Times New Roman"/>
          <w:sz w:val="24"/>
          <w:szCs w:val="24"/>
          <w:lang w:eastAsia="hr-HR"/>
        </w:rPr>
      </w:pPr>
    </w:p>
    <w:p w:rsidRDefault="00B7237E" w:rsidP="00B7237E" w:rsidR="00B7237E">
      <w:pPr>
        <w:spacing w:lineRule="auto" w:line="240" w:after="0"/>
        <w:rPr>
          <w:rFonts w:cs="Times New Roman" w:eastAsia="Times New Roman" w:hAnsi="Times New Roman" w:ascii="Times New Roman"/>
          <w:sz w:val="24"/>
          <w:szCs w:val="24"/>
          <w:lang w:eastAsia="hr-HR"/>
        </w:rPr>
      </w:pPr>
    </w:p>
    <w:p w:rsidRDefault="00B7237E" w:rsidP="00B7237E" w:rsidR="00B7237E">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U  I M E  R E P U B L I K E   H R V A T S K E </w:t>
      </w:r>
    </w:p>
    <w:p w:rsidRDefault="00B7237E" w:rsidP="00B7237E" w:rsidR="00B7237E">
      <w:pPr>
        <w:spacing w:lineRule="auto" w:line="240" w:after="0"/>
        <w:jc w:val="both"/>
        <w:rPr>
          <w:rFonts w:cs="Times New Roman" w:eastAsia="Times New Roman" w:hAnsi="Times" w:ascii="Times"/>
          <w:sz w:val="24"/>
          <w:szCs w:val="24"/>
          <w:lang w:eastAsia="hr-HR"/>
        </w:rPr>
      </w:pPr>
    </w:p>
    <w:p w:rsidRDefault="00B7237E" w:rsidP="00B7237E" w:rsidR="00B7237E">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R J E Š E N J E</w:t>
      </w:r>
    </w:p>
    <w:p w:rsidRDefault="00B7237E" w:rsidP="00B7237E" w:rsidR="00B7237E">
      <w:pPr>
        <w:spacing w:lineRule="auto" w:line="240" w:after="0"/>
        <w:rPr>
          <w:rFonts w:cs="Times New Roman" w:eastAsia="Times New Roman" w:hAnsi="Times" w:ascii="Times"/>
          <w:sz w:val="24"/>
          <w:szCs w:val="24"/>
          <w:lang w:eastAsia="hr-HR"/>
        </w:rPr>
      </w:pPr>
    </w:p>
    <w:p w:rsidRDefault="00B7237E" w:rsidP="00B7237E" w:rsidR="00B7237E">
      <w:pPr>
        <w:spacing w:lineRule="auto" w:line="240" w:after="0"/>
        <w:ind w:firstLine="705"/>
        <w:jc w:val="both"/>
        <w:rPr>
          <w:rFonts w:cs="Times" w:hAnsi="Times" w:ascii="Times"/>
          <w:sz w:val="24"/>
          <w:szCs w:val="24"/>
        </w:rPr>
      </w:pPr>
      <w:r>
        <w:rPr>
          <w:rFonts w:cs="Times" w:eastAsia="Times New Roman" w:hAnsi="Times" w:ascii="Times"/>
          <w:sz w:val="24"/>
          <w:szCs w:val="24"/>
          <w:lang w:eastAsia="hr-HR"/>
        </w:rPr>
        <w:t>Trgovački sud u Zadru, OIB  39670464653, po sudskoj savjetnici Anamariji Kovačić Milković, povodom zahtjeva Financijske agencije, Regionalnog centra Split, Podružnice Šibenik, Šibenik, Perivoj L. Marune 1, OIB 85821130368 od 24. svibnja 2017. za provedbu skraćenoga stečajnog postupka nad dužnikom</w:t>
      </w:r>
      <w:r w:rsidRPr="00B7237E">
        <w:rPr>
          <w:szCs w:val="24"/>
        </w:rPr>
        <w:t xml:space="preserve"> </w:t>
      </w:r>
      <w:r w:rsidRPr="00B7237E">
        <w:rPr>
          <w:rFonts w:hAnsi="Times" w:ascii="Times"/>
          <w:sz w:val="24"/>
          <w:szCs w:val="24"/>
        </w:rPr>
        <w:t>PADBERG GRADNJA d.o</w:t>
      </w:r>
      <w:r>
        <w:rPr>
          <w:rFonts w:hAnsi="Times" w:ascii="Times"/>
          <w:sz w:val="24"/>
          <w:szCs w:val="24"/>
        </w:rPr>
        <w:t>.o., Šibenik, Trtarska 75A, OIB 14251310981</w:t>
      </w:r>
      <w:r w:rsidRPr="00B7237E">
        <w:rPr>
          <w:rFonts w:cs="Times" w:hAnsi="Times" w:ascii="Times"/>
          <w:sz w:val="24"/>
          <w:szCs w:val="24"/>
        </w:rPr>
        <w:t>,</w:t>
      </w:r>
      <w:r>
        <w:rPr>
          <w:rFonts w:cs="Times" w:eastAsia="Times New Roman" w:hAnsi="Times" w:ascii="Times"/>
          <w:sz w:val="24"/>
          <w:szCs w:val="24"/>
          <w:lang w:eastAsia="hr-HR"/>
        </w:rPr>
        <w:t xml:space="preserve"> 20. listopada 2017.</w:t>
      </w:r>
    </w:p>
    <w:p w:rsidRDefault="00B7237E" w:rsidP="00B7237E" w:rsidR="00B7237E">
      <w:pPr>
        <w:spacing w:lineRule="auto" w:line="240" w:after="0"/>
        <w:jc w:val="center"/>
        <w:rPr>
          <w:rFonts w:cs="Times" w:eastAsia="Times New Roman" w:hAnsi="Times" w:ascii="Times"/>
          <w:sz w:val="24"/>
          <w:szCs w:val="24"/>
          <w:lang w:eastAsia="hr-HR"/>
        </w:rPr>
      </w:pPr>
    </w:p>
    <w:p w:rsidRDefault="00B7237E" w:rsidP="00B7237E" w:rsidR="00B7237E">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r i j e š i o  j e</w:t>
      </w:r>
    </w:p>
    <w:p w:rsidRDefault="00B7237E" w:rsidP="00B7237E" w:rsidR="00B7237E">
      <w:pPr>
        <w:spacing w:lineRule="auto" w:line="240" w:after="0"/>
        <w:jc w:val="both"/>
        <w:rPr>
          <w:rFonts w:cs="Times New Roman" w:eastAsia="Times New Roman" w:hAnsi="Times" w:ascii="Times"/>
          <w:sz w:val="24"/>
          <w:szCs w:val="24"/>
          <w:lang w:eastAsia="hr-HR"/>
        </w:rPr>
      </w:pPr>
    </w:p>
    <w:p w:rsidRDefault="00B7237E" w:rsidP="00B7237E" w:rsidR="00B7237E">
      <w:pPr>
        <w:spacing w:lineRule="auto" w:line="240" w:after="0"/>
        <w:ind w:firstLine="36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I. Obustavlja se skraćeni stečajni postupak nad dužnikom</w:t>
      </w:r>
      <w:r>
        <w:rPr>
          <w:rFonts w:hAnsi="Times" w:ascii="Times"/>
          <w:sz w:val="24"/>
          <w:szCs w:val="24"/>
        </w:rPr>
        <w:t xml:space="preserve"> </w:t>
      </w:r>
      <w:r w:rsidRPr="00B7237E">
        <w:rPr>
          <w:rFonts w:hAnsi="Times" w:ascii="Times"/>
          <w:sz w:val="24"/>
          <w:szCs w:val="24"/>
        </w:rPr>
        <w:t>PADBERG GRADNJA d.o</w:t>
      </w:r>
      <w:r>
        <w:rPr>
          <w:rFonts w:hAnsi="Times" w:ascii="Times"/>
          <w:sz w:val="24"/>
          <w:szCs w:val="24"/>
        </w:rPr>
        <w:t>.o., Šibenik, Trtarska 75A, OIB 14251310981</w:t>
      </w:r>
      <w:r>
        <w:rPr>
          <w:rFonts w:cs="Times New Roman" w:eastAsia="Times New Roman" w:hAnsi="Times" w:ascii="Times"/>
          <w:sz w:val="24"/>
          <w:szCs w:val="24"/>
          <w:lang w:eastAsia="hr-HR"/>
        </w:rPr>
        <w:t>.</w:t>
      </w:r>
    </w:p>
    <w:p w:rsidRDefault="00B7237E" w:rsidP="00B7237E" w:rsidR="00B7237E">
      <w:pPr>
        <w:spacing w:lineRule="auto" w:line="240" w:after="0"/>
        <w:ind w:firstLine="360"/>
        <w:jc w:val="both"/>
        <w:rPr>
          <w:rFonts w:cs="Times New Roman" w:eastAsia="Times New Roman" w:hAnsi="Times" w:ascii="Times"/>
          <w:sz w:val="24"/>
          <w:szCs w:val="24"/>
          <w:lang w:eastAsia="hr-HR"/>
        </w:rPr>
      </w:pPr>
    </w:p>
    <w:p w:rsidRDefault="00B7237E" w:rsidP="00B7237E" w:rsidR="00B7237E">
      <w:pPr>
        <w:spacing w:lineRule="auto" w:line="240" w:after="0"/>
        <w:ind w:firstLine="36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B7237E" w:rsidP="00B7237E" w:rsidR="00B7237E">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B7237E" w:rsidP="00B7237E" w:rsidR="00B7237E">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Obrazloženje</w:t>
      </w:r>
    </w:p>
    <w:p w:rsidRDefault="00B7237E" w:rsidP="00B7237E" w:rsidR="00B7237E">
      <w:pPr>
        <w:spacing w:lineRule="auto" w:line="240" w:after="0"/>
        <w:jc w:val="both"/>
        <w:rPr>
          <w:rFonts w:cs="Times New Roman" w:eastAsia="Times New Roman" w:hAnsi="Times New Roman" w:ascii="Times New Roman"/>
          <w:sz w:val="24"/>
          <w:szCs w:val="24"/>
          <w:lang w:eastAsia="hr-HR"/>
        </w:rPr>
      </w:pPr>
    </w:p>
    <w:p w:rsidRDefault="00B7237E" w:rsidP="00B7237E" w:rsidR="00B7237E">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Postupajući po zahtjevu Financijske agencije od 24. svibnja 2017. za provedbu skraćenoga stečajnog postupka nad uvodno označenim dužnikom, oglasom ovog suda od 28. kolovoza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B7237E" w:rsidP="00B7237E" w:rsidR="00B7237E">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propisanom roku vjerovnik Republika Hrvatska, Porezna uprava, Područni ured Šibenik je 29. rujna 2017. dostavila ovom sudu prijedlog za otvaranje stečajnoga postupka nad dužnikom navodeći da prema istom ima dospjelu novčanu tražbinu u iznosu od  67.557,42 kn koja se temelji na  porezu na nekretnine, članarini HKG-u.</w:t>
      </w:r>
    </w:p>
    <w:p w:rsidRDefault="00B7237E" w:rsidP="00B7237E" w:rsidR="00B7237E">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B7237E" w:rsidP="00B7237E" w:rsidR="00B7237E">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S obzirom da je navedeni vjerovnik podnio ovom sudu prijedlog za otvaranje stečajnoga postupka nad dužnikom uz odgovarajuće isprave kojima je učinio vjerojatnim postojanje svoje tražbine te imovine dužnika, to u konkretnom slučaju nisu ispunjene pretpostavke iz čl. 431. SZ-a za istodobno otvaranje i zaključenje skraćenog stečajnog </w:t>
      </w:r>
      <w:r>
        <w:rPr>
          <w:rFonts w:cs="Times New Roman" w:eastAsia="Times New Roman" w:hAnsi="Times New Roman" w:ascii="Times New Roman"/>
          <w:sz w:val="24"/>
          <w:szCs w:val="24"/>
          <w:lang w:eastAsia="hr-HR"/>
        </w:rPr>
        <w:lastRenderedPageBreak/>
        <w:t xml:space="preserve">postupka, zbog čega je temeljem odredbe čl. 433. SZ-a donesena odluka kao u točki I. i II. izreke ovog rješenja. </w:t>
      </w:r>
    </w:p>
    <w:p w:rsidRDefault="00B7237E" w:rsidP="00B7237E" w:rsidR="00B7237E">
      <w:pPr>
        <w:spacing w:lineRule="auto" w:line="240" w:after="0"/>
        <w:ind w:firstLine="708"/>
        <w:jc w:val="both"/>
        <w:rPr>
          <w:rFonts w:cs="Times New Roman" w:eastAsia="Times New Roman" w:hAnsi="Times New Roman" w:ascii="Times New Roman"/>
          <w:sz w:val="24"/>
          <w:szCs w:val="24"/>
          <w:lang w:eastAsia="hr-HR"/>
        </w:rPr>
      </w:pPr>
    </w:p>
    <w:p w:rsidRDefault="00B7237E" w:rsidP="00B7237E" w:rsidR="00B7237E">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Zadru, 20. listopada 2017.</w:t>
      </w:r>
    </w:p>
    <w:p w:rsidRDefault="00B7237E" w:rsidP="00B7237E" w:rsidR="00B7237E">
      <w:pPr>
        <w:spacing w:lineRule="auto" w:line="240" w:after="0"/>
        <w:jc w:val="center"/>
        <w:rPr>
          <w:rFonts w:cs="Times New Roman" w:eastAsia="Times New Roman" w:hAnsi="Times New Roman" w:ascii="Times New Roman"/>
          <w:sz w:val="24"/>
          <w:szCs w:val="24"/>
          <w:lang w:eastAsia="hr-HR"/>
        </w:rPr>
      </w:pPr>
    </w:p>
    <w:p w:rsidRDefault="00B7237E" w:rsidP="00B7237E" w:rsidR="00B7237E">
      <w:pPr>
        <w:spacing w:lineRule="auto" w:line="240" w:after="0"/>
        <w:jc w:val="center"/>
        <w:rPr>
          <w:rFonts w:cs="Times New Roman" w:eastAsia="Times New Roman" w:hAnsi="Times New Roman" w:ascii="Times New Roman"/>
          <w:sz w:val="24"/>
          <w:szCs w:val="24"/>
          <w:lang w:eastAsia="hr-HR"/>
        </w:rPr>
      </w:pPr>
    </w:p>
    <w:p w:rsidRDefault="00B7237E" w:rsidP="00B7237E" w:rsidR="00B7237E">
      <w:pPr>
        <w:spacing w:lineRule="auto" w:line="240" w:after="0"/>
        <w:ind w:firstLine="708"/>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Sudska savjetnica</w:t>
      </w:r>
    </w:p>
    <w:p w:rsidRDefault="00B7237E" w:rsidP="00B7237E" w:rsidR="00B7237E">
      <w:pPr>
        <w:spacing w:lineRule="auto" w:line="240" w:after="0"/>
        <w:ind w:firstLine="708"/>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Anamarija Kovačić Milković</w:t>
      </w:r>
    </w:p>
    <w:p w:rsidRDefault="00B7237E" w:rsidP="00B7237E" w:rsidR="00B7237E">
      <w:pPr>
        <w:spacing w:lineRule="auto" w:line="240" w:after="0"/>
        <w:jc w:val="both"/>
        <w:rPr>
          <w:rFonts w:cs="Times New Roman" w:eastAsia="Times New Roman" w:hAnsi="Times New Roman" w:ascii="Times New Roman"/>
          <w:sz w:val="24"/>
          <w:szCs w:val="24"/>
          <w:lang w:eastAsia="hr-HR"/>
        </w:rPr>
      </w:pPr>
    </w:p>
    <w:p w:rsidRDefault="00B7237E" w:rsidP="00B7237E" w:rsidR="00B7237E">
      <w:pPr>
        <w:spacing w:lineRule="auto" w:line="240" w:after="0"/>
        <w:jc w:val="both"/>
        <w:rPr>
          <w:rFonts w:cs="Times New Roman" w:eastAsia="Times New Roman" w:hAnsi="Times New Roman" w:ascii="Times New Roman"/>
          <w:sz w:val="24"/>
          <w:szCs w:val="24"/>
          <w:lang w:eastAsia="hr-HR"/>
        </w:rPr>
      </w:pPr>
    </w:p>
    <w:p w:rsidRDefault="00B7237E" w:rsidP="00B7237E" w:rsidR="00B7237E">
      <w:pPr>
        <w:spacing w:lineRule="auto" w:line="240" w:after="0"/>
        <w:jc w:val="both"/>
        <w:rPr>
          <w:rFonts w:cs="Times New Roman" w:eastAsia="Times New Roman" w:hAnsi="Times New Roman" w:ascii="Times New Roman"/>
          <w:sz w:val="24"/>
          <w:szCs w:val="24"/>
          <w:lang w:eastAsia="hr-HR"/>
        </w:rPr>
      </w:pPr>
    </w:p>
    <w:p w:rsidRDefault="00B7237E" w:rsidP="00B7237E" w:rsidR="00B7237E">
      <w:pPr>
        <w:spacing w:lineRule="auto" w:line="240" w:after="0"/>
        <w:jc w:val="both"/>
        <w:rPr>
          <w:rFonts w:cs="Times New Roman" w:eastAsia="Times New Roman" w:hAnsi="Times New Roman" w:ascii="Times New Roman"/>
          <w:b/>
          <w:sz w:val="24"/>
          <w:szCs w:val="24"/>
          <w:lang w:eastAsia="hr-HR"/>
        </w:rPr>
      </w:pPr>
    </w:p>
    <w:p w:rsidRDefault="00B7237E" w:rsidP="00B7237E" w:rsidR="00B7237E">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B7237E" w:rsidP="00B7237E" w:rsidR="00B7237E">
      <w:pPr>
        <w:tabs>
          <w:tab w:pos="0"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 xml:space="preserve">Protiv ovoga rješenja 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B7237E" w:rsidP="00B7237E" w:rsidR="00B7237E">
      <w:pPr>
        <w:spacing w:lineRule="auto" w:line="240" w:after="0"/>
        <w:ind w:firstLine="708"/>
        <w:rPr>
          <w:rFonts w:cs="Times New Roman" w:eastAsia="Times New Roman" w:hAnsi="Times New Roman" w:ascii="Times New Roman"/>
          <w:sz w:val="24"/>
          <w:szCs w:val="24"/>
          <w:lang w:eastAsia="hr-HR"/>
        </w:rPr>
      </w:pPr>
    </w:p>
    <w:p w:rsidRDefault="00B7237E" w:rsidP="00B7237E" w:rsidR="00B7237E">
      <w:pPr>
        <w:spacing w:lineRule="auto" w:line="240" w:after="0"/>
        <w:ind w:firstLine="708"/>
        <w:jc w:val="both"/>
        <w:rPr>
          <w:rFonts w:cs="Times New Roman" w:eastAsia="Times New Roman" w:hAnsi="Times New Roman" w:ascii="Times New Roman"/>
          <w:b/>
          <w:sz w:val="24"/>
          <w:szCs w:val="24"/>
          <w:lang w:eastAsia="hr-HR"/>
        </w:rPr>
      </w:pPr>
    </w:p>
    <w:p w:rsidRDefault="00B7237E" w:rsidP="00B7237E" w:rsidR="00B7237E">
      <w:pPr>
        <w:spacing w:lineRule="auto" w:line="240" w:after="0"/>
        <w:ind w:firstLine="708"/>
        <w:jc w:val="both"/>
        <w:rPr>
          <w:rFonts w:cs="Times New Roman" w:eastAsia="Times New Roman" w:hAnsi="Times New Roman" w:ascii="Times New Roman"/>
          <w:b/>
          <w:sz w:val="24"/>
          <w:szCs w:val="24"/>
          <w:lang w:eastAsia="hr-HR"/>
        </w:rPr>
      </w:pPr>
    </w:p>
    <w:p w:rsidRDefault="00B7237E" w:rsidP="00B7237E" w:rsidR="00B7237E">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B7237E" w:rsidP="00B7237E" w:rsidR="00B7237E">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-FINA, RC Split, Podružnica Šibenik,</w:t>
      </w:r>
    </w:p>
    <w:p w:rsidRDefault="00B7237E" w:rsidP="00B7237E" w:rsidR="00B7237E">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-stečajnom dužniku,</w:t>
      </w:r>
    </w:p>
    <w:p w:rsidRDefault="00B7237E" w:rsidP="00B7237E" w:rsidR="00B7237E">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-svima putem e-oglasne ploče,</w:t>
      </w:r>
    </w:p>
    <w:p w:rsidRDefault="00B7237E" w:rsidP="00B7237E" w:rsidR="00B7237E">
      <w:pPr>
        <w:spacing w:lineRule="auto" w:line="240" w:after="0"/>
        <w:rPr>
          <w:rFonts w:cs="Times New Roman" w:eastAsia="Times New Roman" w:hAnsi="Times New Roman" w:ascii="Times New Roman"/>
          <w:b/>
          <w:sz w:val="24"/>
          <w:szCs w:val="24"/>
          <w:lang w:eastAsia="hr-HR"/>
        </w:rPr>
      </w:pPr>
      <w:r>
        <w:rPr>
          <w:rFonts w:cs="Times New Roman" w:eastAsia="Times New Roman" w:hAnsi="Times New Roman" w:ascii="Times New Roman"/>
          <w:sz w:val="24"/>
          <w:szCs w:val="24"/>
          <w:lang w:eastAsia="hr-HR"/>
        </w:rPr>
        <w:t xml:space="preserve">      -u spis.</w:t>
      </w:r>
    </w:p>
    <w:p w:rsidRDefault="00B7237E" w:rsidP="00B7237E" w:rsidR="00B7237E">
      <w:pPr>
        <w:spacing w:lineRule="auto" w:line="240" w:after="0"/>
        <w:rPr>
          <w:rFonts w:cs="Times New Roman" w:eastAsia="Times New Roman" w:hAnsi="Times New Roman" w:ascii="Times New Roman"/>
          <w:sz w:val="24"/>
          <w:szCs w:val="24"/>
          <w:lang w:eastAsia="hr-HR"/>
        </w:rPr>
      </w:pPr>
    </w:p>
    <w:p w:rsidRDefault="00B7237E" w:rsidP="00B7237E" w:rsidR="00B7237E"/>
    <w:p w:rsidRDefault="00B7237E" w:rsidP="00B7237E" w:rsidR="00B7237E"/>
    <w:p w:rsidRDefault="00B7237E" w:rsidP="00B7237E" w:rsidR="00B7237E"/>
    <w:p w:rsidRDefault="00B7237E" w:rsidP="00B7237E" w:rsidR="00B7237E"/>
    <w:p w:rsidRDefault="004E576B" w:rsidR="004E576B"/>
    <w:sectPr w:rsidSect="00147CE3" w:rsidR="004E576B">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7CE3" w:rsidP="00147CE3" w:rsidR="00147CE3">
      <w:pPr>
        <w:spacing w:lineRule="auto" w:line="240" w:after="0"/>
      </w:pPr>
      <w:r>
        <w:separator/>
      </w:r>
    </w:p>
  </w:endnote>
  <w:endnote w:id="0" w:type="continuationSeparator">
    <w:p w:rsidRDefault="00147CE3" w:rsidP="00147CE3" w:rsidR="00147CE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7CE3" w:rsidP="00147CE3" w:rsidR="00147CE3">
      <w:pPr>
        <w:spacing w:lineRule="auto" w:line="240" w:after="0"/>
      </w:pPr>
      <w:r>
        <w:separator/>
      </w:r>
    </w:p>
  </w:footnote>
  <w:footnote w:id="0" w:type="continuationSeparator">
    <w:p w:rsidRDefault="00147CE3" w:rsidP="00147CE3" w:rsidR="00147CE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rPr>
      <w:id w:val="229961820"/>
      <w:docPartObj>
        <w:docPartGallery w:val="Page Numbers (Top of Page)"/>
        <w:docPartUnique/>
      </w:docPartObj>
    </w:sdtPr>
    <w:sdtEndPr/>
    <w:sdtContent>
      <w:p w:rsidRDefault="00147CE3" w:rsidP="00147CE3" w:rsidR="00147CE3" w:rsidRPr="00147CE3">
        <w:pPr>
          <w:pStyle w:val="Zaglavlje"/>
          <w:ind w:firstLine="4248"/>
          <w:rPr>
            <w:rFonts w:cs="Times New Roman" w:hAnsi="Times New Roman" w:ascii="Times New Roman"/>
          </w:rPr>
        </w:pPr>
        <w:r>
          <w:rPr>
            <w:rFonts w:cs="Times New Roman" w:hAnsi="Times New Roman" w:ascii="Times New Roman"/>
          </w:rPr>
          <w:t xml:space="preserve">  </w:t>
        </w:r>
        <w:r w:rsidRPr="00147CE3">
          <w:rPr>
            <w:rFonts w:cs="Times New Roman" w:hAnsi="Times New Roman" w:ascii="Times New Roman"/>
          </w:rPr>
          <w:fldChar w:fldCharType="begin"/>
        </w:r>
        <w:r w:rsidRPr="00147CE3">
          <w:rPr>
            <w:rFonts w:cs="Times New Roman" w:hAnsi="Times New Roman" w:ascii="Times New Roman"/>
          </w:rPr>
          <w:instrText>PAGE   \* MERGEFORMAT</w:instrText>
        </w:r>
        <w:r w:rsidRPr="00147CE3">
          <w:rPr>
            <w:rFonts w:cs="Times New Roman" w:hAnsi="Times New Roman" w:ascii="Times New Roman"/>
          </w:rPr>
          <w:fldChar w:fldCharType="separate"/>
        </w:r>
        <w:r w:rsidR="00B1784E">
          <w:rPr>
            <w:rFonts w:cs="Times New Roman" w:hAnsi="Times New Roman" w:ascii="Times New Roman"/>
            <w:noProof/>
          </w:rPr>
          <w:t>2</w:t>
        </w:r>
        <w:r w:rsidRPr="00147CE3">
          <w:rPr>
            <w:rFonts w:cs="Times New Roman" w:hAnsi="Times New Roman" w:ascii="Times New Roman"/>
          </w:rPr>
          <w:fldChar w:fldCharType="end"/>
        </w:r>
        <w:r w:rsidRPr="00147CE3">
          <w:rPr>
            <w:rFonts w:cs="Times New Roman" w:hAnsi="Times New Roman" w:ascii="Times New Roman"/>
          </w:rPr>
          <w:t xml:space="preserve"> </w:t>
        </w:r>
        <w:r>
          <w:rPr>
            <w:rFonts w:cs="Times New Roman" w:hAnsi="Times New Roman" w:ascii="Times New Roman"/>
          </w:rPr>
          <w:tab/>
        </w:r>
        <w:r>
          <w:rPr>
            <w:rFonts w:cs="Times New Roman" w:hAnsi="Times New Roman" w:ascii="Times New Roman"/>
          </w:rPr>
          <w:tab/>
        </w:r>
        <w:r w:rsidRPr="00147CE3">
          <w:rPr>
            <w:rFonts w:cs="Times New Roman" w:hAnsi="Times New Roman" w:ascii="Times New Roman"/>
          </w:rPr>
          <w:t>Poslovni broj: 6 St-251/17-10</w:t>
        </w:r>
      </w:p>
    </w:sdtContent>
  </w:sdt>
  <w:p w:rsidRDefault="00147CE3" w:rsidR="00147CE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CE3" w:rsidP="00147CE3" w:rsidR="00147CE3">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Poslovni broj: 6 St-251/17-10</w:t>
    </w:r>
  </w:p>
  <w:p w:rsidRDefault="00147CE3" w:rsidR="00147CE3">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237E"/>
    <w:rsid w:val="00147CE3"/>
    <w:rsid w:val="004E576B"/>
    <w:rsid w:val="00B1784E"/>
    <w:rsid w:val="00B723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7237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47CE3"/>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47CE3"/>
  </w:style>
  <w:style w:styleId="Podnoje" w:type="paragraph">
    <w:name w:val="footer"/>
    <w:basedOn w:val="Normal"/>
    <w:link w:val="PodnojeChar"/>
    <w:uiPriority w:val="99"/>
    <w:unhideWhenUsed/>
    <w:rsid w:val="00147CE3"/>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47CE3"/>
  </w:style>
  <w:style w:styleId="Tekstrezerviranogmjesta" w:type="character">
    <w:name w:val="Placeholder Text"/>
    <w:basedOn w:val="Zadanifontodlomka"/>
    <w:uiPriority w:val="99"/>
    <w:semiHidden/>
    <w:rsid w:val="00B1784E"/>
    <w:rPr>
      <w:color w:val="808080"/>
      <w:bdr w:space="0" w:sz="0" w:color="auto" w:val="none"/>
      <w:shd w:fill="auto" w:color="auto" w:val="clear"/>
    </w:rPr>
  </w:style>
  <w:style w:customStyle="true" w:styleId="eSPISCCParagraphDefaultFont" w:type="character">
    <w:name w:val="eSPIS_CC_Paragraph Default Font"/>
    <w:basedOn w:val="Zadanifontodlomka"/>
    <w:rsid w:val="00B1784E"/>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1784E"/>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1784E"/>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1784E"/>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7237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47CE3"/>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47CE3"/>
  </w:style>
  <w:style w:styleId="Podnoje" w:type="paragraph">
    <w:name w:val="footer"/>
    <w:basedOn w:val="Normal"/>
    <w:link w:val="PodnojeChar"/>
    <w:uiPriority w:val="99"/>
    <w:unhideWhenUsed/>
    <w:rsid w:val="00147CE3"/>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47CE3"/>
  </w:style>
  <w:style w:styleId="Tekstrezerviranogmjesta" w:type="character">
    <w:name w:val="Placeholder Text"/>
    <w:basedOn w:val="Zadanifontodlomka"/>
    <w:uiPriority w:val="99"/>
    <w:semiHidden/>
    <w:rsid w:val="00B1784E"/>
    <w:rPr>
      <w:color w:val="808080"/>
      <w:bdr w:color="auto" w:space="0" w:sz="0" w:val="none"/>
      <w:shd w:color="auto" w:fill="auto" w:val="clear"/>
    </w:rPr>
  </w:style>
  <w:style w:customStyle="1" w:styleId="eSPISCCParagraphDefaultFont" w:type="character">
    <w:name w:val="eSPIS_CC_Paragraph Default Font"/>
    <w:basedOn w:val="Zadanifontodlomka"/>
    <w:rsid w:val="00B1784E"/>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1784E"/>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1784E"/>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1784E"/>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381350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izvorni_sadrzaj>
    <derivirana_varijabla naziv="DomainObject.Predmet.Broj_1">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2017.</izvorni_sadrzaj>
    <derivirana_varijabla naziv="DomainObject.Predmet.DatumOsnivanja_1">24.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St-251/2017</izvorni_sadrzaj>
    <derivirana_varijabla naziv="DomainObject.Predmet.OznakaBroj_1">St-251/2017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PADBERG GRADNJA d.o.o. za trgovinu i građevinarstvo</izvorni_sadrzaj>
    <derivirana_varijabla naziv="DomainObject.Predmet.ProtustrankaFormated_1">  PADBERG GRADNJA d.o.o. za trgovinu i građevinarstvo</derivirana_varijabla>
  </DomainObject.Predmet.ProtustrankaFormated>
  <DomainObject.Predmet.ProtustrankaFormatedOIB>
    <izvorni_sadrzaj>  PADBERG GRADNJA d.o.o. za trgovinu i građevinarstvo, OIB 14251310981</izvorni_sadrzaj>
    <derivirana_varijabla naziv="DomainObject.Predmet.ProtustrankaFormatedOIB_1">  PADBERG GRADNJA d.o.o. za trgovinu i građevinarstvo, OIB 14251310981</derivirana_varijabla>
  </DomainObject.Predmet.ProtustrankaFormatedOIB>
  <DomainObject.Predmet.ProtustrankaFormatedWithAdress>
    <izvorni_sadrzaj> PADBERG GRADNJA d.o.o. za trgovinu i građevinarstvo, Trtarska 75A , 22000 Šibenik</izvorni_sadrzaj>
    <derivirana_varijabla naziv="DomainObject.Predmet.ProtustrankaFormatedWithAdress_1"> PADBERG GRADNJA d.o.o. za trgovinu i građevinarstvo, Trtarska 75A , 22000 Šibenik</derivirana_varijabla>
  </DomainObject.Predmet.ProtustrankaFormatedWithAdress>
  <DomainObject.Predmet.ProtustrankaFormatedWithAdressOIB>
    <izvorni_sadrzaj> PADBERG GRADNJA d.o.o. za trgovinu i građevinarstvo, OIB 14251310981, Trtarska 75A , 22000 Šibenik</izvorni_sadrzaj>
    <derivirana_varijabla naziv="DomainObject.Predmet.ProtustrankaFormatedWithAdressOIB_1"> PADBERG GRADNJA d.o.o. za trgovinu i građevinarstvo, OIB 14251310981, Trtarska 75A , 22000 Šibenik</derivirana_varijabla>
  </DomainObject.Predmet.ProtustrankaFormatedWithAdressOIB>
  <DomainObject.Predmet.ProtustrankaWithAdress>
    <izvorni_sadrzaj>PADBERG GRADNJA d.o.o. za trgovinu i građevinarstvo Trtarska 75A , 22000 Šibenik</izvorni_sadrzaj>
    <derivirana_varijabla naziv="DomainObject.Predmet.ProtustrankaWithAdress_1">PADBERG GRADNJA d.o.o. za trgovinu i građevinarstvo Trtarska 75A , 22000 Šibenik</derivirana_varijabla>
  </DomainObject.Predmet.ProtustrankaWithAdress>
  <DomainObject.Predmet.ProtustrankaWithAdressOIB>
    <izvorni_sadrzaj>PADBERG GRADNJA d.o.o. za trgovinu i građevinarstvo, OIB 14251310981, Trtarska 75A , 22000 Šibenik</izvorni_sadrzaj>
    <derivirana_varijabla naziv="DomainObject.Predmet.ProtustrankaWithAdressOIB_1">PADBERG GRADNJA d.o.o. za trgovinu i građevinarstvo, OIB 14251310981, Trtarska 75A , 22000 Šibenik</derivirana_varijabla>
  </DomainObject.Predmet.ProtustrankaWithAdressOIB>
  <DomainObject.Predmet.ProtustrankaNazivFormated>
    <izvorni_sadrzaj>PADBERG GRADNJA d.o.o. za trgovinu i građevinarstvo</izvorni_sadrzaj>
    <derivirana_varijabla naziv="DomainObject.Predmet.ProtustrankaNazivFormated_1">PADBERG GRADNJA d.o.o. za trgovinu i građevinarstvo</derivirana_varijabla>
  </DomainObject.Predmet.ProtustrankaNazivFormated>
  <DomainObject.Predmet.ProtustrankaNazivFormatedOIB>
    <izvorni_sadrzaj>PADBERG GRADNJA d.o.o. za trgovinu i građevinarstvo, OIB 14251310981</izvorni_sadrzaj>
    <derivirana_varijabla naziv="DomainObject.Predmet.ProtustrankaNazivFormatedOIB_1">PADBERG GRADNJA d.o.o. za trgovinu i građevinarstvo, OIB 14251310981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PADBERG GRADNJA d.o.o. za trgovinu i građevinarstvo</item>
    </izvorni_sadrzaj>
    <derivirana_varijabla naziv="DomainObject.Predmet.ProtuStrankaListFormated_1">
      <item>PADBERG GRADNJA d.o.o. za trgovinu i građevinarstvo</item>
    </derivirana_varijabla>
  </DomainObject.Predmet.ProtuStrankaListFormated>
  <DomainObject.Predmet.ProtuStrankaListFormatedOIB>
    <izvorni_sadrzaj>
      <item>PADBERG GRADNJA d.o.o. za trgovinu i građevinarstvo, OIB 14251310981</item>
    </izvorni_sadrzaj>
    <derivirana_varijabla naziv="DomainObject.Predmet.ProtuStrankaListFormatedOIB_1">
      <item>PADBERG GRADNJA d.o.o. za trgovinu i građevinarstvo, OIB 14251310981</item>
    </derivirana_varijabla>
  </DomainObject.Predmet.ProtuStrankaListFormatedOIB>
  <DomainObject.Predmet.ProtuStrankaListFormatedWithAdress>
    <izvorni_sadrzaj>
      <item>PADBERG GRADNJA d.o.o. za trgovinu i građevinarstvo, Trtarska 75A , 22000 Šibenik</item>
    </izvorni_sadrzaj>
    <derivirana_varijabla naziv="DomainObject.Predmet.ProtuStrankaListFormatedWithAdress_1">
      <item>PADBERG GRADNJA d.o.o. za trgovinu i građevinarstvo, Trtarska 75A , 22000 Šibenik</item>
    </derivirana_varijabla>
  </DomainObject.Predmet.ProtuStrankaListFormatedWithAdress>
  <DomainObject.Predmet.ProtuStrankaListFormatedWithAdressOIB>
    <izvorni_sadrzaj>
      <item>PADBERG GRADNJA d.o.o. za trgovinu i građevinarstvo, OIB 14251310981, Trtarska 75A , 22000 Šibenik</item>
    </izvorni_sadrzaj>
    <derivirana_varijabla naziv="DomainObject.Predmet.ProtuStrankaListFormatedWithAdressOIB_1">
      <item>PADBERG GRADNJA d.o.o. za trgovinu i građevinarstvo, OIB 14251310981, Trtarska 75A , 22000 Šibenik</item>
    </derivirana_varijabla>
  </DomainObject.Predmet.ProtuStrankaListFormatedWithAdressOIB>
  <DomainObject.Predmet.ProtuStrankaListNazivFormated>
    <izvorni_sadrzaj>
      <item>PADBERG GRADNJA d.o.o. za trgovinu i građevinarstvo</item>
    </izvorni_sadrzaj>
    <derivirana_varijabla naziv="DomainObject.Predmet.ProtuStrankaListNazivFormated_1">
      <item>PADBERG GRADNJA d.o.o. za trgovinu i građevinarstvo</item>
    </derivirana_varijabla>
  </DomainObject.Predmet.ProtuStrankaListNazivFormated>
  <DomainObject.Predmet.ProtuStrankaListNazivFormatedOIB>
    <izvorni_sadrzaj>
      <item>PADBERG GRADNJA d.o.o. za trgovinu i građevinarstvo, OIB 14251310981</item>
    </izvorni_sadrzaj>
    <derivirana_varijabla naziv="DomainObject.Predmet.ProtuStrankaListNazivFormatedOIB_1">
      <item>PADBERG GRADNJA d.o.o. za trgovinu i građevinarstvo, OIB 14251310981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2017.</izvorni_sadrzaj>
    <derivirana_varijabla naziv="DomainObject.Datum_1">20. listopada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PADBERG GRADNJA d.o.o. za trgovinu i građevinarstvo</izvorni_sadrzaj>
    <derivirana_varijabla naziv="DomainObject.Predmet.ProtustrankaIDrugi_1">PADBERG GRADNJA d.o.o. za trgovinu i građevinarstvo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PADBERG GRADNJA d.o.o. za trgovinu i građevinarstvo, OIB 14251310981, Trtarska 75A , 22000 Šibenik</izvorni_sadrzaj>
    <derivirana_varijabla naziv="DomainObject.Predmet.ProtustrankaIDrugiAdressOIB_1">PADBERG GRADNJA d.o.o. za trgovinu i građevinarstvo, OIB 14251310981, Trtarska 75A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PADBERG GRADNJA d.o.o. za trgovinu i građevinarstvo</item>
    </izvorni_sadrzaj>
    <derivirana_varijabla naziv="DomainObject.Predmet.SudioniciListNaziv_1">
      <item>FINA - Podružnica Šibenik</item>
      <item>PADBERG GRADNJA d.o.o. za trgovinu i građevinarstvo</item>
    </derivirana_varijabla>
  </DomainObject.Predmet.SudioniciListNaziv>
  <DomainObject.Predmet.SudioniciListAdressOIB>
    <izvorni_sadrzaj>
      <item>FINA - Podružnica Šibenik, OIB 85821130368, Perivoj L. Marune 1,22000 Šibenik</item>
      <item>PADBERG GRADNJA d.o.o. za trgovinu i građevinarstvo, OIB 14251310981, Trtarska 75A ,22000 Šibenik</item>
    </izvorni_sadrzaj>
    <derivirana_varijabla naziv="DomainObject.Predmet.SudioniciListAdressOIB_1">
      <item>FINA - Podružnica Šibenik, OIB 85821130368, Perivoj L. Marune 1,22000 Šibenik</item>
      <item>PADBERG GRADNJA d.o.o. za trgovinu i građevinarstvo, OIB 14251310981, Trtarska 75A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14251310981</item>
    </izvorni_sadrzaj>
    <derivirana_varijabla naziv="DomainObject.Predmet.SudioniciListNazivOIB_1">
      <item>, OIB 85821130368</item>
      <item>, OIB 14251310981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196343-748C-45E6-8D8E-47B15EC3E2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466</properties:Words>
  <properties:Characters>2534</properties:Characters>
  <properties:Lines>81</properties:Lines>
  <properties:Paragraphs>24</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2017-10-20T11:20:00Z</dcterms:created>
  <dc:creator>Anamarija Kovačić Milković</dc:creator>
  <cp:lastModifiedBy>wsadmin</cp:lastModifiedBy>
  <cp:lastPrinted>2017-10-20T11:57:00Z</cp:lastPrinted>
  <dcterms:modified xmlns:xsi="http://www.w3.org/2001/XMLSchema-instance" xsi:type="dcterms:W3CDTF">2017-10-20T11:59:00Z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