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2e9d" w14:paraId="28d2e9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left:0;text-align:left;margin-left:145pt;margin-top:851.5pt;width:3.55pt;height:120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lKsBu7cCAAC3BQAADgAAAAAAAAAAAAAAAAAuAgAAZHJzL2Uyb0RvYy54bWxQSwECLQAUAAYACAAAACEA4po1E+AAAAANAQAADwAAAAAAAAAAAAAAAAARBQAAZHJzL2Rvd25yZXYueG1sUEsFBgAAAAAEAAQA8wAAAB4GAAAAAA==">
            <v:textbox inset="0,0,0,0">
              <w:txbxContent>
                <w:p w:rsidRDefault="00EB7E71" w:rsidP="00EB7E71" w:rsidR="00EB7E71">
                  <w:pPr>
                    <w:pStyle w:val="GrbRH"/>
                  </w:pPr>
                </w:p>
                <w:p w:rsidRDefault="00EB7E71" w:rsidP="00EB7E71" w:rsidR="00EB7E71">
                  <w:pPr>
                    <w:pStyle w:val="GrbRH"/>
                  </w:pPr>
                </w:p>
                <w:p w:rsidRDefault="00EB7E71" w:rsidP="00EB7E71" w:rsidR="00EB7E71">
                  <w:pPr>
                    <w:pStyle w:val="GrbRH"/>
                  </w:pPr>
                </w:p>
                <w:p w:rsidRDefault="00EB7E71" w:rsidP="00EB7E71" w:rsidR="00EB7E71">
                  <w:pPr>
                    <w:pStyle w:val="GrbRH"/>
                  </w:pPr>
                </w:p>
                <w:p w:rsidRDefault="00EB7E71" w:rsidP="00EB7E71" w:rsidR="00EB7E71">
                  <w:pPr>
                    <w:pStyle w:val="GrbRH"/>
                  </w:pPr>
                </w:p>
                <w:p w:rsidRDefault="00EB7E71" w:rsidP="00EB7E71" w:rsidR="00EB7E71">
                  <w:pPr>
                    <w:pStyle w:val="GrbRH"/>
                  </w:pPr>
                </w:p>
                <w:p w:rsidRDefault="00EB7E71" w:rsidP="00EB7E71" w:rsidR="00EB7E7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EB7E71">
        <w:rPr>
          <w:rFonts w:cs="Times New Roman" w:eastAsia="Times New Roman"/>
          <w:lang w:eastAsia="hr-HR"/>
        </w:rPr>
        <w:t xml:space="preserve">REPUBLIKA HRVATSKA 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>OPĆINSKI SUD U ČAKOVCU                                                                  Broj : 7 Sp-6/17-4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>Čakovec, Ruđera Boškovića 18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center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>U   I M E   R E P U B L I K E  H R V A T S K E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Općinski sud u Čakovcu, po sutkinji toga suda Valentini Varga Gombar, u stečajnom postupku povodom prijedloga potrošača Smrtić Vladimira iz Čakovca, Kralja Tomislava 18, OIB : 87359838242 za otvaranje stečajnog postupka, dana 19. siječnja 2018.godine, 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center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>r i j e š i o  j e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O d b a c u j e   s e    prijedlog Smrtić Vladimira iz Čakovca, Kralja Tomislava 18, OIB : 87359838242, za otvaranjem stečajnog postupka podnesen sudu dana 28. prosinca 2017. godine, kao nedopušten.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center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>Obrazloženje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Predlagatelj Smrtić Vladimir je podnio ovome sudu prijedlog dužnika za otvaranjem stečajnog postupka sukladno odredbi čl. 19. Zakona o stečaju potrošača ( Narodne novine RH broj 100/15 ).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Uz prijedlog, predlagatelj je dostavio i potvrdu Financijske agencije, Podružnice Čakovec od dana 28. prosinca 2017.g. kojom se potvrđuje da nije uspio pokušaj sklapanja izvansudskog sporazuma u izvansudskom postupku nad potrošačem pred savjetovalištem Fina Podružnica Čakovec.  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 Dakle, prijedlog je podnesen u roku sukladno čl. 44. st. 2. Zakona o stečaju potrošača.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 Pored toga, priložio je plan ispunjenja obveza i popis imovine i obveza koji su podneseni na propisanim obrascima u skladu s  Pravilnikom o sadržaju i obliku obrazaca na kojima se podnose podnesci u izvansudskom postupku i postupku stečaja potrošača (Narodne novine RH broj 2/16).</w:t>
      </w:r>
    </w:p>
    <w:p w:rsidRDefault="00EB7E71" w:rsidP="00EB7E71" w:rsidR="00EB7E71" w:rsidRPr="00EB7E7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 Prije odluke o meritumu stvari sud je razmatrao postojanje svih formalnih pretpostavaka za vođenje ovog postupka. </w:t>
      </w:r>
    </w:p>
    <w:p w:rsidRDefault="00EB7E71" w:rsidP="00EB7E71" w:rsidR="00EB7E71" w:rsidRPr="00EB7E7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Naime, odredbom čl. 44. st. 1. Zakona o stečaju potrošača propisano je da se postupak stečaja potrošača pokreće na prijedlog potrošača, a prema st. 3 propisano je da je uz prijedlog potrošač dužan priložiti potvrdu iz čl. 18 st. 3 Zakona o stečaju potrošača, popis imovine i obveza te plan ispunjenja obveza, a prema st. 4 propisano je da ako potrošač u prijedlogu za otvaranje postupka stečaja potrošača ne podnese isprave iz st. 3 sud će prijedlog odbaciti.</w:t>
      </w:r>
    </w:p>
    <w:p w:rsidRDefault="00EB7E71" w:rsidP="00EB7E71" w:rsidR="00EB7E71" w:rsidRPr="00EB7E7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lastRenderedPageBreak/>
        <w:t xml:space="preserve">       Plan ispunjenja obveza predlagatelja po mišljenju suda nema propisan sadržaj iz odredbe čl. 17. st. 1. Zakona o stečaju potrošača (Narodne Novine 100/15). </w:t>
      </w:r>
    </w:p>
    <w:p w:rsidRDefault="00EB7E71" w:rsidP="00EB7E71" w:rsidR="00EB7E71" w:rsidRPr="00EB7E7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 Prema navedenoj odredbi plan ispunjenja mora sadržavati postotak umanjenja obveza, iznos za isplatu, rokove isplate i način ispunjenja obveze prema svakom vjerovniku, a predlagatelj navodi samo umanjenje obveze od 100 % prema svim vjerovnicima, što zapravo predstavlja prijedlog za oprost dugova, a ne plan ispunjenja obveza. 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EB7E71">
        <w:rPr>
          <w:rFonts w:cs="Times New Roman" w:eastAsia="Times New Roman"/>
          <w:color w:val="000000"/>
          <w:lang w:eastAsia="hr-HR"/>
        </w:rPr>
        <w:t xml:space="preserve">      Navedeni plan u svojoj suštini ne predstavlja plan ispunjenja obveza, već zahtjev za otpis svih dugova. 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EB7E71">
        <w:rPr>
          <w:rFonts w:cs="Times New Roman" w:eastAsia="Times New Roman"/>
          <w:color w:val="000000"/>
          <w:lang w:eastAsia="hr-HR"/>
        </w:rPr>
        <w:t xml:space="preserve">     Sukladno čl. 2. st. 1. Zakona o stečaju potrošača cilj zakona je poštenog potrošača osloboditi od obveza koje preostanu nakon unovčenja njegove imovine i raspodjele prikupljenih sredstava vjerovnicima. 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EB7E71">
        <w:rPr>
          <w:rFonts w:cs="Times New Roman" w:eastAsia="Times New Roman"/>
          <w:color w:val="000000"/>
          <w:lang w:eastAsia="hr-HR"/>
        </w:rPr>
        <w:t xml:space="preserve">     Dakle, iz citirane odredbe proizlazi da bi se u postupku stečaja potrošača ipak u određenom omjeru trebale namiriti tražbine vjerovnika, a ne da je to postupak u kojem bi se potrošača u cijelosti trebalo osloboditi svih njegovih obveza. Postupak stečaja potrošača se ne vodi radi otpisa svih dugovanja.</w:t>
      </w:r>
    </w:p>
    <w:p w:rsidRDefault="00EB7E71" w:rsidP="00EB7E71" w:rsidR="00EB7E71" w:rsidRPr="00EB7E7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Slijedom navedenog, ovaj sud smatra da plan ispunjenja obveza predlagatelja nema zakonom propisan sadržaj u smislu odredbe čl. 17. st. 1. Zakona o stečaju potrošača, te s obzirom na navedene odredbe isti je odbačen kao nedopušten, te je odlučeno kao u izreci rješenja.  </w:t>
      </w:r>
    </w:p>
    <w:p w:rsidRDefault="00EB7E71" w:rsidP="00EB7E71" w:rsidR="00EB7E71" w:rsidRPr="00EB7E71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Navedeni stav ovoga suda u skladu je sa stavom Županijskog suda u Rijeci izraženog u odluci broj Gž-1157/2017 i Županijskog suda u Osijeku broj Gž-2594/2017.</w:t>
      </w:r>
    </w:p>
    <w:p w:rsidRDefault="00EB7E71" w:rsidP="00EB7E71" w:rsidR="00EB7E71" w:rsidRPr="00EB7E71">
      <w:pPr>
        <w:spacing w:after="0"/>
        <w:jc w:val="center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>U Čakovcu, 19. siječnja 2018. godine</w:t>
      </w:r>
    </w:p>
    <w:p w:rsidRDefault="00EB7E71" w:rsidP="00EB7E71" w:rsidR="00EB7E71" w:rsidRPr="00EB7E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center"/>
        <w:rPr>
          <w:rFonts w:cs="Times New Roman" w:eastAsia="Times New Roman"/>
          <w:lang w:eastAsia="hr-HR"/>
        </w:rPr>
      </w:pPr>
      <w:r w:rsidRPr="00EB7E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SUTKINJA:</w:t>
      </w: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Calibri"/>
        </w:rPr>
      </w:pPr>
      <w:r w:rsidRPr="00EB7E71">
        <w:rPr>
          <w:rFonts w:cs="Times New Roman" w:eastAsia="Times New Roman"/>
          <w:lang w:eastAsia="hr-HR"/>
        </w:rPr>
        <w:t xml:space="preserve">Valentina Varga Gombar </w:t>
      </w:r>
    </w:p>
    <w:p w:rsidRDefault="00EB7E71" w:rsidP="00EB7E71" w:rsidR="00EB7E71" w:rsidRPr="00EB7E71">
      <w:pPr>
        <w:spacing w:after="0"/>
        <w:jc w:val="right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jc w:val="both"/>
        <w:rPr>
          <w:rFonts w:cs="Times New Roman" w:eastAsia="Calibri"/>
        </w:rPr>
      </w:pPr>
      <w:r w:rsidRPr="00EB7E71">
        <w:rPr>
          <w:rFonts w:cs="Times New Roman" w:eastAsia="Calibri"/>
        </w:rPr>
        <w:t>POUKA O PRAVNOM LIJEKU : Protiv ovog rješenja žalbu može podnijeti potrošač u roku od 15 dana računajući od proteka osmog dana od objave rješenja na mrežnoj stranici e-Oglasna ploča Općinskog suda u Čakovcu ( čl. 25. Zakona o stečaju potrošača ) . Žalba se podnosi ovome sudu pismeno u tri primjerka, a o žalbi odlučuje nadležni županijski sud.</w:t>
      </w:r>
    </w:p>
    <w:p w:rsidRDefault="00EB7E71" w:rsidP="00EB7E71" w:rsidR="00EB7E71" w:rsidRPr="00EB7E71">
      <w:pPr>
        <w:spacing w:after="0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rPr>
          <w:rFonts w:cs="Times New Roman" w:eastAsia="Calibri"/>
        </w:rPr>
      </w:pPr>
      <w:r w:rsidRPr="00EB7E71">
        <w:rPr>
          <w:rFonts w:cs="Times New Roman" w:eastAsia="Calibri"/>
        </w:rPr>
        <w:t>O tome obavijest :</w:t>
      </w:r>
    </w:p>
    <w:p w:rsidRDefault="00EB7E71" w:rsidP="00EB7E71" w:rsidR="00EB7E71" w:rsidRPr="00EB7E71">
      <w:pPr>
        <w:numPr>
          <w:ilvl w:val="0"/>
          <w:numId w:val="47"/>
        </w:numPr>
        <w:spacing w:lineRule="auto" w:line="276" w:after="0"/>
        <w:ind w:firstLine="0"/>
        <w:rPr>
          <w:rFonts w:cs="Times New Roman" w:eastAsia="Calibri"/>
        </w:rPr>
      </w:pPr>
      <w:r w:rsidRPr="00EB7E71">
        <w:rPr>
          <w:rFonts w:cs="Times New Roman" w:eastAsia="Calibri"/>
        </w:rPr>
        <w:t xml:space="preserve">e-Oglasna ploča suda </w:t>
      </w:r>
    </w:p>
    <w:p w:rsidRDefault="00EB7E71" w:rsidP="00EB7E71" w:rsidR="00EB7E71" w:rsidRPr="00EB7E71">
      <w:pPr>
        <w:numPr>
          <w:ilvl w:val="0"/>
          <w:numId w:val="47"/>
        </w:numPr>
        <w:spacing w:lineRule="auto" w:line="276" w:after="0"/>
        <w:ind w:firstLine="0"/>
        <w:rPr>
          <w:rFonts w:cs="Times New Roman" w:eastAsia="Calibri"/>
        </w:rPr>
      </w:pPr>
      <w:r w:rsidRPr="00EB7E71">
        <w:rPr>
          <w:rFonts w:cs="Times New Roman" w:eastAsia="Calibri"/>
        </w:rPr>
        <w:t>potrošaču - putem oglasne ploče</w:t>
      </w:r>
    </w:p>
    <w:p w:rsidRDefault="00EB7E71" w:rsidP="00EB7E71" w:rsidR="00EB7E71" w:rsidRPr="00EB7E71">
      <w:pPr>
        <w:spacing w:after="0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E71" w:rsidP="00EB7E71" w:rsidR="00EB7E71" w:rsidRPr="00EB7E71">
      <w:pPr>
        <w:spacing w:after="0"/>
        <w:rPr>
          <w:rFonts w:cs="Times New Roman" w:eastAsia="Calibri"/>
        </w:rPr>
      </w:pPr>
      <w:r w:rsidRPr="00EB7E71">
        <w:rPr>
          <w:rFonts w:cs="Times New Roman" w:eastAsia="Calibri"/>
        </w:rPr>
        <w:t>Rj :</w:t>
      </w:r>
    </w:p>
    <w:p w:rsidRDefault="00EB7E71" w:rsidP="00EB7E71" w:rsidR="00EB7E71" w:rsidRPr="00EB7E71">
      <w:pPr>
        <w:numPr>
          <w:ilvl w:val="0"/>
          <w:numId w:val="48"/>
        </w:numPr>
        <w:spacing w:lineRule="auto" w:line="276" w:after="0"/>
        <w:ind w:firstLine="0"/>
        <w:contextualSpacing/>
        <w:rPr>
          <w:rFonts w:cs="Times New Roman" w:eastAsia="Calibri"/>
        </w:rPr>
      </w:pPr>
      <w:r w:rsidRPr="00EB7E71">
        <w:rPr>
          <w:rFonts w:cs="Times New Roman" w:eastAsia="Calibri"/>
        </w:rPr>
        <w:t>rješenje nepravomoćno</w:t>
      </w:r>
    </w:p>
    <w:p w:rsidRDefault="00EB7E71" w:rsidP="00EB7E71" w:rsidR="00EB7E71" w:rsidRPr="00EB7E71">
      <w:pPr>
        <w:numPr>
          <w:ilvl w:val="0"/>
          <w:numId w:val="48"/>
        </w:numPr>
        <w:spacing w:lineRule="auto" w:line="276" w:after="0"/>
        <w:ind w:firstLine="0"/>
        <w:contextualSpacing/>
        <w:rPr>
          <w:rFonts w:cs="Times New Roman" w:eastAsia="Calibri"/>
        </w:rPr>
      </w:pPr>
      <w:r w:rsidRPr="00EB7E71">
        <w:rPr>
          <w:rFonts w:cs="Times New Roman" w:eastAsia="Calibri"/>
        </w:rPr>
        <w:t>dostavi pod 1-2</w:t>
      </w:r>
    </w:p>
    <w:p w:rsidRDefault="00EB7E71" w:rsidP="00EB7E71" w:rsidR="00EB7E71" w:rsidRPr="00EB7E71">
      <w:pPr>
        <w:numPr>
          <w:ilvl w:val="0"/>
          <w:numId w:val="48"/>
        </w:numPr>
        <w:spacing w:lineRule="auto" w:line="276" w:after="0"/>
        <w:ind w:firstLine="0"/>
        <w:contextualSpacing/>
        <w:rPr>
          <w:rFonts w:cs="Times New Roman" w:eastAsia="Calibri"/>
        </w:rPr>
      </w:pPr>
      <w:r w:rsidRPr="00EB7E71">
        <w:rPr>
          <w:rFonts w:cs="Times New Roman" w:eastAsia="Calibri"/>
        </w:rPr>
        <w:t>Kancel : temeljem čl. 25. st. 4. Zakona o stečaju potrošača pismeno treba evidentirati u očevidnik pismena dostavljenih preko mrežne stranice e-oglasna ploča</w:t>
      </w:r>
    </w:p>
    <w:p w:rsidRDefault="00EB7E71" w:rsidP="00EB7E71" w:rsidR="00EB7E71" w:rsidRPr="00EB7E71">
      <w:pPr>
        <w:numPr>
          <w:ilvl w:val="0"/>
          <w:numId w:val="48"/>
        </w:numPr>
        <w:spacing w:lineRule="auto" w:line="276" w:after="0"/>
        <w:ind w:firstLine="0"/>
        <w:contextualSpacing/>
        <w:rPr>
          <w:rFonts w:cs="Times New Roman" w:eastAsia="Calibri"/>
        </w:rPr>
      </w:pPr>
      <w:r w:rsidRPr="00EB7E71">
        <w:rPr>
          <w:rFonts w:cs="Times New Roman" w:eastAsia="Calibri"/>
        </w:rPr>
        <w:t>Spis u kal 30 dana</w:t>
      </w:r>
    </w:p>
    <w:p w:rsidRDefault="00EB7E71" w:rsidP="00EB7E71" w:rsidR="00EB7E71" w:rsidRPr="00EB7E71">
      <w:pPr>
        <w:spacing w:after="0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rPr>
          <w:rFonts w:cs="Times New Roman" w:eastAsia="Calibri"/>
        </w:rPr>
      </w:pPr>
      <w:r w:rsidRPr="00EB7E71">
        <w:rPr>
          <w:rFonts w:cs="Times New Roman" w:eastAsia="Calibri"/>
        </w:rPr>
        <w:t xml:space="preserve">      U Čakovcu, 19. siječnja 2018.god.</w:t>
      </w:r>
    </w:p>
    <w:p w:rsidRDefault="00EB7E71" w:rsidP="00EB7E71" w:rsidR="00EB7E71" w:rsidRPr="00EB7E71">
      <w:pPr>
        <w:spacing w:after="0"/>
        <w:rPr>
          <w:rFonts w:cs="Times New Roman" w:eastAsia="Calibri"/>
        </w:rPr>
      </w:pPr>
    </w:p>
    <w:p w:rsidRDefault="00EB7E71" w:rsidP="00EB7E71" w:rsidR="00EB7E71" w:rsidRPr="00EB7E71">
      <w:pPr>
        <w:spacing w:after="0"/>
        <w:rPr>
          <w:rFonts w:cs="Times New Roman" w:eastAsia="Calibri"/>
        </w:rPr>
      </w:pPr>
      <w:r w:rsidRPr="00EB7E71">
        <w:rPr>
          <w:rFonts w:cs="Times New Roman" w:eastAsia="Calibri"/>
        </w:rPr>
        <w:t xml:space="preserve">                                    Sutkinja :</w:t>
      </w:r>
    </w:p>
    <w:p w:rsidRDefault="00EB7E71" w:rsidP="00EB7E71" w:rsidR="00EB7E71" w:rsidRPr="00EB7E7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EB7E7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9189813"/>
      <w:docPartObj>
        <w:docPartGallery w:val="Page Numbers (Top of Page)"/>
        <w:docPartUnique/>
      </w:docPartObj>
    </w:sdtPr>
    <w:sdtContent>
      <w:p w:rsidRDefault="00EB7E71" w:rsidP="00EB7E71" w:rsidR="00EB7E71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  <w:r>
          <w:t xml:space="preserve">                                            </w:t>
        </w:r>
        <w:r w:rsidRPr="00EB7E71">
          <w:rPr>
            <w:rFonts w:cs="Times New Roman" w:eastAsia="Times New Roman"/>
            <w:lang w:eastAsia="hr-HR"/>
          </w:rPr>
          <w:t>Broj : 7 Sp-6/17-4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D133F36"/>
    <w:multiLevelType w:val="hybridMultilevel"/>
    <w:tmpl w:val="2CD0849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B7E71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2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Sp-6/2017-3</izvorni_sadrzaj>
    <derivirana_varijabla naziv="DomainObject.Oznaka_1">Sp-6/2017-3</derivirana_varijabla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Varga Gombar</izvorni_sadrzaj>
    <derivirana_varijabla naziv="DomainObject.DonositeljOdluke.Prezime_1">Varga Gombar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TRAŽENO IZUZEĆE SUCA-ODOBRENO</izvorni_sadrzaj>
    <derivirana_varijabla naziv="DomainObject.Predmet.Opis_1">TRAŽENO IZUZEĆE SUCA-ODOBRENO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Valentina Varga Gombar</izvorni_sadrzaj>
    <derivirana_varijabla naziv="DomainObject.Predmet.Referada.Sudac_1">Valentina Varga Gombar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Smrtić</izvorni_sadrzaj>
    <derivirana_varijabla naziv="DomainObject.Predmet.StrankaFormated_1">  Vladimir Smrtić</derivirana_varijabla>
  </DomainObject.Predmet.StrankaFormated>
  <DomainObject.Predmet.StrankaFormatedOIB>
    <izvorni_sadrzaj>  Vladimir Smrtić, OIB 87359838242</izvorni_sadrzaj>
    <derivirana_varijabla naziv="DomainObject.Predmet.StrankaFormatedOIB_1">  Vladimir Smrtić, OIB 87359838242</derivirana_varijabla>
  </DomainObject.Predmet.StrankaFormatedOIB>
  <DomainObject.Predmet.StrankaFormatedWithAdress>
    <izvorni_sadrzaj> Vladimir Smrtić, K.Tomislava 18, 40000 Čakovec</izvorni_sadrzaj>
    <derivirana_varijabla naziv="DomainObject.Predmet.StrankaFormatedWithAdress_1"> Vladimir Smrtić, K.Tomislava 18, 40000 Čakovec</derivirana_varijabla>
  </DomainObject.Predmet.StrankaFormatedWithAdress>
  <DomainObject.Predmet.StrankaFormatedWithAdressOIB>
    <izvorni_sadrzaj> Vladimir Smrtić, OIB 87359838242, K.Tomislava 18, 40000 Čakovec</izvorni_sadrzaj>
    <derivirana_varijabla naziv="DomainObject.Predmet.StrankaFormatedWithAdressOIB_1"> Vladimir Smrtić, OIB 87359838242, K.Tomislava 18, 40000 Čakovec</derivirana_varijabla>
  </DomainObject.Predmet.StrankaFormatedWithAdressOIB>
  <DomainObject.Predmet.StrankaWithAdress>
    <izvorni_sadrzaj>Vladimir Smrtić K.Tomislava 18,40000 Čakovec</izvorni_sadrzaj>
    <derivirana_varijabla naziv="DomainObject.Predmet.StrankaWithAdress_1">Vladimir Smrtić K.Tomislava 18,40000 Čakovec</derivirana_varijabla>
  </DomainObject.Predmet.StrankaWithAdress>
  <DomainObject.Predmet.StrankaWithAdressOIB>
    <izvorni_sadrzaj>Vladimir Smrtić, OIB 87359838242, K.Tomislava 18,40000 Čakovec</izvorni_sadrzaj>
    <derivirana_varijabla naziv="DomainObject.Predmet.StrankaWithAdressOIB_1">Vladimir Smrtić, OIB 87359838242, K.Tomislava 18,40000 Čakovec</derivirana_varijabla>
  </DomainObject.Predmet.StrankaWithAdressOIB>
  <DomainObject.Predmet.StrankaNazivFormated>
    <izvorni_sadrzaj>Vladimir Smrtić</izvorni_sadrzaj>
    <derivirana_varijabla naziv="DomainObject.Predmet.StrankaNazivFormated_1">Vladimir Smrtić</derivirana_varijabla>
  </DomainObject.Predmet.StrankaNazivFormated>
  <DomainObject.Predmet.StrankaNazivFormatedOIB>
    <izvorni_sadrzaj>Vladimir Smrtić, OIB 87359838242</izvorni_sadrzaj>
    <derivirana_varijabla naziv="DomainObject.Predmet.StrankaNazivFormatedOIB_1">Vladimir Smrtić, OIB 87359838242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Slokan</izvorni_sadrzaj>
    <derivirana_varijabla naziv="DomainObject.Predmet.Zapisnicar_1">Marina Slokan</derivirana_varijabla>
  </DomainObject.Predmet.Zapisnicar>
  <DomainObject.Predmet.StrankaListFormated>
    <izvorni_sadrzaj>
      <item>Vladimir Smrtić</item>
    </izvorni_sadrzaj>
    <derivirana_varijabla naziv="DomainObject.Predmet.StrankaListFormated_1">
      <item>Vladimir Smrtić</item>
    </derivirana_varijabla>
  </DomainObject.Predmet.StrankaListFormated>
  <DomainObject.Predmet.StrankaListFormatedOIB>
    <izvorni_sadrzaj>
      <item>Vladimir Smrtić, OIB 87359838242</item>
    </izvorni_sadrzaj>
    <derivirana_varijabla naziv="DomainObject.Predmet.StrankaListFormatedOIB_1">
      <item>Vladimir Smrtić, OIB 87359838242</item>
    </derivirana_varijabla>
  </DomainObject.Predmet.StrankaListFormatedOIB>
  <DomainObject.Predmet.StrankaListFormatedWithAdress>
    <izvorni_sadrzaj>
      <item>Vladimir Smrtić, K.Tomislava 18, 40000 Čakovec</item>
    </izvorni_sadrzaj>
    <derivirana_varijabla naziv="DomainObject.Predmet.StrankaListFormatedWithAdress_1">
      <item>Vladimir Smrtić, K.Tomislava 18, 40000 Čakovec</item>
    </derivirana_varijabla>
  </DomainObject.Predmet.StrankaListFormatedWithAdress>
  <DomainObject.Predmet.StrankaListFormatedWithAdressOIB>
    <izvorni_sadrzaj>
      <item>Vladimir Smrtić, OIB 87359838242, K.Tomislava 18, 40000 Čakovec</item>
    </izvorni_sadrzaj>
    <derivirana_varijabla naziv="DomainObject.Predmet.StrankaListFormatedWithAdressOIB_1">
      <item>Vladimir Smrtić, OIB 87359838242, K.Tomislava 18, 40000 Čakovec</item>
    </derivirana_varijabla>
  </DomainObject.Predmet.StrankaListFormatedWithAdressOIB>
  <DomainObject.Predmet.StrankaListNazivFormated>
    <izvorni_sadrzaj>
      <item>Vladimir Smrtić</item>
    </izvorni_sadrzaj>
    <derivirana_varijabla naziv="DomainObject.Predmet.StrankaListNazivFormated_1">
      <item>Vladimir Smrtić</item>
    </derivirana_varijabla>
  </DomainObject.Predmet.StrankaListNazivFormated>
  <DomainObject.Predmet.StrankaListNazivFormatedOIB>
    <izvorni_sadrzaj>
      <item>Vladimir Smrtić, OIB 87359838242</item>
    </izvorni_sadrzaj>
    <derivirana_varijabla naziv="DomainObject.Predmet.StrankaListNazivFormatedOIB_1">
      <item>Vladimir Smrtić, OIB 87359838242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Sp-6/2017-3</izvorni_sadrzaj>
    <derivirana_varijabla naziv="DomainObject.PoslovniBrojDokumenta_1">Sp-6/2017-3</derivirana_varijabla>
  </DomainObject.PoslovniBrojDokumenta>
  <DomainObject.Predmet.StrankaIDrugi>
    <izvorni_sadrzaj>Vladimir Smrtić</izvorni_sadrzaj>
    <derivirana_varijabla naziv="DomainObject.Predmet.StrankaIDrugi_1">Vladimir Smrtić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Smrtić, OIB 87359838242, K.Tomislava 18, 40000 Čakovec</izvorni_sadrzaj>
    <derivirana_varijabla naziv="DomainObject.Predmet.StrankaIDrugiAdressOIB_1">Vladimir Smrtić, OIB 87359838242, K.Tomislava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Smrtić</item>
    </izvorni_sadrzaj>
    <derivirana_varijabla naziv="DomainObject.Predmet.SudioniciListNaziv_1">
      <item>Vladimir Smrtić</item>
    </derivirana_varijabla>
  </DomainObject.Predmet.SudioniciListNaziv>
  <DomainObject.Predmet.SudioniciListAdressOIB>
    <izvorni_sadrzaj>
      <item>Vladimir Smrtić, OIB 87359838242, K.Tomislava 18,40000 Čakovec</item>
    </izvorni_sadrzaj>
    <derivirana_varijabla naziv="DomainObject.Predmet.SudioniciListAdressOIB_1">
      <item>Vladimir Smrtić, OIB 87359838242, K.Tomislava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C97DF-BD2A-4C0B-9BC9-A88D3F5A1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3621</properties:Characters>
  <properties:Lines>103</properties:Lines>
  <properties:Paragraphs>36</properties:Paragraphs>
  <properties:TotalTime>49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Valentina Varga Gombar</cp:lastModifiedBy>
  <dcterms:modified xmlns:xsi="http://www.w3.org/2001/XMLSchema-instance" xsi:type="dcterms:W3CDTF">2018-01-19T10:17:00Z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Sp-6/2017-3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