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c7c9" w14:paraId="755c7c9" w:rsidRDefault="00C2049D" w:rsidR="00E118BC">
      <w:pPr>
        <w15:collapsed w:val="false"/>
      </w:pPr>
      <w:bookmarkStart w:name="_GoBack" w:id="0"/>
      <w:bookmarkEnd w:id="0"/>
      <w:r>
        <w:rPr>
          <w:rFonts w:cs="Arial" w:hAnsi="Arial" w:ascii="Arial"/>
        </w:rPr>
        <w:t xml:space="preserve">                                                                    </w:t>
      </w:r>
      <w:r>
        <w:rPr>
          <w:rFonts w:cs="Arial" w:hAnsi="Arial" w:ascii="Arial"/>
          <w:sz w:val="24"/>
          <w:szCs w:val="24"/>
        </w:rPr>
        <w:t>Obrazac 20.</w:t>
      </w:r>
    </w:p>
    <w:p w:rsidRDefault="00C2049D" w:rsidR="00E118BC">
      <w:pPr>
        <w:jc w:val="both"/>
      </w:pPr>
      <w:r>
        <w:rPr>
          <w:rFonts w:cs="Arial" w:hAnsi="Arial" w:ascii="Arial"/>
          <w:b/>
          <w:sz w:val="24"/>
          <w:szCs w:val="24"/>
        </w:rPr>
        <w:t xml:space="preserve">    IZVJEŠĆE STEČAJNOG UPRAVITELJA O TIJEKU STEČAJNOG POSTUPKA I       </w:t>
      </w:r>
    </w:p>
    <w:p w:rsidRDefault="00C2049D" w:rsidR="00E118BC">
      <w:pPr>
        <w:jc w:val="both"/>
      </w:pPr>
      <w:r>
        <w:rPr>
          <w:rFonts w:cs="Arial" w:hAnsi="Arial" w:ascii="Arial"/>
          <w:b/>
          <w:sz w:val="24"/>
          <w:szCs w:val="24"/>
        </w:rPr>
        <w:t xml:space="preserve">                                                STANJU STEČAJNE MASE     </w:t>
      </w:r>
      <w:r>
        <w:rPr>
          <w:rFonts w:cs="Arial" w:hAnsi="Arial" w:ascii="Arial"/>
          <w:sz w:val="24"/>
          <w:szCs w:val="24"/>
        </w:rPr>
        <w:t xml:space="preserve">          </w:t>
      </w:r>
    </w:p>
    <w:p w:rsidRDefault="00C2049D" w:rsidR="00E118BC">
      <w:pPr>
        <w:jc w:val="both"/>
        <w:rPr>
          <w:rFonts w:cs="Arial" w:hAnsi="Arial" w:ascii="Arial"/>
          <w:sz w:val="24"/>
          <w:szCs w:val="24"/>
        </w:rPr>
      </w:pPr>
      <w:r>
        <w:rPr>
          <w:rFonts w:cs="Arial" w:hAnsi="Arial" w:ascii="Arial"/>
          <w:sz w:val="24"/>
          <w:szCs w:val="24"/>
        </w:rPr>
        <w:t>Republika Hrvatska</w:t>
      </w:r>
    </w:p>
    <w:p w:rsidRDefault="00C2049D" w:rsidR="00E118BC">
      <w:pPr>
        <w:jc w:val="both"/>
        <w:rPr>
          <w:rFonts w:cs="Arial" w:hAnsi="Arial" w:ascii="Arial"/>
          <w:sz w:val="24"/>
          <w:szCs w:val="24"/>
        </w:rPr>
      </w:pPr>
      <w:r>
        <w:rPr>
          <w:rFonts w:cs="Arial" w:hAnsi="Arial" w:ascii="Arial"/>
          <w:sz w:val="24"/>
          <w:szCs w:val="24"/>
        </w:rPr>
        <w:t>Trgovački sud u Zagrebu</w:t>
      </w:r>
    </w:p>
    <w:p w:rsidRDefault="00C2049D" w:rsidR="00E118BC">
      <w:pPr>
        <w:jc w:val="both"/>
        <w:rPr>
          <w:rFonts w:cs="Arial" w:hAnsi="Arial" w:ascii="Arial"/>
          <w:sz w:val="24"/>
          <w:szCs w:val="24"/>
        </w:rPr>
      </w:pPr>
      <w:r>
        <w:rPr>
          <w:rFonts w:cs="Arial" w:hAnsi="Arial" w:ascii="Arial"/>
          <w:sz w:val="24"/>
          <w:szCs w:val="24"/>
        </w:rPr>
        <w:t>Zagreb, Amruševa 2/II</w:t>
      </w:r>
    </w:p>
    <w:p w:rsidRDefault="00E118BC" w:rsidR="00E118BC">
      <w:pPr>
        <w:jc w:val="both"/>
        <w:rPr>
          <w:rFonts w:cs="Arial" w:hAnsi="Arial" w:ascii="Arial"/>
          <w:sz w:val="24"/>
          <w:szCs w:val="24"/>
        </w:rPr>
      </w:pPr>
    </w:p>
    <w:p w:rsidRDefault="00C2049D" w:rsidR="00E118BC">
      <w:pPr>
        <w:jc w:val="both"/>
        <w:rPr>
          <w:rFonts w:cs="Arial" w:hAnsi="Arial" w:ascii="Arial"/>
          <w:sz w:val="24"/>
          <w:szCs w:val="24"/>
        </w:rPr>
      </w:pPr>
      <w:r>
        <w:rPr>
          <w:rFonts w:cs="Arial" w:hAnsi="Arial" w:ascii="Arial"/>
          <w:sz w:val="24"/>
          <w:szCs w:val="24"/>
        </w:rPr>
        <w:t>Poslovni broj spisa:   48 St – 5271/16</w:t>
      </w:r>
    </w:p>
    <w:p w:rsidRDefault="00C2049D" w:rsidR="00E118BC">
      <w:pPr>
        <w:jc w:val="both"/>
        <w:rPr>
          <w:rFonts w:cs="Arial" w:hAnsi="Arial" w:ascii="Arial"/>
          <w:sz w:val="24"/>
          <w:szCs w:val="24"/>
        </w:rPr>
      </w:pPr>
      <w:r>
        <w:rPr>
          <w:rFonts w:cs="Arial" w:hAnsi="Arial" w:ascii="Arial"/>
          <w:sz w:val="24"/>
          <w:szCs w:val="24"/>
        </w:rPr>
        <w:t>Dužnik: GRAFOPLAST - TISKARA  d.o.o., u stečaju</w:t>
      </w:r>
    </w:p>
    <w:p w:rsidRDefault="00C2049D" w:rsidR="00E118BC">
      <w:pPr>
        <w:jc w:val="both"/>
        <w:rPr>
          <w:rFonts w:cs="Arial" w:hAnsi="Arial" w:ascii="Arial"/>
          <w:sz w:val="24"/>
          <w:szCs w:val="24"/>
        </w:rPr>
      </w:pPr>
      <w:r>
        <w:rPr>
          <w:rFonts w:cs="Arial" w:hAnsi="Arial" w:ascii="Arial"/>
          <w:sz w:val="24"/>
          <w:szCs w:val="24"/>
        </w:rPr>
        <w:t>OIB:  94141342464</w:t>
      </w:r>
    </w:p>
    <w:p w:rsidRDefault="00C2049D" w:rsidR="00E118BC">
      <w:pPr>
        <w:jc w:val="both"/>
        <w:rPr>
          <w:rFonts w:cs="Arial" w:hAnsi="Arial" w:ascii="Arial"/>
          <w:sz w:val="24"/>
          <w:szCs w:val="24"/>
        </w:rPr>
      </w:pPr>
      <w:r>
        <w:rPr>
          <w:rFonts w:cs="Arial" w:hAnsi="Arial" w:ascii="Arial"/>
          <w:sz w:val="24"/>
          <w:szCs w:val="24"/>
        </w:rPr>
        <w:t>Adresa/sjedište:  Zagreb, Preradovićeva 21-23</w:t>
      </w:r>
    </w:p>
    <w:p w:rsidRDefault="00E118BC" w:rsidR="00E118BC">
      <w:pPr>
        <w:jc w:val="both"/>
        <w:rPr>
          <w:rFonts w:cs="Arial" w:hAnsi="Arial" w:ascii="Arial"/>
          <w:sz w:val="24"/>
          <w:szCs w:val="24"/>
        </w:rPr>
      </w:pPr>
    </w:p>
    <w:p w:rsidRDefault="00C2049D" w:rsidR="00E118BC">
      <w:pPr>
        <w:pStyle w:val="Odlomakpopisa"/>
        <w:numPr>
          <w:ilvl w:val="0"/>
          <w:numId w:val="2"/>
        </w:numPr>
        <w:jc w:val="both"/>
        <w:rPr>
          <w:rFonts w:cs="Arial" w:hAnsi="Arial" w:ascii="Arial"/>
          <w:sz w:val="24"/>
          <w:szCs w:val="24"/>
        </w:rPr>
      </w:pPr>
      <w:r>
        <w:rPr>
          <w:rFonts w:cs="Arial" w:hAnsi="Arial" w:ascii="Arial"/>
          <w:sz w:val="24"/>
          <w:szCs w:val="24"/>
        </w:rPr>
        <w:t>TIJEK STEČAJNOG POSTUPKA U RAZDOBLJU OD 18.02.2019.g. DO 18.05.2019.g.</w:t>
      </w:r>
    </w:p>
    <w:p w:rsidRDefault="00E118BC" w:rsidR="00E118BC">
      <w:pPr>
        <w:jc w:val="both"/>
        <w:rPr>
          <w:rFonts w:cs="Arial" w:hAnsi="Arial" w:ascii="Arial"/>
          <w:sz w:val="24"/>
          <w:szCs w:val="24"/>
        </w:rPr>
      </w:pPr>
    </w:p>
    <w:p w:rsidRDefault="00C2049D" w:rsidR="00E118BC">
      <w:pPr>
        <w:jc w:val="both"/>
        <w:rPr>
          <w:rFonts w:cs="Arial" w:hAnsi="Arial" w:ascii="Arial"/>
          <w:sz w:val="24"/>
          <w:szCs w:val="24"/>
        </w:rPr>
      </w:pPr>
      <w:r>
        <w:rPr>
          <w:rFonts w:cs="Arial" w:hAnsi="Arial" w:ascii="Arial"/>
          <w:sz w:val="24"/>
          <w:szCs w:val="24"/>
        </w:rPr>
        <w:t xml:space="preserve">Rješenjem od 22. kolovoza 2018. godine, otvoren je stečajni postupak nad stečajnim dužnikom GRAFOPLAST – TISKARA d.o.o., Zagreb, Preradovićeva 21-23, OIB: 94141342464, temeljem prijedloga Financijske agencije za otvaranje stečajnog postupka. Ispitno i izvještajno ročište održano je 18. veljače 2019. godine. Odlukom sa izvještajnog ročišta ovlašten je stečajni upravitelj ispitati status nekretnina na kojima je upisano pravo vlasništva, te je određena zabilježba na predmetnim nekretninama. Stečajni upravitelj podnio je prijedlog za sazivanje skupštine vjerovnika u svrhu donošenja odluke o prodaji (načinu i uvjetima) nekretnina u vlasništvu stečajnog dužnika. U međuvremenu, javio se je izlučni vjerovnik DIVAL 1980 d.o.o. Zagreb, Preradovićeva 23, te je dostavio kupoprodajni ugovor kojim je on vlasnik predmetnog prostora. Na posebnoj sjednici Skupštine vjerovnika održanoj 30. travnja 2019. godine, donijeta je odluka kojom se ovlašćuje stečajni upravitelj da ispita da li su navedene poduzete pravne radnje pobojne ili ništetne vezano za sklapanje Ugovora o kupoprodaji  predmetnih nekretnina, a koje su bile predmetom odlučivanja o prodaji na sjednici Skupštine vjerovnika, radi poduzimanja odgovarajućih radnji ili pokretanja postupka. Podneskom stečajnog upravitelja od 09. svibnja 2019. godine, stečajni upravitelj obavijestio je sud da su ispitane navedene poduzete pravne radnje, te da one nisu pobojne ili ništetne vezane za sklapanje Ugovora o  kupoprodaji nekretnina te da izlučni vjerovnik i dalje ostaje izvanknjižni vlasnik i kvalificirani posjednik predmetnih nekretnina.    </w:t>
      </w:r>
    </w:p>
    <w:p w:rsidRDefault="00E118BC" w:rsidR="00E118BC">
      <w:pPr>
        <w:pStyle w:val="Odlomakpopisa"/>
        <w:ind w:left="1080"/>
        <w:jc w:val="both"/>
        <w:rPr>
          <w:rFonts w:cs="Arial" w:hAnsi="Arial" w:ascii="Arial"/>
          <w:sz w:val="24"/>
          <w:szCs w:val="24"/>
        </w:rPr>
      </w:pPr>
    </w:p>
    <w:p w:rsidRDefault="00C2049D" w:rsidR="00E118BC">
      <w:pPr>
        <w:jc w:val="both"/>
        <w:rPr>
          <w:rFonts w:cs="Arial" w:hAnsi="Arial" w:ascii="Arial"/>
          <w:sz w:val="24"/>
          <w:szCs w:val="24"/>
        </w:rPr>
      </w:pPr>
      <w:r>
        <w:rPr>
          <w:rFonts w:cs="Arial" w:hAnsi="Arial" w:ascii="Arial"/>
          <w:sz w:val="24"/>
          <w:szCs w:val="24"/>
        </w:rPr>
        <w:t xml:space="preserve">      II.        STANJE STEČAJNE MASE</w:t>
      </w:r>
    </w:p>
    <w:p w:rsidRDefault="00E118BC" w:rsidR="00E118BC">
      <w:pPr>
        <w:jc w:val="both"/>
        <w:rPr>
          <w:rFonts w:cs="Arial" w:hAnsi="Arial" w:ascii="Arial"/>
          <w:sz w:val="24"/>
          <w:szCs w:val="24"/>
        </w:rPr>
      </w:pPr>
    </w:p>
    <w:p w:rsidRDefault="00C2049D" w:rsidR="00E118BC">
      <w:pPr>
        <w:jc w:val="both"/>
        <w:rPr>
          <w:rFonts w:cs="Arial" w:hAnsi="Arial" w:ascii="Arial"/>
          <w:sz w:val="24"/>
          <w:szCs w:val="24"/>
        </w:rPr>
      </w:pPr>
      <w:r>
        <w:rPr>
          <w:rFonts w:cs="Arial" w:hAnsi="Arial" w:ascii="Arial"/>
          <w:sz w:val="24"/>
          <w:szCs w:val="24"/>
        </w:rPr>
        <w:t>Sustavan pregled predmeta koji  čine stečajnu masu:</w:t>
      </w:r>
    </w:p>
    <w:p w:rsidRDefault="00C2049D" w:rsidR="00E118BC">
      <w:pPr>
        <w:pStyle w:val="Odlomakpopisa"/>
        <w:numPr>
          <w:ilvl w:val="0"/>
          <w:numId w:val="3"/>
        </w:numPr>
        <w:jc w:val="both"/>
        <w:rPr>
          <w:rFonts w:cs="Arial" w:hAnsi="Arial" w:ascii="Arial"/>
        </w:rPr>
      </w:pPr>
      <w:r>
        <w:rPr>
          <w:rFonts w:cs="Arial" w:hAnsi="Arial" w:ascii="Arial"/>
        </w:rPr>
        <w:lastRenderedPageBreak/>
        <w:t>Prema postojećim kupoprodajnim ugovorima društvo DIVAL 1980 d.o.o., Zagreb, Preradovićeva 23, OIB: 43422726962  je izvanknjižni vlasnik i kvalificirani posjednik nekretnina, i to: Katastarska općina, Grad Zagreb, br. ZK uloška: 5752, zkč. Br.5033/20, kuća br. 21, 23 i dvorište u Badalićevoj ulici</w:t>
      </w:r>
    </w:p>
    <w:p w:rsidRDefault="00C2049D" w:rsidR="00E118BC">
      <w:pPr>
        <w:pStyle w:val="Odlomakpopisa"/>
        <w:numPr>
          <w:ilvl w:val="0"/>
          <w:numId w:val="4"/>
        </w:numPr>
        <w:jc w:val="both"/>
        <w:rPr>
          <w:rFonts w:cs="Arial" w:hAnsi="Arial" w:ascii="Arial"/>
        </w:rPr>
      </w:pPr>
      <w:r>
        <w:rPr>
          <w:rFonts w:cs="Arial" w:hAnsi="Arial" w:ascii="Arial"/>
        </w:rPr>
        <w:t>14. Suvlasnički dio: 103/10000 etažno vlasništvo (E14), 1.skladišni prostor u podrumu, Badalićeva 21, oznake u nacrtu SKL-1 korisne površine 15,99 čm</w:t>
      </w:r>
    </w:p>
    <w:p w:rsidRDefault="00C2049D" w:rsidR="00E118BC">
      <w:pPr>
        <w:pStyle w:val="Odlomakpopisa"/>
        <w:numPr>
          <w:ilvl w:val="0"/>
          <w:numId w:val="4"/>
        </w:numPr>
        <w:jc w:val="both"/>
        <w:rPr>
          <w:rFonts w:cs="Arial" w:hAnsi="Arial" w:ascii="Arial"/>
        </w:rPr>
      </w:pPr>
      <w:r>
        <w:rPr>
          <w:rFonts w:cs="Arial" w:hAnsi="Arial" w:ascii="Arial"/>
        </w:rPr>
        <w:t>15. Suvlasnički dio: 87/10000 etažno vlasništvo (E15), 1. skladišni prostor u podrumu, Badalićeva 21, oznake u nacrtu SKL-2 korisne površine 13,54 čm</w:t>
      </w:r>
    </w:p>
    <w:p w:rsidRDefault="00C2049D" w:rsidR="00E118BC">
      <w:pPr>
        <w:pStyle w:val="Odlomakpopisa"/>
        <w:numPr>
          <w:ilvl w:val="0"/>
          <w:numId w:val="4"/>
        </w:numPr>
        <w:jc w:val="both"/>
        <w:rPr>
          <w:rFonts w:cs="Arial" w:hAnsi="Arial" w:ascii="Arial"/>
        </w:rPr>
      </w:pPr>
      <w:r>
        <w:rPr>
          <w:rFonts w:cs="Arial" w:hAnsi="Arial" w:ascii="Arial"/>
        </w:rPr>
        <w:t>31. Suvlasnički dio: 163/10000 etažno vlasništvo (E-31), 1. skladišni prostor u podrumu, Badalićeva 23, oznake u nacrtu SKL-5 korisne površine 25,47 čm</w:t>
      </w:r>
    </w:p>
    <w:p w:rsidRDefault="00C2049D" w:rsidR="00E118BC">
      <w:pPr>
        <w:pStyle w:val="Odlomakpopisa"/>
        <w:numPr>
          <w:ilvl w:val="0"/>
          <w:numId w:val="3"/>
        </w:numPr>
        <w:jc w:val="both"/>
        <w:rPr>
          <w:rFonts w:cs="Arial" w:hAnsi="Arial" w:ascii="Arial"/>
        </w:rPr>
      </w:pPr>
      <w:r>
        <w:rPr>
          <w:rFonts w:cs="Arial" w:hAnsi="Arial" w:ascii="Arial"/>
        </w:rPr>
        <w:t xml:space="preserve">vozilo M1, marka OPEL 1,6 16V GTC COSMO, godina proizvodnje 2009 g., broj šasije W0L0AHL0895038428, reg. oznaka: ZG3849DV. </w:t>
      </w:r>
    </w:p>
    <w:p w:rsidRDefault="00E118BC" w:rsidR="00E118BC">
      <w:pPr>
        <w:pStyle w:val="Odlomakpopisa"/>
        <w:jc w:val="both"/>
        <w:rPr>
          <w:rFonts w:cs="Arial" w:hAnsi="Arial" w:ascii="Arial"/>
          <w:sz w:val="24"/>
          <w:szCs w:val="24"/>
        </w:rPr>
      </w:pPr>
    </w:p>
    <w:p w:rsidRDefault="00C2049D" w:rsidR="00E118BC">
      <w:pPr>
        <w:jc w:val="both"/>
        <w:rPr>
          <w:rFonts w:cs="Arial" w:hAnsi="Arial" w:ascii="Arial"/>
          <w:sz w:val="24"/>
          <w:szCs w:val="24"/>
        </w:rPr>
      </w:pPr>
      <w:r>
        <w:rPr>
          <w:rFonts w:cs="Arial" w:hAnsi="Arial" w:ascii="Arial"/>
          <w:sz w:val="24"/>
          <w:szCs w:val="24"/>
        </w:rPr>
        <w:t xml:space="preserve">      III.        RADNJE KOJE ĆE SE PODUZETI U NAREDNOM RAZDOBLJU</w:t>
      </w:r>
    </w:p>
    <w:p w:rsidRDefault="00E118BC" w:rsidR="00E118BC">
      <w:pPr>
        <w:ind w:left="360"/>
        <w:jc w:val="both"/>
        <w:rPr>
          <w:rFonts w:cs="Arial" w:hAnsi="Arial" w:ascii="Arial"/>
          <w:sz w:val="24"/>
          <w:szCs w:val="24"/>
        </w:rPr>
      </w:pPr>
    </w:p>
    <w:p w:rsidRDefault="00C2049D" w:rsidR="00E118BC">
      <w:pPr>
        <w:jc w:val="both"/>
        <w:rPr>
          <w:rFonts w:cs="Arial" w:hAnsi="Arial" w:ascii="Arial"/>
          <w:sz w:val="24"/>
          <w:szCs w:val="24"/>
        </w:rPr>
      </w:pPr>
      <w:r>
        <w:rPr>
          <w:rFonts w:cs="Arial" w:hAnsi="Arial" w:ascii="Arial"/>
          <w:sz w:val="24"/>
          <w:szCs w:val="24"/>
        </w:rPr>
        <w:t>Radnje koje će se poduzeti u narednom razdoblju od 18.05.2019. do 18.08.2019. godine, ovise od donošenja odluka suda i Skupštine vjerovnika. U podnesku stečajnog upravitelja od 09.05.2019. godine stečajni upravitelj predložio je:</w:t>
      </w:r>
    </w:p>
    <w:p w:rsidRDefault="00C2049D" w:rsidR="00E118BC">
      <w:pPr>
        <w:pStyle w:val="Odlomakpopisa"/>
        <w:numPr>
          <w:ilvl w:val="0"/>
          <w:numId w:val="5"/>
        </w:numPr>
        <w:jc w:val="both"/>
      </w:pPr>
      <w:r>
        <w:rPr>
          <w:rFonts w:cs="Arial" w:hAnsi="Arial" w:ascii="Arial"/>
          <w:sz w:val="24"/>
          <w:szCs w:val="24"/>
        </w:rPr>
        <w:t xml:space="preserve"> </w:t>
      </w:r>
      <w:r>
        <w:rPr>
          <w:rFonts w:cs="Arial" w:hAnsi="Arial" w:ascii="Arial"/>
        </w:rPr>
        <w:t>Budući da stečajna masa nije dostatna ni za namirenje troškova postupka stečajni upravitelj predlaže da sud rješenjem obustavi i zaključi postupak, sukladno čl.293. st. 1.SZ-a,</w:t>
      </w:r>
    </w:p>
    <w:p w:rsidRDefault="00C2049D" w:rsidR="00E118BC">
      <w:pPr>
        <w:pStyle w:val="Odlomakpopisa"/>
        <w:numPr>
          <w:ilvl w:val="0"/>
          <w:numId w:val="5"/>
        </w:numPr>
        <w:jc w:val="both"/>
        <w:rPr>
          <w:rFonts w:cs="Arial" w:hAnsi="Arial" w:ascii="Arial"/>
        </w:rPr>
      </w:pPr>
      <w:r>
        <w:rPr>
          <w:rFonts w:cs="Arial" w:hAnsi="Arial" w:ascii="Arial"/>
        </w:rPr>
        <w:t>Stečajni upravitelj predlaže da sud prije donošenja navedenog rješenja pozove na očitovanje vjerovnike stečajne mase, stečajnog upravitelja i skupštinu vjerovnika, objavom na mrežnoj stranici e-Oglasna ploča sudova, sukladno čl.293. st. 2. SZ-a,</w:t>
      </w:r>
    </w:p>
    <w:p w:rsidRDefault="00C2049D" w:rsidR="00E118BC">
      <w:pPr>
        <w:pStyle w:val="Odlomakpopisa"/>
        <w:numPr>
          <w:ilvl w:val="0"/>
          <w:numId w:val="5"/>
        </w:numPr>
        <w:jc w:val="both"/>
        <w:rPr>
          <w:rFonts w:cs="Arial" w:hAnsi="Arial" w:ascii="Arial"/>
        </w:rPr>
      </w:pPr>
      <w:r>
        <w:rPr>
          <w:rFonts w:cs="Arial" w:hAnsi="Arial" w:ascii="Arial"/>
        </w:rPr>
        <w:t>Stečajni upravitelj predlaže da nakon obustave i zaključenja stečajnog postupka u ime stečajnog dužnika, a za račun stečajne mase unovči imovinu dužnika u vidu osobnog automobila i prikupljenim sredstvima namiri nastale troškove stečajnog postupka, a ako ostane, neiskorišteni iznos uplati u Fond za namirenje troškova stečajnog postupka, sukladno čl. 293. st.4. SZ-a.</w:t>
      </w:r>
    </w:p>
    <w:p w:rsidRDefault="00C2049D" w:rsidR="00E118BC">
      <w:pPr>
        <w:jc w:val="both"/>
        <w:rPr>
          <w:rFonts w:cs="Arial" w:hAnsi="Arial" w:ascii="Arial"/>
        </w:rPr>
      </w:pPr>
      <w:r>
        <w:rPr>
          <w:rFonts w:cs="Arial" w:hAnsi="Arial" w:ascii="Arial"/>
        </w:rPr>
        <w:t xml:space="preserve">Trgovački sud u Zagrebu dana 20. svibnja 2019. godine donio je rješenje kojim se saziva skupština vjerovnika za dan 2. srpnja 2019. godine. Dnevni red skupštine biti će pribavljanje mišljenja u pogledu obustave i zaključenja stečajnog postupka zbog nedostatnosti stečajne mase za namirenje troškova stečajnog postupka.  </w:t>
      </w:r>
    </w:p>
    <w:p w:rsidRDefault="00C2049D" w:rsidR="00E118BC">
      <w:pPr>
        <w:jc w:val="both"/>
        <w:rPr>
          <w:rFonts w:cs="Arial" w:hAnsi="Arial" w:ascii="Arial"/>
          <w:sz w:val="24"/>
          <w:szCs w:val="24"/>
        </w:rPr>
      </w:pPr>
      <w:r>
        <w:rPr>
          <w:rFonts w:cs="Arial" w:hAnsi="Arial" w:ascii="Arial"/>
          <w:sz w:val="24"/>
          <w:szCs w:val="24"/>
        </w:rPr>
        <w:t xml:space="preserve"> </w:t>
      </w:r>
    </w:p>
    <w:p w:rsidRDefault="00E118BC" w:rsidR="00E118BC">
      <w:pPr>
        <w:ind w:left="360"/>
        <w:jc w:val="both"/>
        <w:rPr>
          <w:rFonts w:cs="Arial" w:hAnsi="Arial" w:ascii="Arial"/>
          <w:sz w:val="24"/>
          <w:szCs w:val="24"/>
        </w:rPr>
      </w:pPr>
    </w:p>
    <w:p w:rsidRDefault="00C2049D" w:rsidR="00E118BC">
      <w:pPr>
        <w:jc w:val="both"/>
        <w:rPr>
          <w:rFonts w:cs="Arial" w:hAnsi="Arial" w:ascii="Arial"/>
          <w:sz w:val="24"/>
          <w:szCs w:val="24"/>
        </w:rPr>
      </w:pPr>
      <w:r>
        <w:rPr>
          <w:rFonts w:cs="Arial" w:hAnsi="Arial" w:ascii="Arial"/>
          <w:sz w:val="24"/>
          <w:szCs w:val="24"/>
        </w:rPr>
        <w:t xml:space="preserve">Zagreb, 21.svibanj 2019. godine                                                               </w:t>
      </w:r>
    </w:p>
    <w:p w:rsidRDefault="00E118BC" w:rsidR="00E118BC">
      <w:pPr>
        <w:ind w:left="360"/>
        <w:jc w:val="both"/>
        <w:rPr>
          <w:rFonts w:cs="Arial" w:hAnsi="Arial" w:ascii="Arial"/>
          <w:sz w:val="24"/>
          <w:szCs w:val="24"/>
        </w:rPr>
      </w:pPr>
    </w:p>
    <w:p w:rsidRDefault="00C2049D" w:rsidR="00E118BC">
      <w:pPr>
        <w:ind w:left="360"/>
        <w:jc w:val="both"/>
        <w:rPr>
          <w:rFonts w:cs="Arial" w:hAnsi="Arial" w:ascii="Arial"/>
          <w:sz w:val="24"/>
          <w:szCs w:val="24"/>
        </w:rPr>
      </w:pPr>
      <w:r>
        <w:rPr>
          <w:rFonts w:cs="Arial" w:hAnsi="Arial" w:ascii="Arial"/>
          <w:sz w:val="24"/>
          <w:szCs w:val="24"/>
        </w:rPr>
        <w:t xml:space="preserve">                                                                                                     Stečajni upravitelj</w:t>
      </w:r>
    </w:p>
    <w:p w:rsidRDefault="00C2049D" w:rsidR="00E118BC">
      <w:pPr>
        <w:ind w:left="360"/>
        <w:jc w:val="both"/>
        <w:rPr>
          <w:rFonts w:cs="Arial" w:hAnsi="Arial" w:ascii="Arial"/>
          <w:sz w:val="24"/>
          <w:szCs w:val="24"/>
        </w:rPr>
      </w:pPr>
      <w:r>
        <w:rPr>
          <w:rFonts w:cs="Arial" w:hAnsi="Arial" w:ascii="Arial"/>
          <w:sz w:val="24"/>
          <w:szCs w:val="24"/>
        </w:rPr>
        <w:t xml:space="preserve">                                                                                                     Ivica Boltužić</w:t>
      </w:r>
    </w:p>
    <w:p w:rsidRDefault="00E118BC" w:rsidR="00E118BC">
      <w:pPr>
        <w:ind w:left="360"/>
        <w:jc w:val="both"/>
        <w:rPr>
          <w:rFonts w:cs="Arial" w:hAnsi="Arial" w:ascii="Arial"/>
          <w:sz w:val="24"/>
          <w:szCs w:val="24"/>
        </w:rPr>
      </w:pPr>
    </w:p>
    <w:p w:rsidRDefault="00E118BC" w:rsidR="00E118BC"/>
    <w:sectPr w:rsidR="00E118BC">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49D" w:rsidR="00E62409">
      <w:pPr>
        <w:spacing w:after="0"/>
      </w:pPr>
      <w:r>
        <w:separator/>
      </w:r>
    </w:p>
  </w:endnote>
  <w:endnote w:id="0" w:type="continuationSeparator">
    <w:p w:rsidRDefault="00C2049D" w:rsidR="00E6240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049D" w:rsidR="003E7CAD">
    <w:pPr>
      <w:pStyle w:val="Podnoje"/>
      <w:jc w:val="right"/>
    </w:pPr>
    <w:r>
      <w:fldChar w:fldCharType="begin"/>
    </w:r>
    <w:r>
      <w:instrText xml:space="preserve"> PAGE </w:instrText>
    </w:r>
    <w:r>
      <w:fldChar w:fldCharType="separate"/>
    </w:r>
    <w:r w:rsidR="00E7539C">
      <w:rPr>
        <w:noProof/>
      </w:rPr>
      <w:t>1</w:t>
    </w:r>
    <w:r>
      <w:fldChar w:fldCharType="end"/>
    </w:r>
  </w:p>
  <w:p w:rsidRDefault="00E7539C" w:rsidR="003E7CA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49D" w:rsidR="00E62409">
      <w:pPr>
        <w:spacing w:after="0"/>
      </w:pPr>
      <w:r>
        <w:rPr>
          <w:color w:val="000000"/>
        </w:rPr>
        <w:separator/>
      </w:r>
    </w:p>
  </w:footnote>
  <w:footnote w:id="0" w:type="continuationSeparator">
    <w:p w:rsidRDefault="00C2049D" w:rsidR="00E6240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39C" w:rsidR="003E7C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97548"/>
    <w:multiLevelType w:val="multilevel"/>
    <w:tmpl w:val="4E825B0E"/>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11F4003C"/>
    <w:multiLevelType w:val="multilevel"/>
    <w:tmpl w:val="35B2556A"/>
    <w:lvl w:ilvl="0">
      <w:numFmt w:val="bullet"/>
      <w:lvlText w:val="-"/>
      <w:lvlJc w:val="left"/>
      <w:pPr>
        <w:ind w:hanging="360" w:left="1440"/>
      </w:pPr>
      <w:rPr>
        <w:rFonts w:cs="Times New Roman" w:eastAsia="Calibri" w:hAnsi="Calibri" w:ascii="Calibri"/>
      </w:rPr>
    </w:lvl>
    <w:lvl w:ilvl="1">
      <w:numFmt w:val="bullet"/>
      <w:lvlText w:val="o"/>
      <w:lvlJc w:val="left"/>
      <w:pPr>
        <w:ind w:hanging="360" w:left="2160"/>
      </w:pPr>
      <w:rPr>
        <w:rFonts w:cs="Courier New" w:hAnsi="Courier New" w:ascii="Courier New"/>
      </w:rPr>
    </w:lvl>
    <w:lvl w:ilvl="2">
      <w:numFmt w:val="bullet"/>
      <w:lvlText w:val=""/>
      <w:lvlJc w:val="left"/>
      <w:pPr>
        <w:ind w:hanging="360" w:left="2880"/>
      </w:pPr>
      <w:rPr>
        <w:rFonts w:hAnsi="Wingdings" w:ascii="Wingdings"/>
      </w:rPr>
    </w:lvl>
    <w:lvl w:ilvl="3">
      <w:numFmt w:val="bullet"/>
      <w:lvlText w:val=""/>
      <w:lvlJc w:val="left"/>
      <w:pPr>
        <w:ind w:hanging="360" w:left="3600"/>
      </w:pPr>
      <w:rPr>
        <w:rFonts w:hAnsi="Symbol" w:ascii="Symbol"/>
      </w:rPr>
    </w:lvl>
    <w:lvl w:ilvl="4">
      <w:numFmt w:val="bullet"/>
      <w:lvlText w:val="o"/>
      <w:lvlJc w:val="left"/>
      <w:pPr>
        <w:ind w:hanging="360" w:left="4320"/>
      </w:pPr>
      <w:rPr>
        <w:rFonts w:cs="Courier New" w:hAnsi="Courier New" w:ascii="Courier New"/>
      </w:rPr>
    </w:lvl>
    <w:lvl w:ilvl="5">
      <w:numFmt w:val="bullet"/>
      <w:lvlText w:val=""/>
      <w:lvlJc w:val="left"/>
      <w:pPr>
        <w:ind w:hanging="360" w:left="5040"/>
      </w:pPr>
      <w:rPr>
        <w:rFonts w:hAnsi="Wingdings" w:ascii="Wingdings"/>
      </w:rPr>
    </w:lvl>
    <w:lvl w:ilvl="6">
      <w:numFmt w:val="bullet"/>
      <w:lvlText w:val=""/>
      <w:lvlJc w:val="left"/>
      <w:pPr>
        <w:ind w:hanging="360" w:left="5760"/>
      </w:pPr>
      <w:rPr>
        <w:rFonts w:hAnsi="Symbol" w:ascii="Symbol"/>
      </w:rPr>
    </w:lvl>
    <w:lvl w:ilvl="7">
      <w:numFmt w:val="bullet"/>
      <w:lvlText w:val="o"/>
      <w:lvlJc w:val="left"/>
      <w:pPr>
        <w:ind w:hanging="360" w:left="6480"/>
      </w:pPr>
      <w:rPr>
        <w:rFonts w:cs="Courier New" w:hAnsi="Courier New" w:ascii="Courier New"/>
      </w:rPr>
    </w:lvl>
    <w:lvl w:ilvl="8">
      <w:numFmt w:val="bullet"/>
      <w:lvlText w:val=""/>
      <w:lvlJc w:val="left"/>
      <w:pPr>
        <w:ind w:hanging="360" w:left="7200"/>
      </w:pPr>
      <w:rPr>
        <w:rFonts w:hAnsi="Wingdings" w:ascii="Wingdings"/>
      </w:rPr>
    </w:lvl>
  </w:abstractNum>
  <w:abstractNum w:abstractNumId="2">
    <w:nsid w:val="6C8154ED"/>
    <w:multiLevelType w:val="multilevel"/>
    <w:tmpl w:val="8026D80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7DC825B0"/>
    <w:multiLevelType w:val="multilevel"/>
    <w:tmpl w:val="35901BF6"/>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0"/>
  </w:num>
  <w:num w:numId="2">
    <w:abstractNumId w:val="0"/>
    <w:lvlOverride w:ilvl="0">
      <w:startOverride w:val="1"/>
    </w:lvlOverride>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E118BC"/>
    <w:rsid w:val="00C2049D"/>
    <w:rsid w:val="00E118BC"/>
    <w:rsid w:val="00E62409"/>
    <w:rsid w:val="00E753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E7539C"/>
    <w:rPr>
      <w:color w:val="808080"/>
      <w:bdr w:space="0" w:sz="0" w:color="auto" w:val="none"/>
      <w:shd w:fill="auto" w:color="auto" w:val="clear"/>
    </w:rPr>
  </w:style>
  <w:style w:customStyle="true" w:styleId="eSPISCCParagraphDefaultFont" w:type="character">
    <w:name w:val="eSPIS_CC_Paragraph Default Font"/>
    <w:basedOn w:val="Zadanifontodlomka"/>
    <w:rsid w:val="00E753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39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E7539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E7539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E7539C"/>
    <w:rPr>
      <w:color w:val="808080"/>
      <w:bdr w:color="auto" w:space="0" w:sz="0" w:val="none"/>
      <w:shd w:color="auto" w:fill="auto" w:val="clear"/>
    </w:rPr>
  </w:style>
  <w:style w:customStyle="1" w:styleId="eSPISCCParagraphDefaultFont" w:type="character">
    <w:name w:val="eSPIS_CC_Paragraph Default Font"/>
    <w:basedOn w:val="Zadanifontodlomka"/>
    <w:rsid w:val="00E753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39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7539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7539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3783</properties:Characters>
  <properties:Lines>79</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2019-05-22T09:00:00Z</dcterms:created>
  <dc:creator>Ivica Boltužić</dc:creator>
  <cp:lastModifiedBy>Vinka Mihalinčić</cp:lastModifiedBy>
  <dcterms:modified xmlns:xsi="http://www.w3.org/2001/XMLSchema-instance" xsi:type="dcterms:W3CDTF">2019-05-22T09:01:00Z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St-5271/2016-40 / Podnesak - Izvješće stečajnog upravitelja (GRAFOPLAST-TISKARA tromjesečno izvješće 18.5.2019_.docx)</vt:lpwstr>
  </prop:property>
  <prop:property name="CC_coloring" pid="4" fmtid="{D5CDD505-2E9C-101B-9397-08002B2CF9AE}">
    <vt:bool>false</vt:bool>
  </prop:property>
  <prop:property name="BrojStranica" pid="5" fmtid="{D5CDD505-2E9C-101B-9397-08002B2CF9AE}">
    <vt:i4>2</vt:i4>
  </prop:property>
</prop:Properties>
</file>