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d91e1" w14:paraId="4ed91e1" w:rsidRDefault="00693B48" w:rsidP="00693B48" w:rsidR="00681918">
      <w:pPr>
        <w:spacing w:after="0"/>
        <w15:collapsed w:val="false"/>
      </w:pPr>
      <w:bookmarkStart w:name="_GoBack" w:id="0"/>
      <w:bookmarkEnd w:id="0"/>
      <w:r>
        <w:t>Stečajni upravitelj</w:t>
      </w:r>
    </w:p>
    <w:p w:rsidRDefault="00693B48" w:rsidP="00693B48" w:rsidR="00693B48">
      <w:pPr>
        <w:spacing w:after="0"/>
      </w:pPr>
      <w:r>
        <w:t>Petar Popović, dipl. iur.</w:t>
      </w:r>
    </w:p>
    <w:p w:rsidRDefault="00693B48" w:rsidP="00693B48" w:rsidR="00693B48">
      <w:pPr>
        <w:spacing w:after="0"/>
      </w:pPr>
      <w:r>
        <w:t>Zagreb, Maksimirska c. 88</w:t>
      </w:r>
    </w:p>
    <w:p w:rsidRDefault="00693B48" w:rsidP="00693B48" w:rsidR="00693B48">
      <w:pPr>
        <w:spacing w:after="0"/>
      </w:pPr>
    </w:p>
    <w:p w:rsidRDefault="00145AAD" w:rsidP="00693B48" w:rsidR="00693B48">
      <w:pPr>
        <w:spacing w:after="0"/>
      </w:pPr>
      <w:r>
        <w:t>Zagreb,  14.2.2019.</w:t>
      </w:r>
      <w:r w:rsidR="00693B48">
        <w:tab/>
      </w:r>
      <w:r w:rsidR="00693B48">
        <w:tab/>
      </w:r>
      <w:r w:rsidR="00693B48">
        <w:tab/>
      </w:r>
      <w:r w:rsidR="00693B48">
        <w:tab/>
      </w:r>
      <w:r w:rsidR="00693B48">
        <w:tab/>
      </w:r>
      <w:r w:rsidR="00693B48">
        <w:tab/>
        <w:t>Na br.St-6935/16</w:t>
      </w:r>
    </w:p>
    <w:p w:rsidRDefault="00693B48" w:rsidP="00693B48" w:rsidR="00693B48">
      <w:pPr>
        <w:spacing w:after="0"/>
      </w:pPr>
    </w:p>
    <w:p w:rsidRDefault="00693B48" w:rsidP="00693B48" w:rsidR="00693B48">
      <w:pPr>
        <w:spacing w:after="0"/>
      </w:pPr>
    </w:p>
    <w:p w:rsidRDefault="00693B48" w:rsidP="00693B48" w:rsidR="00693B48">
      <w:pPr>
        <w:spacing w:after="0"/>
      </w:pPr>
      <w:r>
        <w:tab/>
      </w:r>
      <w:r>
        <w:tab/>
      </w:r>
      <w:r>
        <w:tab/>
      </w:r>
      <w:r>
        <w:tab/>
        <w:t>TRGOVAČKI SUD U ZAGREBU</w:t>
      </w:r>
    </w:p>
    <w:p w:rsidRDefault="00693B48" w:rsidP="00693B48" w:rsidR="00693B48">
      <w:pPr>
        <w:spacing w:after="0"/>
      </w:pPr>
      <w:r>
        <w:tab/>
      </w:r>
      <w:r>
        <w:tab/>
      </w:r>
      <w:r>
        <w:tab/>
      </w:r>
      <w:r>
        <w:tab/>
      </w:r>
      <w:r>
        <w:tab/>
      </w:r>
      <w:r>
        <w:tab/>
        <w:t xml:space="preserve">      ZAGREB</w:t>
      </w:r>
    </w:p>
    <w:p w:rsidRDefault="00693B48" w:rsidP="00693B48" w:rsidR="00145AAD">
      <w:pPr>
        <w:spacing w:after="0"/>
      </w:pPr>
      <w:r>
        <w:tab/>
      </w:r>
      <w:r>
        <w:tab/>
      </w:r>
      <w:r>
        <w:tab/>
      </w:r>
      <w:r>
        <w:tab/>
      </w:r>
      <w:r>
        <w:tab/>
      </w:r>
      <w:r>
        <w:tab/>
        <w:t xml:space="preserve">    Petrinjska 8</w:t>
      </w:r>
    </w:p>
    <w:p w:rsidRDefault="00145AAD" w:rsidP="00693B48" w:rsidR="00145AAD">
      <w:pPr>
        <w:spacing w:after="0"/>
      </w:pPr>
    </w:p>
    <w:p w:rsidRDefault="00145AAD" w:rsidP="00693B48" w:rsidR="00145AAD">
      <w:pPr>
        <w:spacing w:after="0"/>
      </w:pPr>
      <w:r>
        <w:tab/>
      </w:r>
      <w:r>
        <w:tab/>
      </w:r>
      <w:r>
        <w:tab/>
      </w:r>
      <w:r>
        <w:tab/>
        <w:t xml:space="preserve">          Stečajni sudac</w:t>
      </w:r>
    </w:p>
    <w:p w:rsidRDefault="00145AAD" w:rsidP="00693B48" w:rsidR="00145AAD">
      <w:pPr>
        <w:spacing w:after="0"/>
      </w:pPr>
      <w:r>
        <w:t xml:space="preserve"> </w:t>
      </w:r>
      <w:r>
        <w:tab/>
      </w:r>
      <w:r>
        <w:tab/>
      </w:r>
      <w:r>
        <w:tab/>
      </w:r>
      <w:r>
        <w:tab/>
      </w:r>
      <w:r>
        <w:tab/>
      </w:r>
    </w:p>
    <w:p w:rsidRDefault="00145AAD" w:rsidP="00693B48" w:rsidR="00145AAD">
      <w:pPr>
        <w:spacing w:after="0"/>
      </w:pPr>
      <w:r>
        <w:tab/>
      </w:r>
      <w:r>
        <w:tab/>
      </w:r>
      <w:r>
        <w:tab/>
      </w:r>
      <w:r>
        <w:tab/>
        <w:t xml:space="preserve">     (Izvještajno ročište)</w:t>
      </w:r>
    </w:p>
    <w:p w:rsidRDefault="00145AAD" w:rsidP="00693B48" w:rsidR="00145AAD">
      <w:pPr>
        <w:spacing w:after="0"/>
      </w:pPr>
    </w:p>
    <w:p w:rsidRDefault="00145AAD" w:rsidP="00693B48" w:rsidR="00145AAD">
      <w:pPr>
        <w:spacing w:after="0"/>
      </w:pPr>
      <w:r>
        <w:t xml:space="preserve">                 Temeljem čl. 227 Stečajnog zakona i rješenja suda od 21.9.2018. stečajni upravitelj podnosi slijedeće</w:t>
      </w:r>
    </w:p>
    <w:p w:rsidRDefault="00145AAD" w:rsidP="00693B48" w:rsidR="00145AAD">
      <w:pPr>
        <w:spacing w:after="0"/>
      </w:pPr>
      <w:r>
        <w:tab/>
      </w:r>
      <w:r>
        <w:tab/>
      </w:r>
      <w:r>
        <w:tab/>
      </w:r>
      <w:r>
        <w:tab/>
        <w:t xml:space="preserve">       I   Z   V   J   E    Š    Ć    E</w:t>
      </w:r>
    </w:p>
    <w:p w:rsidRDefault="00145AAD" w:rsidP="00693B48" w:rsidR="00145AAD">
      <w:pPr>
        <w:spacing w:after="0"/>
      </w:pPr>
      <w:r>
        <w:t xml:space="preserve">             </w:t>
      </w:r>
      <w:r>
        <w:tab/>
      </w:r>
      <w:r>
        <w:tab/>
        <w:t>o gospodarskom položaju stečajnog dužnika PRIMA AQUA d,.d. u stečaju, Plaški,</w:t>
      </w:r>
    </w:p>
    <w:p w:rsidRDefault="00145AAD" w:rsidP="00693B48" w:rsidR="00145AAD">
      <w:pPr>
        <w:spacing w:after="0"/>
      </w:pPr>
      <w:r>
        <w:tab/>
      </w:r>
      <w:r>
        <w:tab/>
      </w:r>
      <w:r>
        <w:tab/>
        <w:t xml:space="preserve"> Plitvička 11, OIB 71796411864, i njegovim uzrocima</w:t>
      </w:r>
    </w:p>
    <w:p w:rsidRDefault="00145AAD" w:rsidP="00693B48" w:rsidR="00145AAD">
      <w:pPr>
        <w:spacing w:after="0"/>
      </w:pPr>
    </w:p>
    <w:p w:rsidRDefault="00145AAD" w:rsidP="00693B48" w:rsidR="00145AAD">
      <w:pPr>
        <w:spacing w:after="0"/>
      </w:pPr>
      <w:r>
        <w:tab/>
        <w:t>1.- Uvod</w:t>
      </w:r>
    </w:p>
    <w:p w:rsidRDefault="00145AAD" w:rsidP="00693B48" w:rsidR="00145AAD">
      <w:pPr>
        <w:spacing w:after="0"/>
      </w:pPr>
      <w:r>
        <w:t xml:space="preserve">                   Stečajni postupak nad dužnikom Prima aqua d.d.</w:t>
      </w:r>
      <w:r w:rsidR="00111F2A">
        <w:t xml:space="preserve"> , Plaški, Plitvička 11, otvoren je rješenjem suda br. St-6935/16 na osnovu prijedloga Financijske agencije.</w:t>
      </w:r>
    </w:p>
    <w:p w:rsidRDefault="00111F2A" w:rsidP="00693B48" w:rsidR="00111F2A">
      <w:pPr>
        <w:spacing w:after="0"/>
      </w:pPr>
      <w:r>
        <w:tab/>
        <w:t xml:space="preserve">    Nakon otvaranja stečajnog postupka poduzete su potrebne radnje sukladno Stečajnom zakonu i rješenju suda, a posebno: - provedeno je zatvaranje računa kod poslovne banke, a novi u stečaju  će se otvoriti prema potrebi, - izvršena je preregistracija tvrtke u stečaju kod DSZ, - izrađen je novi pečat tvrtke u stečaju</w:t>
      </w:r>
      <w:r w:rsidR="00AF7296">
        <w:t>, - utvrđeno je stanje imovine, - po ovlaštenom vještaku izvršena je procijena nekretnina, - pribavljen je očevidnik o redoslijedu plaćanja, - prokazni popis imovine nije pribavljen zbog biolesti zakonskog zastupnika u osobi Mate Cvitkovića, - obrađene su prijave tražbina i prikazane u posebnom izvješću i dr.</w:t>
      </w:r>
    </w:p>
    <w:p w:rsidRDefault="00AF7296" w:rsidP="00693B48" w:rsidR="00AF7296">
      <w:pPr>
        <w:spacing w:after="0"/>
      </w:pPr>
    </w:p>
    <w:p w:rsidRDefault="00AF7296" w:rsidP="00693B48" w:rsidR="00AF7296">
      <w:pPr>
        <w:spacing w:after="0"/>
      </w:pPr>
      <w:r>
        <w:t xml:space="preserve">            2.- Opće stanje</w:t>
      </w:r>
    </w:p>
    <w:p w:rsidRDefault="00AF7296" w:rsidP="00693B48" w:rsidR="00DA23E5">
      <w:pPr>
        <w:spacing w:after="0"/>
      </w:pPr>
      <w:r>
        <w:t xml:space="preserve">                 Tvrtka Prima aqua d.d. </w:t>
      </w:r>
      <w:r w:rsidR="00145F1F">
        <w:t>osnovana je 1996.</w:t>
      </w:r>
      <w:r w:rsidR="00DA23E5">
        <w:t xml:space="preserve"> g.</w:t>
      </w:r>
      <w:r w:rsidR="00145F1F">
        <w:t xml:space="preserve"> preoblikovanjem poduzeća u društvenom vlasništvu Tvornice celuloze i papira</w:t>
      </w:r>
      <w:r w:rsidR="00DA23E5">
        <w:t xml:space="preserve"> iz Plaškog  u dioničko društvo i upisana kod Trgovačkog suda u Karlovcu.  U obimnom predmetu  poslovanja akcenat je bio u nastavku proizvodnje papira i kartona.</w:t>
      </w:r>
    </w:p>
    <w:p w:rsidRDefault="00DA23E5" w:rsidP="00F513FB" w:rsidR="00662C2E">
      <w:pPr>
        <w:spacing w:after="0"/>
      </w:pPr>
      <w:r>
        <w:t xml:space="preserve">Rješenjem Hrvatskog fonda za privatizaciju </w:t>
      </w:r>
      <w:r w:rsidR="00D40711">
        <w:t>od 1.9.1997. utvrđena je knjigovodstvena vrijednost imovine na 23.716,700,00 kuna</w:t>
      </w:r>
      <w:r w:rsidR="0002489B">
        <w:t>.</w:t>
      </w:r>
      <w:r w:rsidR="00147A4D">
        <w:t xml:space="preserve">  Prometna, odnosno tržišna vrijednost – obzirom na okolnosti – je bila daleko niža od knjigovodstvene, ali to se nije obrađivalo u postupku pretvorbe. </w:t>
      </w:r>
      <w:r w:rsidR="0002489B">
        <w:t xml:space="preserve"> Međutim, istovremeno s osnivanjem tvrtke Prima aqua d.d.</w:t>
      </w:r>
      <w:r w:rsidR="00855809">
        <w:t xml:space="preserve"> osnovana je i tvrtka Prima d.o.o., koja je sklopila Ugovor o prodaji i prijenosu dionica Tvornice sulfatne celuloze i papira d.d. dana 5.6.2002. godine s Hrvatskim fondom za privatizaciju, kojim ugovorom Fond (prodavatelj) prodaje i prenosi kupcu (Prima d.o.o.) svih 507.786 dionica, tako da je i danas upisano cca 98% dionica na kupcu, a cca 2% na RH. Nad Prima d.o.o. je okončan stečajni postupak kod ovog suda</w:t>
      </w:r>
      <w:r w:rsidR="00850966">
        <w:t>.</w:t>
      </w:r>
      <w:r w:rsidR="00F513FB">
        <w:t xml:space="preserve">                                                                                                                                                -</w:t>
      </w:r>
      <w:r w:rsidR="00850966">
        <w:t>Prima aqua d.d. je 30. 5.2003. sklopila Sporazum</w:t>
      </w:r>
      <w:r>
        <w:t xml:space="preserve"> </w:t>
      </w:r>
      <w:r w:rsidR="00850966">
        <w:t xml:space="preserve"> o osiguranju tražbine s Fondom za razvoj i </w:t>
      </w:r>
      <w:r w:rsidR="00850966">
        <w:lastRenderedPageBreak/>
        <w:t xml:space="preserve">zapošljavanje </w:t>
      </w:r>
      <w:r w:rsidR="00525CA3">
        <w:t xml:space="preserve">za kredit od 10.500.000,00 uz istovremeni  prijenos  </w:t>
      </w:r>
      <w:r w:rsidR="00850966">
        <w:t xml:space="preserve"> vlasništvo na nekretninama (k.č. </w:t>
      </w:r>
      <w:r w:rsidR="00EB3994">
        <w:t>1079/1)</w:t>
      </w:r>
      <w:r w:rsidR="00850966">
        <w:t xml:space="preserve"> na Fon</w:t>
      </w:r>
      <w:r w:rsidR="00525CA3">
        <w:t xml:space="preserve">d. </w:t>
      </w:r>
      <w:r w:rsidR="00EB3994">
        <w:t xml:space="preserve"> Međutim, 2006. god.  navedena čestica je cijepana osnivanjem novih čestica i to: 1079/3, 1079/4, 1079/5 i 1079/6.  Izvadak iz zemljišne knjige ZK odjela u Ogulinu, Općinskog suda u Karlovcu, od 3.1.2019. utvrđuje da je</w:t>
      </w:r>
      <w:r w:rsidR="007B53B0">
        <w:t xml:space="preserve"> u z.k. ul. 4149, k.o. Plaški, k.č. 1079/1 upisana RH u vlasničkom dijelu 1/1, na kojoj su u najvećim dijelom upisane nekretnine navedene tvornice  i to zemljište</w:t>
      </w:r>
      <w:r w:rsidR="0045567E">
        <w:t xml:space="preserve"> neplodno </w:t>
      </w:r>
      <w:r w:rsidR="007B53B0">
        <w:t xml:space="preserve"> u površini od 201.833 m2 i 16 zgra</w:t>
      </w:r>
      <w:r w:rsidR="00244B05">
        <w:t>da ukupne površine od 12</w:t>
      </w:r>
      <w:r w:rsidR="00444602">
        <w:t>.</w:t>
      </w:r>
      <w:r w:rsidR="00EA30B2">
        <w:t xml:space="preserve">964 m2, bez naznake Prima aque </w:t>
      </w:r>
      <w:r w:rsidR="00444602">
        <w:t xml:space="preserve">d.d. </w:t>
      </w:r>
      <w:r w:rsidR="00244B05">
        <w:t xml:space="preserve"> Međutim, n</w:t>
      </w:r>
      <w:r w:rsidR="006075F1">
        <w:t>avedenim cijepanjem stečajni dužnik postao je vlasnik ostatka nekretnina, tako da imovinu stečajne mase čini:</w:t>
      </w:r>
    </w:p>
    <w:p w:rsidRDefault="00662C2E" w:rsidP="00693B48" w:rsidR="00F43F73">
      <w:pPr>
        <w:spacing w:after="0"/>
      </w:pPr>
      <w:r>
        <w:t xml:space="preserve">       </w:t>
      </w:r>
      <w:r w:rsidR="00F513FB">
        <w:t>-</w:t>
      </w:r>
      <w:r>
        <w:t xml:space="preserve">  </w:t>
      </w:r>
      <w:r w:rsidR="006075F1">
        <w:t>Nekretnina upisana</w:t>
      </w:r>
      <w:r w:rsidR="00605247">
        <w:t xml:space="preserve">  </w:t>
      </w:r>
      <w:r w:rsidR="006075F1">
        <w:t>u</w:t>
      </w:r>
      <w:r>
        <w:t xml:space="preserve"> z.k.ul.3286, k.o. Plaški, k</w:t>
      </w:r>
      <w:r w:rsidR="006075F1">
        <w:t>.č. 1079/3</w:t>
      </w:r>
      <w:r>
        <w:t xml:space="preserve"> i to zemljište (neplodno) 35.928 m2 i 2 zgrade ukupne površine 3.661 m2. </w:t>
      </w:r>
      <w:r w:rsidR="00605247">
        <w:t xml:space="preserve">                                                                                           </w:t>
      </w:r>
      <w:r>
        <w:t xml:space="preserve"> </w:t>
      </w:r>
      <w:r w:rsidR="00605247">
        <w:t xml:space="preserve">  </w:t>
      </w:r>
      <w:r w:rsidR="006075F1">
        <w:t xml:space="preserve">                                    -Nekretnina upisana</w:t>
      </w:r>
      <w:r w:rsidR="00E67BEE">
        <w:t xml:space="preserve"> </w:t>
      </w:r>
      <w:r w:rsidR="006075F1">
        <w:t xml:space="preserve"> u</w:t>
      </w:r>
      <w:r>
        <w:t xml:space="preserve"> z.k.ul. 3288, k.č. 1079/5</w:t>
      </w:r>
      <w:r w:rsidR="006075F1">
        <w:t xml:space="preserve"> kao -</w:t>
      </w:r>
      <w:r w:rsidR="0045567E">
        <w:t xml:space="preserve"> cesta lokalna</w:t>
      </w:r>
      <w:r w:rsidR="006075F1">
        <w:t>-</w:t>
      </w:r>
      <w:r w:rsidR="0045567E">
        <w:t xml:space="preserve"> ukupne površine 2.045 m2. </w:t>
      </w:r>
      <w:r w:rsidR="00E67BEE">
        <w:t xml:space="preserve">                                     </w:t>
      </w:r>
      <w:r w:rsidR="0045567E">
        <w:t xml:space="preserve"> </w:t>
      </w:r>
      <w:r w:rsidR="00244B05">
        <w:t xml:space="preserve">          -Nekretnina upisana</w:t>
      </w:r>
      <w:r w:rsidR="00E67BEE">
        <w:t xml:space="preserve">  </w:t>
      </w:r>
      <w:r w:rsidR="00244B05">
        <w:t>u</w:t>
      </w:r>
      <w:r w:rsidR="0045567E">
        <w:t xml:space="preserve"> z.k.ul.</w:t>
      </w:r>
      <w:r w:rsidR="00E67BEE">
        <w:t xml:space="preserve"> 3289</w:t>
      </w:r>
      <w:r w:rsidR="00244B05">
        <w:t xml:space="preserve"> , k.č. 1079/6 kao </w:t>
      </w:r>
      <w:r w:rsidR="0045567E">
        <w:t>- ostalo neplodno- površine 1.452 m2.</w:t>
      </w:r>
      <w:r w:rsidR="00E67BEE">
        <w:t xml:space="preserve">                                           </w:t>
      </w:r>
      <w:r w:rsidR="0045567E">
        <w:t xml:space="preserve">  </w:t>
      </w:r>
      <w:r w:rsidR="00244B05">
        <w:t xml:space="preserve">          -Nekretnina upisana</w:t>
      </w:r>
      <w:r w:rsidR="00E67BEE">
        <w:t xml:space="preserve"> </w:t>
      </w:r>
      <w:r w:rsidR="00244B05">
        <w:t>u</w:t>
      </w:r>
      <w:r w:rsidR="0045567E">
        <w:t xml:space="preserve"> z.k.</w:t>
      </w:r>
      <w:r w:rsidR="00244B05">
        <w:t>ul. 3287, k.č. 1079/4 kao -</w:t>
      </w:r>
      <w:r w:rsidR="0045567E">
        <w:t xml:space="preserve"> zgrada od 2.361 m2 i –ostalo neplodno- površine 6.850m2</w:t>
      </w:r>
    </w:p>
    <w:p w:rsidRDefault="00F43F73" w:rsidP="00693B48" w:rsidR="00A8549C">
      <w:pPr>
        <w:spacing w:after="0"/>
      </w:pPr>
      <w:r>
        <w:t xml:space="preserve">        </w:t>
      </w:r>
      <w:r w:rsidR="00F513FB">
        <w:t>-</w:t>
      </w:r>
      <w:r>
        <w:t xml:space="preserve">  Posjedovni list </w:t>
      </w:r>
      <w:r w:rsidR="00A8549C">
        <w:t xml:space="preserve"> od 7.11.2011.</w:t>
      </w:r>
      <w:r>
        <w:t xml:space="preserve"> Područnog ureda za katastar Karlovac, Ispostava Ogulin, utvrđuje navedeno stanje u popisu nekretnina</w:t>
      </w:r>
      <w:r w:rsidR="00A8549C">
        <w:t xml:space="preserve"> Prima aque d.d.</w:t>
      </w:r>
      <w:r>
        <w:t xml:space="preserve"> s tim što površine označava kako slijedi:  ukupno 3 hektara, 22 ara i 97 m2. </w:t>
      </w:r>
      <w:r w:rsidR="00A8549C">
        <w:t>Iz geodetske skice Ispostave Ogulin vide se u naravi nekretnine koje su u vlasništvu st. dužnika. Označeno katastarsko stanje nije promijenjeno.</w:t>
      </w:r>
    </w:p>
    <w:p w:rsidRDefault="00A8549C" w:rsidP="00693B48" w:rsidR="0059355D">
      <w:pPr>
        <w:spacing w:after="0"/>
      </w:pPr>
      <w:r>
        <w:t xml:space="preserve">         </w:t>
      </w:r>
      <w:r w:rsidR="00F513FB">
        <w:t>-</w:t>
      </w:r>
      <w:r>
        <w:t>Nakon što je 8.11.2010</w:t>
      </w:r>
      <w:r w:rsidR="00171A9D">
        <w:t>. ukinut Fond za razvoj i zapošljavanje, njegove poslove je preuzelo Ministarstvo</w:t>
      </w:r>
      <w:r w:rsidR="0072176A">
        <w:t xml:space="preserve"> </w:t>
      </w:r>
      <w:r w:rsidR="00171A9D">
        <w:t>gospodarstva, rada i poduzetništva, a 2012. godine je poslovanje</w:t>
      </w:r>
      <w:r w:rsidR="00733D48">
        <w:t xml:space="preserve"> bivšeg Fonda prešlo u Ministarstvo financija. Iz dopisa toga Ministarstva upućenog stečajnom dužniku  10.4.2015. vidi se tijek problematike vezano uz kredit Fonda i zaključak da RH postaje „ punopravni vlasnik navedene nekretnine“</w:t>
      </w:r>
      <w:r w:rsidR="0059355D">
        <w:t>, jer kredit nije vraćen.</w:t>
      </w:r>
    </w:p>
    <w:p w:rsidRDefault="0059355D" w:rsidP="00693B48" w:rsidR="00AF7296">
      <w:pPr>
        <w:spacing w:after="0"/>
      </w:pPr>
      <w:r>
        <w:t xml:space="preserve">       </w:t>
      </w:r>
      <w:r w:rsidR="00F513FB">
        <w:t>-</w:t>
      </w:r>
      <w:r>
        <w:t xml:space="preserve"> Što se tiče 507.786 dionica Tvornice sulfatne celuloze i papira d.d. iz potvrde Hrvatskog fonda za privatizaciju od 11.7.2003. je vidljivo da je tvrtka Prima d.o.o. iz Plaškog  u cjelosti  otplatila</w:t>
      </w:r>
      <w:r w:rsidR="00472434">
        <w:t xml:space="preserve"> dionice</w:t>
      </w:r>
      <w:r>
        <w:t xml:space="preserve">, pa ih je </w:t>
      </w:r>
      <w:r w:rsidR="00472434">
        <w:t>Središnje klirinško  depozitarno društvo d.d. iz Zagreba uvrstilo u svoj portfelj.  Iz obavijesti  od 12.11.2018. toga društva je vidljivo da se  8.106 dionica nalazi</w:t>
      </w:r>
      <w:r w:rsidR="00201789">
        <w:t xml:space="preserve"> kod CERP-a (Centar za restrukturianje i prodaju RH</w:t>
      </w:r>
      <w:r w:rsidR="00472434">
        <w:t>), a 507.892 dionica pripada Primi d.o.o.</w:t>
      </w:r>
      <w:r w:rsidR="00201789">
        <w:t xml:space="preserve"> No, rješenjem </w:t>
      </w:r>
      <w:r w:rsidR="00ED0C35">
        <w:t>o ovrsi pljenidbom dionica koga je donijela Porezna uprava, Područni ured Karlovac 19.4.2013., određeno je da se pljenidbom stječe založno pravo, pa se zabranjuje ovršeniku</w:t>
      </w:r>
      <w:r w:rsidR="00EB3994">
        <w:t xml:space="preserve">  </w:t>
      </w:r>
      <w:r w:rsidR="00ED0C35">
        <w:t>raspo</w:t>
      </w:r>
      <w:r w:rsidR="00DD4F58">
        <w:t xml:space="preserve">laganje zaplijenjenim dionicama, koje ovršenik ima na svoje ime u Prima aqui d.d. </w:t>
      </w:r>
      <w:r w:rsidR="00ED0C35">
        <w:t xml:space="preserve"> Iz dostupne dokumentacije, dakle, stečajni dužnik nema dionica, pa ne mogu biti predmet ovog stečajnog postupka.</w:t>
      </w:r>
      <w:r w:rsidR="00244B05">
        <w:t xml:space="preserve"> Napominje se da je isti osnivač registrirao</w:t>
      </w:r>
      <w:r w:rsidR="0071713E">
        <w:t xml:space="preserve"> paralelno Primu d.o.o. i Primu aqua d.d. čiji su se poslovni odnosi često preplitali.</w:t>
      </w:r>
      <w:r w:rsidR="00DA23E5">
        <w:t xml:space="preserve"> </w:t>
      </w:r>
      <w:r w:rsidR="00145F1F">
        <w:t xml:space="preserve"> </w:t>
      </w:r>
      <w:r w:rsidR="00DA23E5">
        <w:t xml:space="preserve"> </w:t>
      </w:r>
      <w:r w:rsidR="00AF7296">
        <w:t xml:space="preserve"> </w:t>
      </w:r>
      <w:r w:rsidR="00AF7296">
        <w:tab/>
      </w:r>
    </w:p>
    <w:p w:rsidRDefault="00F513FB" w:rsidP="00693B48" w:rsidR="00145AAD">
      <w:pPr>
        <w:spacing w:after="0"/>
      </w:pPr>
      <w:r>
        <w:t xml:space="preserve">        - Stečajni dužnik  nije od 2014. g.</w:t>
      </w:r>
      <w:r w:rsidR="00201789">
        <w:t xml:space="preserve"> uredno </w:t>
      </w:r>
      <w:r>
        <w:t xml:space="preserve"> vodio poslovne knjige</w:t>
      </w:r>
      <w:r w:rsidR="00201789">
        <w:t>, tako da od tada nema dokumentacije, kao ni završnih računa, računa dobiti i gubitka i ostalih pratećih dokumenata.</w:t>
      </w:r>
      <w:r>
        <w:t xml:space="preserve">  </w:t>
      </w:r>
    </w:p>
    <w:p w:rsidRDefault="00ED300A" w:rsidP="00693B48" w:rsidR="00C7446E">
      <w:pPr>
        <w:spacing w:after="0"/>
      </w:pPr>
      <w:r>
        <w:t xml:space="preserve">No, sagledavanje stanja u tvrtki Prima aqua d.d. djelomično se vidi i iz Izvješća neovisnog revizora tvrtke RiR d.o.o. iz Zagreba u kojem izvješću nema </w:t>
      </w:r>
      <w:r w:rsidR="00B45FDA">
        <w:t>dionica u vlasništvu tvrtke, već se konstatira da tvrtka ima dugotrajnu imovinu u iznosu od 30.870,326,00 kuna, od čega 3.350.982,00 otpada na zamljište, a ostatak od 27.506.724,00 na građevinske objekte.  Isti podaci su u bilanci za 2014. g., pa se radi o tzv. prenesenom stanju od ranijih godina u koje financijske valičine je uključena cjelokupna imovina</w:t>
      </w:r>
      <w:r w:rsidR="00B80F0E">
        <w:t xml:space="preserve"> po knjigovodstvenoj  vrijednosti </w:t>
      </w:r>
      <w:r w:rsidR="00B45FDA">
        <w:t xml:space="preserve"> prije cijepanja k.č.  </w:t>
      </w:r>
      <w:r w:rsidR="00B80F0E">
        <w:t xml:space="preserve">1079/1 kako je gore objašnjeno. Ove orijentacione brojke upućuju da vrijednost imovine nije svedena na novonastalu ekonomsku situaciju, pa napr. nije uzet ni faktor amortizacije i tržišnih odnosa. </w:t>
      </w:r>
      <w:r w:rsidR="00FB1D45">
        <w:t>Registrirana potraživanja od kupaca u iznosu  od 174..507,00 kuna su također prenesena</w:t>
      </w:r>
      <w:r w:rsidR="005329E1">
        <w:t xml:space="preserve">, a da nisu poduzimane nikakve mjere radi naplate, a sada je to sve u zastari. </w:t>
      </w:r>
      <w:r w:rsidR="00DB75A1">
        <w:t xml:space="preserve"> Uvidom na licu mjesta je utvrđeno  da nema </w:t>
      </w:r>
      <w:r w:rsidR="00FB1D45">
        <w:t xml:space="preserve">nikakvih </w:t>
      </w:r>
      <w:r w:rsidR="00FB1D45">
        <w:lastRenderedPageBreak/>
        <w:t>pokretnina</w:t>
      </w:r>
      <w:r w:rsidR="005329E1">
        <w:t xml:space="preserve">: </w:t>
      </w:r>
      <w:r w:rsidR="00FB1D45">
        <w:t xml:space="preserve">  ni opreme, ni  postrojenja, ni alata,</w:t>
      </w:r>
      <w:r w:rsidR="005329E1">
        <w:t xml:space="preserve"> ni zaliha i dr.,</w:t>
      </w:r>
      <w:r w:rsidR="00FB1D45">
        <w:t xml:space="preserve"> koji se spominju u bruto bilanci za 2014. godinu, jer su ta stanja prenesna iz dugog niza prethodnih godina. Dakle, knjigovodstveno praćenja  nije uvrštavalo promjene u naravi.</w:t>
      </w:r>
      <w:r w:rsidR="005329E1">
        <w:t xml:space="preserve">  Račun dobiti i gubitka za 2014. pokazuje da nije bilo poslovne aktivn</w:t>
      </w:r>
      <w:r w:rsidR="006131EF">
        <w:t xml:space="preserve">osti, koja je prestala </w:t>
      </w:r>
      <w:r w:rsidR="005329E1">
        <w:t xml:space="preserve"> dvije</w:t>
      </w:r>
      <w:r w:rsidR="006131EF">
        <w:t xml:space="preserve"> godine </w:t>
      </w:r>
      <w:r w:rsidR="005329E1">
        <w:t xml:space="preserve"> ranije.</w:t>
      </w:r>
      <w:r w:rsidR="00894367">
        <w:t xml:space="preserve"> Prijava poreza na dobit za 2014. nema nikakvih stavki osim iznosa gubitka i prenesenih gubitaka u poslovanju.</w:t>
      </w:r>
    </w:p>
    <w:p w:rsidRDefault="00C7446E" w:rsidP="00C7446E" w:rsidR="006131EF">
      <w:pPr>
        <w:spacing w:after="0"/>
      </w:pPr>
      <w:r>
        <w:t xml:space="preserve">          -Iz Fininog očevidnika o redoslijedu plaćanja proizlazi </w:t>
      </w:r>
      <w:r w:rsidR="006131EF">
        <w:t>da je blokada poslovnog računa</w:t>
      </w:r>
      <w:r w:rsidR="00B8501E">
        <w:t xml:space="preserve"> (koji je ugašen 2014</w:t>
      </w:r>
      <w:r w:rsidR="006131EF">
        <w:t>.godine) stečajnog dužnika počela 2008. godine i to za iznos od 1.499.404,84 kune</w:t>
      </w:r>
      <w:r w:rsidR="00B8501E">
        <w:t>. Nakon toga do gašenja računa potraživanja su se odnosila uglavnom na troškove poslovanja i to  na komunalne i druge režijske troškove, kao i na potraživanja  Središnjeg klirinškog depozitarnog društva, odvjetničke i javnobilježničke usluge i sl.</w:t>
      </w:r>
    </w:p>
    <w:p w:rsidRDefault="00B8501E" w:rsidP="00C7446E" w:rsidR="00B8501E">
      <w:pPr>
        <w:spacing w:after="0"/>
      </w:pPr>
      <w:r>
        <w:t xml:space="preserve">        - Prokazni popis imovine nije moguće pribaviti</w:t>
      </w:r>
      <w:r w:rsidR="001E34D6">
        <w:t xml:space="preserve"> zbog nedostupnosti zakonskog zastupnika uslijed trajne bolesti i nepokretnosti.</w:t>
      </w:r>
    </w:p>
    <w:p w:rsidRDefault="005329E1" w:rsidP="00C7446E" w:rsidR="00D0265E">
      <w:pPr>
        <w:spacing w:after="0"/>
      </w:pPr>
      <w:r>
        <w:t xml:space="preserve"> </w:t>
      </w:r>
      <w:r w:rsidR="00201789">
        <w:t xml:space="preserve"> </w:t>
      </w:r>
      <w:r w:rsidR="0013174C">
        <w:t xml:space="preserve">       - Ovlašteni sudski vještak Davor Guszak, dipl. ing.arh. iz Zagreba je nakon obilaska lokacije nekretnina stečajnog dužnika</w:t>
      </w:r>
      <w:r w:rsidR="00D0265E">
        <w:t xml:space="preserve"> sačinio elaborat o procjeni tržišne vrijednosti , posebno imajući u vidu nepovoljno  područje na kojem se nekretnine nalaze, tj. neatraktivnost za bilo koju gospodarsku djelatnost. U skladu s tim je i utvrđena cijena u iznosu od  </w:t>
      </w:r>
      <w:r w:rsidR="00147A4D">
        <w:t xml:space="preserve">320.000,00 kuna. </w:t>
      </w:r>
      <w:r w:rsidR="00D0265E">
        <w:t xml:space="preserve"> Unovčenje će biti otežano, pa i za skromne iznose, jer su – pored ostalog – objekti  devastirani, a zamljište bez namjene.</w:t>
      </w:r>
    </w:p>
    <w:p w:rsidRDefault="00D0265E" w:rsidP="00C7446E" w:rsidR="00E71C76">
      <w:pPr>
        <w:spacing w:after="0"/>
      </w:pPr>
      <w:r>
        <w:t xml:space="preserve">         - Stečajni dužnik nema zaposlenika, a niti bilo kakvih tražbina bivših radnika</w:t>
      </w:r>
      <w:r w:rsidR="00E71C76">
        <w:t>, jer su prestali radom prije 7-10  godina, bilo spoarazumnim raskidom radnog odnosa, bilo prekidom rada.</w:t>
      </w:r>
    </w:p>
    <w:p w:rsidRDefault="00E71C76" w:rsidP="00C7446E" w:rsidR="00E71C76">
      <w:pPr>
        <w:spacing w:after="0"/>
      </w:pPr>
    </w:p>
    <w:p w:rsidRDefault="00E71C76" w:rsidP="00C7446E" w:rsidR="00D0265E">
      <w:pPr>
        <w:spacing w:after="0"/>
      </w:pPr>
      <w:r>
        <w:t xml:space="preserve">         3.- Uzroci gospodarskog položaja stečajnog  dužnika </w:t>
      </w:r>
      <w:r w:rsidR="00D0265E">
        <w:t xml:space="preserve"> </w:t>
      </w:r>
    </w:p>
    <w:p w:rsidRDefault="0071713E" w:rsidP="00C7446E" w:rsidR="00D0265E">
      <w:pPr>
        <w:spacing w:after="0"/>
      </w:pPr>
      <w:r>
        <w:t xml:space="preserve">               </w:t>
      </w:r>
      <w:r w:rsidR="006317B7">
        <w:t>Sagledavajući u cjelini razvojni put Tvornice celuloze i papira koja je izgrađena 1972. godine može se zaključiti da je lokacija za tu vrstu djelatnosti  bila ekonomski prihvatljiva, jer je u neposrednoj blizini snažan tok vode rijeke Dretulje i planina Kapela bogata šumom, jer su te dvije komponente uvjet bez koga takva vrsta industrije</w:t>
      </w:r>
      <w:r w:rsidR="00B45F92">
        <w:t xml:space="preserve"> ne može postojati. Nakon prekida proizvodnje zbog ratnih događaja bila je ideja o obnovi proizvodnje, ali se odustalo, jer nije postojao investitor  koji bi obnovio i modernizirao tvornicu. U takvim okolnostima došlo je do osnivanja malih tvrtki (i stečajnog dužnika), nakon čega su  preostala oprema  i postrojenja  rasprodani, a hale i prateće zgrade devastirani, tako da sada gotovo nigdje nema stakla na prozorima, pa su građevine izložene propadanju. Nekoliko godina nastojalo se privući strane investitore radi izgradnje punionice vode za piće</w:t>
      </w:r>
      <w:r w:rsidR="004F4BFE">
        <w:t>, jer je izvor rijeke bogat kvalitetnom vodom, pa bi i dio građevina bio iskorišten u tu svrhu, ali nije došlo do takve realizacije. Uglavnom poslove i pripremu oko toga je obavljala tvrtka Prima d.o.o., a stečajni dužnik je u biti asistirao</w:t>
      </w:r>
      <w:r w:rsidR="00B45F92">
        <w:t xml:space="preserve"> </w:t>
      </w:r>
      <w:r w:rsidR="004F4BFE">
        <w:t>u tim aktivnostima očekujući  realizaciju predviđenih projekata, koji su tek bili u početnoj fazi.  Mogla bi se dati karakterizacija</w:t>
      </w:r>
      <w:r w:rsidR="000175F0">
        <w:t xml:space="preserve"> -</w:t>
      </w:r>
      <w:r w:rsidR="004F4BFE">
        <w:t xml:space="preserve"> u biti dvadesetak izgubljenih godina, a to je da nije bilo dovoljno kvalitetnih kadrova</w:t>
      </w:r>
      <w:r w:rsidR="000175F0">
        <w:t xml:space="preserve"> koji bi racionalno osmislili što učiniti na mjestu velike tvornice, jer stječe se dojam – uzimajći u obzir geografski smještaj – da jedino  proizvodnja određenog programa može dati rezultat.  Sve druge ideje u tom okruženju neće polučiti  uspjeh.</w:t>
      </w:r>
    </w:p>
    <w:p w:rsidRDefault="000175F0" w:rsidP="00C7446E" w:rsidR="000175F0">
      <w:pPr>
        <w:spacing w:after="0"/>
      </w:pPr>
      <w:r>
        <w:t xml:space="preserve">Prema tome, može se reći da </w:t>
      </w:r>
      <w:r w:rsidR="006458B2">
        <w:t xml:space="preserve">se </w:t>
      </w:r>
      <w:r>
        <w:t>već u pretvorbi društvenih  poduzeća</w:t>
      </w:r>
      <w:r w:rsidR="006458B2">
        <w:t xml:space="preserve"> nije </w:t>
      </w:r>
      <w:r>
        <w:t xml:space="preserve"> pošlo od pretpostavke  tko i na koji način može veliki kompleks zgrada i zemljišta privesti </w:t>
      </w:r>
      <w:r w:rsidR="006458B2">
        <w:t>izglednom ekonomsko-financijskom programu.</w:t>
      </w:r>
    </w:p>
    <w:p w:rsidRDefault="006458B2" w:rsidP="00C7446E" w:rsidR="00CB0E2B">
      <w:pPr>
        <w:spacing w:after="0"/>
      </w:pPr>
      <w:r>
        <w:t xml:space="preserve">            Sada, u stečaju, imovina koja čini stečajnu masu</w:t>
      </w:r>
      <w:r w:rsidR="00CB0E2B">
        <w:t xml:space="preserve">, </w:t>
      </w:r>
      <w:r>
        <w:t xml:space="preserve"> za očekivati  je  da će u postupku prodaje naći kupca, a ujedno investitora, koji  će postojeće zgrade i zemljište racionalno i ekonomski dovesti  u fazu isplativosti. U tome će značajanu teškoću predstavljati  okolnost  što se imovina nalazi</w:t>
      </w:r>
      <w:r w:rsidR="00CB0E2B">
        <w:t xml:space="preserve"> u </w:t>
      </w:r>
      <w:r>
        <w:t xml:space="preserve"> zoni imovine koja pripada RH, kao što se vidi u priloženoj </w:t>
      </w:r>
      <w:r w:rsidR="00CB0E2B">
        <w:t xml:space="preserve">katastarskoj </w:t>
      </w:r>
      <w:r>
        <w:t>skici</w:t>
      </w:r>
      <w:r w:rsidR="00CB0E2B">
        <w:t xml:space="preserve">. Ovisno o interesu za kupnju </w:t>
      </w:r>
      <w:r w:rsidR="00CB0E2B">
        <w:lastRenderedPageBreak/>
        <w:t>nekretnina  i to je pitanje moguće riješiti u suradnji s RH, odnosno županijom kojoj to područje pripada.</w:t>
      </w:r>
      <w:r>
        <w:t xml:space="preserve"> </w:t>
      </w:r>
    </w:p>
    <w:p w:rsidRDefault="00CB0E2B" w:rsidP="00C7446E" w:rsidR="00CB0E2B">
      <w:pPr>
        <w:spacing w:after="0"/>
      </w:pPr>
    </w:p>
    <w:p w:rsidRDefault="006458B2" w:rsidP="00C7446E" w:rsidR="006458B2">
      <w:pPr>
        <w:spacing w:after="0"/>
      </w:pPr>
      <w:r>
        <w:t xml:space="preserve">  </w:t>
      </w:r>
      <w:r w:rsidR="00CB0E2B">
        <w:t xml:space="preserve">           4.- Zaključak</w:t>
      </w:r>
    </w:p>
    <w:p w:rsidRDefault="00CB0E2B" w:rsidP="00C7446E" w:rsidR="00133B09">
      <w:pPr>
        <w:spacing w:after="0"/>
      </w:pPr>
      <w:r>
        <w:t xml:space="preserve">                  </w:t>
      </w:r>
      <w:r w:rsidR="00444602">
        <w:t>Ovim se izvještajem nastojalo stečajnim</w:t>
      </w:r>
      <w:r>
        <w:t xml:space="preserve"> </w:t>
      </w:r>
      <w:r w:rsidR="00444602">
        <w:t xml:space="preserve">vjerovnicima prikazati gospodarsko stanje stečajnog dužnika , uzroke nastanka takvog stanja i položaja stečajnog dužnika¸ kao i utvrđenje o postojanju nekretnina koje su u stečajnoj masi </w:t>
      </w:r>
      <w:r w:rsidR="00133B09">
        <w:t xml:space="preserve"> i koje nisu pod pravnim opterećenjem,  pa se mogu unovčiti i pokriti u cjelosti ili djelomično  troškovi stečajnog postupka, kao i u odgovarajućem omjeru potraživanja stečajnih vjerovnika.</w:t>
      </w:r>
    </w:p>
    <w:p w:rsidRDefault="00133B09" w:rsidP="00133B09" w:rsidR="00133B09">
      <w:pPr>
        <w:spacing w:after="0"/>
      </w:pPr>
      <w:r>
        <w:t xml:space="preserve">                  Daje se slijedeće   m i š l j e n j e; </w:t>
      </w:r>
    </w:p>
    <w:p w:rsidRDefault="00133B09" w:rsidP="00C7446E" w:rsidR="00D0265E">
      <w:pPr>
        <w:spacing w:after="0"/>
      </w:pPr>
      <w:r>
        <w:t xml:space="preserve">                   -stečajni dužnik nema nikakvih uvjeta za daljnje poslovanje,</w:t>
      </w:r>
    </w:p>
    <w:p w:rsidRDefault="00133B09" w:rsidP="00C7446E" w:rsidR="00133B09">
      <w:pPr>
        <w:spacing w:after="0"/>
      </w:pPr>
      <w:r>
        <w:tab/>
        <w:t xml:space="preserve">     -po sudskom vještaku je utvrđena tržišna vrijednost nekretnina,</w:t>
      </w:r>
    </w:p>
    <w:p w:rsidRDefault="00133B09" w:rsidP="00C7446E" w:rsidR="00A509CB">
      <w:pPr>
        <w:spacing w:after="0"/>
      </w:pPr>
      <w:r>
        <w:tab/>
        <w:t xml:space="preserve">     -izvršit će se unovčenje nekretnina</w:t>
      </w:r>
      <w:r w:rsidR="00946BB6">
        <w:t xml:space="preserve"> vlasništvo stečajnog dužnika bez tereta </w:t>
      </w:r>
      <w:r>
        <w:t xml:space="preserve"> upisanih u ZK odjelu Ogulin, Općinskog suda u Karlovcu</w:t>
      </w:r>
      <w:r w:rsidR="00946BB6">
        <w:t>, i to u k.o. Plaški, k.č. 1079/3, k.č. 1079/4, k.č. 1979/5 i 1079/6, z.k.ul. 3286, 3287, 3288, 3289., kao i odgovarajuća isplata stečajnih vjerovnika i troškova stečajnog postupka i ostalih ob</w:t>
      </w:r>
      <w:r w:rsidR="00A509CB">
        <w:t xml:space="preserve">aveza stečajne mase u skladu Stečajnog </w:t>
      </w:r>
      <w:r w:rsidR="00946BB6">
        <w:t xml:space="preserve"> zakona</w:t>
      </w:r>
      <w:r w:rsidR="00A509CB">
        <w:t>.</w:t>
      </w:r>
    </w:p>
    <w:p w:rsidRDefault="00A509CB" w:rsidP="00C7446E" w:rsidR="00A509CB">
      <w:pPr>
        <w:spacing w:after="0"/>
      </w:pPr>
      <w:r>
        <w:t xml:space="preserve">                     Na osnovu izloženog   p r e d l a ž e   se:</w:t>
      </w:r>
    </w:p>
    <w:p w:rsidRDefault="00A509CB" w:rsidP="00C7446E" w:rsidR="00A509CB">
      <w:pPr>
        <w:spacing w:after="0"/>
      </w:pPr>
      <w:r>
        <w:tab/>
        <w:t xml:space="preserve">       1.-da se prihvati izvješće stečajnog upravitelja i učinjene radnje u dosadašnjem tijeku stečajnog postupka,</w:t>
      </w:r>
    </w:p>
    <w:p w:rsidRDefault="00A509CB" w:rsidP="00C7446E" w:rsidR="00A509CB">
      <w:pPr>
        <w:spacing w:after="0"/>
      </w:pPr>
      <w:r>
        <w:tab/>
        <w:t xml:space="preserve">       2.-da se ne nastavlja poslovanje stečajnog dužnika, jer za to nema uvjeta,</w:t>
      </w:r>
    </w:p>
    <w:p w:rsidRDefault="00A509CB" w:rsidP="00C7446E" w:rsidR="00A509CB">
      <w:pPr>
        <w:spacing w:after="0"/>
      </w:pPr>
      <w:r>
        <w:tab/>
        <w:t xml:space="preserve">       3.-da se unovče dužnikove nekretnine i  ostvarenim sredstvima izvrše isplate sukladno</w:t>
      </w:r>
      <w:r w:rsidR="00EA30B2">
        <w:t xml:space="preserve"> </w:t>
      </w:r>
      <w:r>
        <w:t>Stečajnoom zakonu.</w:t>
      </w:r>
    </w:p>
    <w:p w:rsidRDefault="00A509CB" w:rsidP="00C7446E" w:rsidR="00A509CB">
      <w:pPr>
        <w:spacing w:after="0"/>
      </w:pPr>
      <w:r>
        <w:tab/>
      </w:r>
      <w:r>
        <w:tab/>
      </w:r>
      <w:r>
        <w:tab/>
      </w:r>
      <w:r>
        <w:tab/>
      </w:r>
      <w:r>
        <w:tab/>
      </w:r>
      <w:r>
        <w:tab/>
      </w:r>
      <w:r>
        <w:tab/>
      </w:r>
      <w:r>
        <w:tab/>
      </w:r>
      <w:r>
        <w:tab/>
        <w:t>Stečajni upravitelj</w:t>
      </w:r>
    </w:p>
    <w:p w:rsidRDefault="00A509CB" w:rsidP="00C7446E" w:rsidR="00A509CB">
      <w:pPr>
        <w:spacing w:after="0"/>
      </w:pPr>
      <w:r>
        <w:tab/>
      </w:r>
      <w:r>
        <w:tab/>
      </w:r>
      <w:r>
        <w:tab/>
      </w:r>
      <w:r>
        <w:tab/>
      </w:r>
      <w:r>
        <w:tab/>
      </w:r>
      <w:r>
        <w:tab/>
      </w:r>
      <w:r>
        <w:tab/>
      </w:r>
      <w:r>
        <w:tab/>
        <w:t xml:space="preserve">           Petar Popović, dipl. iur.</w:t>
      </w:r>
    </w:p>
    <w:p w:rsidRDefault="00A509CB" w:rsidP="00C7446E" w:rsidR="00A509CB">
      <w:pPr>
        <w:spacing w:after="0"/>
      </w:pPr>
    </w:p>
    <w:p w:rsidRDefault="00A509CB" w:rsidP="00C7446E" w:rsidR="00A509CB">
      <w:pPr>
        <w:spacing w:after="0"/>
      </w:pPr>
      <w:r>
        <w:t xml:space="preserve">      </w:t>
      </w:r>
      <w:r>
        <w:tab/>
        <w:t xml:space="preserve">       Prilaže se :</w:t>
      </w:r>
    </w:p>
    <w:p w:rsidRDefault="00A509CB" w:rsidP="00A509CB" w:rsidR="00133B09">
      <w:pPr>
        <w:spacing w:after="0"/>
      </w:pPr>
      <w:r>
        <w:t xml:space="preserve">                                      -bilanca i račun dobiti i gubitka za 2014., izvadak iz zemljišne knjige, očev</w:t>
      </w:r>
      <w:r w:rsidR="00BF5E62">
        <w:t>idnik o redoslijedu plaćanja iz 2016. god., procijena vrijednosti  nekretnina po sudskom vještaku, skice  položaja nekretnina, prijava poreza na dobit za 2014. g.,, Izvješće revizora za 2012. godinu,  izvještaj  Središnjeg klirinškog depozitarnog društva d.d. o stanju dionica na dan 12.11.2018., potvrda Hrvatskog fonda za privatizaciju</w:t>
      </w:r>
      <w:r w:rsidR="00A53B38">
        <w:t xml:space="preserve"> od 11.7.2003., dopis Ministarstva financija Prima aqui d.d. od 10.4.2015</w:t>
      </w:r>
      <w:r w:rsidR="004C1D46">
        <w:t>.</w:t>
      </w:r>
      <w:r>
        <w:t xml:space="preserve"> </w:t>
      </w:r>
      <w:r>
        <w:tab/>
      </w:r>
      <w:r>
        <w:tab/>
      </w:r>
      <w:r>
        <w:tab/>
        <w:t xml:space="preserve"> </w:t>
      </w:r>
      <w:r w:rsidR="00133B09">
        <w:t xml:space="preserve"> </w:t>
      </w:r>
    </w:p>
    <w:p w:rsidRDefault="00D0265E" w:rsidP="00C7446E" w:rsidR="00D0265E">
      <w:pPr>
        <w:spacing w:after="0"/>
      </w:pPr>
    </w:p>
    <w:p w:rsidRDefault="00133B09" w:rsidP="00133B09" w:rsidR="00133B09">
      <w:pPr>
        <w:pStyle w:val="Odlomakpopisa"/>
        <w:spacing w:after="0"/>
        <w:ind w:left="1260"/>
      </w:pPr>
      <w:r>
        <w:t xml:space="preserve">                                                                          </w:t>
      </w:r>
    </w:p>
    <w:p w:rsidRDefault="00D0265E" w:rsidP="00C7446E" w:rsidR="00D0265E">
      <w:pPr>
        <w:spacing w:after="0"/>
      </w:pPr>
    </w:p>
    <w:p w:rsidRDefault="00201789" w:rsidP="00693B48" w:rsidR="00827196">
      <w:pPr>
        <w:spacing w:after="0"/>
      </w:pPr>
      <w:r>
        <w:t xml:space="preserve">      </w:t>
      </w:r>
      <w:r w:rsidR="00145AAD">
        <w:tab/>
      </w:r>
      <w:r w:rsidR="00145AAD">
        <w:tab/>
      </w:r>
    </w:p>
    <w:p w:rsidRDefault="00827196" w:rsidP="00693B48" w:rsidR="00827196">
      <w:pPr>
        <w:spacing w:after="0"/>
      </w:pPr>
    </w:p>
    <w:p w:rsidRDefault="00827196" w:rsidP="00693B48" w:rsidR="00827196">
      <w:pPr>
        <w:spacing w:after="0"/>
      </w:pPr>
    </w:p>
    <w:sectPr w:rsidR="0082719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B97" w:rsidP="00605247" w:rsidR="00E75B97">
      <w:pPr>
        <w:spacing w:lineRule="auto" w:line="240" w:after="0"/>
      </w:pPr>
      <w:r>
        <w:separator/>
      </w:r>
    </w:p>
  </w:endnote>
  <w:endnote w:id="0" w:type="continuationSeparator">
    <w:p w:rsidRDefault="00E75B97" w:rsidP="00605247" w:rsidR="00E75B9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247" w:rsidR="0060524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247" w:rsidR="0060524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247" w:rsidR="0060524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B97" w:rsidP="00605247" w:rsidR="00E75B97">
      <w:pPr>
        <w:spacing w:lineRule="auto" w:line="240" w:after="0"/>
      </w:pPr>
      <w:r>
        <w:separator/>
      </w:r>
    </w:p>
  </w:footnote>
  <w:footnote w:id="0" w:type="continuationSeparator">
    <w:p w:rsidRDefault="00E75B97" w:rsidP="00605247" w:rsidR="00E75B9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247" w:rsidR="0060524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247" w:rsidR="0060524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247" w:rsidR="0060524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B37AB3"/>
    <w:multiLevelType w:val="hybridMultilevel"/>
    <w:tmpl w:val="3F9EFD46"/>
    <w:lvl w:tplc="0D90BBA6" w:ilvl="0">
      <w:start w:val="4"/>
      <w:numFmt w:val="bullet"/>
      <w:lvlText w:val="-"/>
      <w:lvlJc w:val="left"/>
      <w:pPr>
        <w:ind w:hanging="360" w:left="1215"/>
      </w:pPr>
      <w:rPr>
        <w:rFonts w:cstheme="minorBidi" w:eastAsiaTheme="minorHAnsi" w:hAnsi="Calibri" w:ascii="Calibri" w:hint="default"/>
      </w:rPr>
    </w:lvl>
    <w:lvl w:tentative="true" w:tplc="041A0003" w:ilvl="1">
      <w:start w:val="1"/>
      <w:numFmt w:val="bullet"/>
      <w:lvlText w:val="o"/>
      <w:lvlJc w:val="left"/>
      <w:pPr>
        <w:ind w:hanging="360" w:left="1935"/>
      </w:pPr>
      <w:rPr>
        <w:rFonts w:cs="Courier New" w:hAnsi="Courier New" w:ascii="Courier New" w:hint="default"/>
      </w:rPr>
    </w:lvl>
    <w:lvl w:tentative="true" w:tplc="041A0005" w:ilvl="2">
      <w:start w:val="1"/>
      <w:numFmt w:val="bullet"/>
      <w:lvlText w:val=""/>
      <w:lvlJc w:val="left"/>
      <w:pPr>
        <w:ind w:hanging="360" w:left="2655"/>
      </w:pPr>
      <w:rPr>
        <w:rFonts w:hAnsi="Wingdings" w:ascii="Wingdings" w:hint="default"/>
      </w:rPr>
    </w:lvl>
    <w:lvl w:tentative="true" w:tplc="041A0001" w:ilvl="3">
      <w:start w:val="1"/>
      <w:numFmt w:val="bullet"/>
      <w:lvlText w:val=""/>
      <w:lvlJc w:val="left"/>
      <w:pPr>
        <w:ind w:hanging="360" w:left="3375"/>
      </w:pPr>
      <w:rPr>
        <w:rFonts w:hAnsi="Symbol" w:ascii="Symbol" w:hint="default"/>
      </w:rPr>
    </w:lvl>
    <w:lvl w:tentative="true" w:tplc="041A0003" w:ilvl="4">
      <w:start w:val="1"/>
      <w:numFmt w:val="bullet"/>
      <w:lvlText w:val="o"/>
      <w:lvlJc w:val="left"/>
      <w:pPr>
        <w:ind w:hanging="360" w:left="4095"/>
      </w:pPr>
      <w:rPr>
        <w:rFonts w:cs="Courier New" w:hAnsi="Courier New" w:ascii="Courier New" w:hint="default"/>
      </w:rPr>
    </w:lvl>
    <w:lvl w:tentative="true" w:tplc="041A0005" w:ilvl="5">
      <w:start w:val="1"/>
      <w:numFmt w:val="bullet"/>
      <w:lvlText w:val=""/>
      <w:lvlJc w:val="left"/>
      <w:pPr>
        <w:ind w:hanging="360" w:left="4815"/>
      </w:pPr>
      <w:rPr>
        <w:rFonts w:hAnsi="Wingdings" w:ascii="Wingdings" w:hint="default"/>
      </w:rPr>
    </w:lvl>
    <w:lvl w:tentative="true" w:tplc="041A0001" w:ilvl="6">
      <w:start w:val="1"/>
      <w:numFmt w:val="bullet"/>
      <w:lvlText w:val=""/>
      <w:lvlJc w:val="left"/>
      <w:pPr>
        <w:ind w:hanging="360" w:left="5535"/>
      </w:pPr>
      <w:rPr>
        <w:rFonts w:hAnsi="Symbol" w:ascii="Symbol" w:hint="default"/>
      </w:rPr>
    </w:lvl>
    <w:lvl w:tentative="true" w:tplc="041A0003" w:ilvl="7">
      <w:start w:val="1"/>
      <w:numFmt w:val="bullet"/>
      <w:lvlText w:val="o"/>
      <w:lvlJc w:val="left"/>
      <w:pPr>
        <w:ind w:hanging="360" w:left="6255"/>
      </w:pPr>
      <w:rPr>
        <w:rFonts w:cs="Courier New" w:hAnsi="Courier New" w:ascii="Courier New" w:hint="default"/>
      </w:rPr>
    </w:lvl>
    <w:lvl w:tentative="true" w:tplc="041A0005" w:ilvl="8">
      <w:start w:val="1"/>
      <w:numFmt w:val="bullet"/>
      <w:lvlText w:val=""/>
      <w:lvlJc w:val="left"/>
      <w:pPr>
        <w:ind w:hanging="360" w:left="6975"/>
      </w:pPr>
      <w:rPr>
        <w:rFonts w:hAnsi="Wingdings" w:ascii="Wingdings" w:hint="default"/>
      </w:rPr>
    </w:lvl>
  </w:abstractNum>
  <w:abstractNum w:abstractNumId="1">
    <w:nsid w:val="2E0E1646"/>
    <w:multiLevelType w:val="hybridMultilevel"/>
    <w:tmpl w:val="C4F47514"/>
    <w:lvl w:tplc="951A6B24" w:ilvl="0">
      <w:start w:val="4"/>
      <w:numFmt w:val="bullet"/>
      <w:lvlText w:val="-"/>
      <w:lvlJc w:val="left"/>
      <w:pPr>
        <w:ind w:hanging="360" w:left="1260"/>
      </w:pPr>
      <w:rPr>
        <w:rFonts w:cstheme="minorBidi" w:eastAsiaTheme="minorHAnsi" w:hAnsi="Calibri" w:ascii="Calibri"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2">
    <w:nsid w:val="4F3621D9"/>
    <w:multiLevelType w:val="hybridMultilevel"/>
    <w:tmpl w:val="4940963E"/>
    <w:lvl w:tplc="73ECBC24" w:ilvl="0">
      <w:numFmt w:val="bullet"/>
      <w:lvlText w:val="-"/>
      <w:lvlJc w:val="left"/>
      <w:pPr>
        <w:ind w:hanging="360" w:left="705"/>
      </w:pPr>
      <w:rPr>
        <w:rFonts w:cstheme="minorBidi" w:eastAsiaTheme="minorHAnsi" w:hAnsi="Calibri" w:ascii="Calibri" w:hint="default"/>
      </w:rPr>
    </w:lvl>
    <w:lvl w:tentative="true" w:tplc="041A0003" w:ilvl="1">
      <w:start w:val="1"/>
      <w:numFmt w:val="bullet"/>
      <w:lvlText w:val="o"/>
      <w:lvlJc w:val="left"/>
      <w:pPr>
        <w:ind w:hanging="360" w:left="1425"/>
      </w:pPr>
      <w:rPr>
        <w:rFonts w:cs="Courier New" w:hAnsi="Courier New" w:ascii="Courier New" w:hint="default"/>
      </w:rPr>
    </w:lvl>
    <w:lvl w:tentative="true" w:tplc="041A0005" w:ilvl="2">
      <w:start w:val="1"/>
      <w:numFmt w:val="bullet"/>
      <w:lvlText w:val=""/>
      <w:lvlJc w:val="left"/>
      <w:pPr>
        <w:ind w:hanging="360" w:left="2145"/>
      </w:pPr>
      <w:rPr>
        <w:rFonts w:hAnsi="Wingdings" w:ascii="Wingdings" w:hint="default"/>
      </w:rPr>
    </w:lvl>
    <w:lvl w:tentative="true" w:tplc="041A0001" w:ilvl="3">
      <w:start w:val="1"/>
      <w:numFmt w:val="bullet"/>
      <w:lvlText w:val=""/>
      <w:lvlJc w:val="left"/>
      <w:pPr>
        <w:ind w:hanging="360" w:left="2865"/>
      </w:pPr>
      <w:rPr>
        <w:rFonts w:hAnsi="Symbol" w:ascii="Symbol" w:hint="default"/>
      </w:rPr>
    </w:lvl>
    <w:lvl w:tentative="true" w:tplc="041A0003" w:ilvl="4">
      <w:start w:val="1"/>
      <w:numFmt w:val="bullet"/>
      <w:lvlText w:val="o"/>
      <w:lvlJc w:val="left"/>
      <w:pPr>
        <w:ind w:hanging="360" w:left="3585"/>
      </w:pPr>
      <w:rPr>
        <w:rFonts w:cs="Courier New" w:hAnsi="Courier New" w:ascii="Courier New" w:hint="default"/>
      </w:rPr>
    </w:lvl>
    <w:lvl w:tentative="true" w:tplc="041A0005" w:ilvl="5">
      <w:start w:val="1"/>
      <w:numFmt w:val="bullet"/>
      <w:lvlText w:val=""/>
      <w:lvlJc w:val="left"/>
      <w:pPr>
        <w:ind w:hanging="360" w:left="4305"/>
      </w:pPr>
      <w:rPr>
        <w:rFonts w:hAnsi="Wingdings" w:ascii="Wingdings" w:hint="default"/>
      </w:rPr>
    </w:lvl>
    <w:lvl w:tentative="true" w:tplc="041A0001" w:ilvl="6">
      <w:start w:val="1"/>
      <w:numFmt w:val="bullet"/>
      <w:lvlText w:val=""/>
      <w:lvlJc w:val="left"/>
      <w:pPr>
        <w:ind w:hanging="360" w:left="5025"/>
      </w:pPr>
      <w:rPr>
        <w:rFonts w:hAnsi="Symbol" w:ascii="Symbol" w:hint="default"/>
      </w:rPr>
    </w:lvl>
    <w:lvl w:tentative="true" w:tplc="041A0003" w:ilvl="7">
      <w:start w:val="1"/>
      <w:numFmt w:val="bullet"/>
      <w:lvlText w:val="o"/>
      <w:lvlJc w:val="left"/>
      <w:pPr>
        <w:ind w:hanging="360" w:left="5745"/>
      </w:pPr>
      <w:rPr>
        <w:rFonts w:cs="Courier New" w:hAnsi="Courier New" w:ascii="Courier New" w:hint="default"/>
      </w:rPr>
    </w:lvl>
    <w:lvl w:tentative="true" w:tplc="041A0005" w:ilvl="8">
      <w:start w:val="1"/>
      <w:numFmt w:val="bullet"/>
      <w:lvlText w:val=""/>
      <w:lvlJc w:val="left"/>
      <w:pPr>
        <w:ind w:hanging="360" w:left="6465"/>
      </w:pPr>
      <w:rPr>
        <w:rFonts w:hAnsi="Wingdings" w:ascii="Wingdings" w:hint="default"/>
      </w:rPr>
    </w:lvl>
  </w:abstractNum>
  <w:abstractNum w:abstractNumId="3">
    <w:nsid w:val="59613127"/>
    <w:multiLevelType w:val="hybridMultilevel"/>
    <w:tmpl w:val="60340B4C"/>
    <w:lvl w:tplc="7F7ADC12" w:ilvl="0">
      <w:start w:val="3"/>
      <w:numFmt w:val="bullet"/>
      <w:lvlText w:val="-"/>
      <w:lvlJc w:val="left"/>
      <w:pPr>
        <w:ind w:hanging="360" w:left="2145"/>
      </w:pPr>
      <w:rPr>
        <w:rFonts w:cstheme="minorBidi" w:eastAsiaTheme="minorHAnsi" w:hAnsi="Calibri" w:ascii="Calibri"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4">
    <w:nsid w:val="7A665E24"/>
    <w:multiLevelType w:val="hybridMultilevel"/>
    <w:tmpl w:val="4D44B8D4"/>
    <w:lvl w:tplc="B516A054" w:ilvl="0">
      <w:numFmt w:val="bullet"/>
      <w:lvlText w:val="-"/>
      <w:lvlJc w:val="left"/>
      <w:pPr>
        <w:ind w:hanging="360" w:left="705"/>
      </w:pPr>
      <w:rPr>
        <w:rFonts w:cstheme="minorBidi" w:eastAsiaTheme="minorHAnsi" w:hAnsi="Calibri" w:ascii="Calibri" w:hint="default"/>
      </w:rPr>
    </w:lvl>
    <w:lvl w:tentative="true" w:tplc="041A0003" w:ilvl="1">
      <w:start w:val="1"/>
      <w:numFmt w:val="bullet"/>
      <w:lvlText w:val="o"/>
      <w:lvlJc w:val="left"/>
      <w:pPr>
        <w:ind w:hanging="360" w:left="1425"/>
      </w:pPr>
      <w:rPr>
        <w:rFonts w:cs="Courier New" w:hAnsi="Courier New" w:ascii="Courier New" w:hint="default"/>
      </w:rPr>
    </w:lvl>
    <w:lvl w:tentative="true" w:tplc="041A0005" w:ilvl="2">
      <w:start w:val="1"/>
      <w:numFmt w:val="bullet"/>
      <w:lvlText w:val=""/>
      <w:lvlJc w:val="left"/>
      <w:pPr>
        <w:ind w:hanging="360" w:left="2145"/>
      </w:pPr>
      <w:rPr>
        <w:rFonts w:hAnsi="Wingdings" w:ascii="Wingdings" w:hint="default"/>
      </w:rPr>
    </w:lvl>
    <w:lvl w:tentative="true" w:tplc="041A0001" w:ilvl="3">
      <w:start w:val="1"/>
      <w:numFmt w:val="bullet"/>
      <w:lvlText w:val=""/>
      <w:lvlJc w:val="left"/>
      <w:pPr>
        <w:ind w:hanging="360" w:left="2865"/>
      </w:pPr>
      <w:rPr>
        <w:rFonts w:hAnsi="Symbol" w:ascii="Symbol" w:hint="default"/>
      </w:rPr>
    </w:lvl>
    <w:lvl w:tentative="true" w:tplc="041A0003" w:ilvl="4">
      <w:start w:val="1"/>
      <w:numFmt w:val="bullet"/>
      <w:lvlText w:val="o"/>
      <w:lvlJc w:val="left"/>
      <w:pPr>
        <w:ind w:hanging="360" w:left="3585"/>
      </w:pPr>
      <w:rPr>
        <w:rFonts w:cs="Courier New" w:hAnsi="Courier New" w:ascii="Courier New" w:hint="default"/>
      </w:rPr>
    </w:lvl>
    <w:lvl w:tentative="true" w:tplc="041A0005" w:ilvl="5">
      <w:start w:val="1"/>
      <w:numFmt w:val="bullet"/>
      <w:lvlText w:val=""/>
      <w:lvlJc w:val="left"/>
      <w:pPr>
        <w:ind w:hanging="360" w:left="4305"/>
      </w:pPr>
      <w:rPr>
        <w:rFonts w:hAnsi="Wingdings" w:ascii="Wingdings" w:hint="default"/>
      </w:rPr>
    </w:lvl>
    <w:lvl w:tentative="true" w:tplc="041A0001" w:ilvl="6">
      <w:start w:val="1"/>
      <w:numFmt w:val="bullet"/>
      <w:lvlText w:val=""/>
      <w:lvlJc w:val="left"/>
      <w:pPr>
        <w:ind w:hanging="360" w:left="5025"/>
      </w:pPr>
      <w:rPr>
        <w:rFonts w:hAnsi="Symbol" w:ascii="Symbol" w:hint="default"/>
      </w:rPr>
    </w:lvl>
    <w:lvl w:tentative="true" w:tplc="041A0003" w:ilvl="7">
      <w:start w:val="1"/>
      <w:numFmt w:val="bullet"/>
      <w:lvlText w:val="o"/>
      <w:lvlJc w:val="left"/>
      <w:pPr>
        <w:ind w:hanging="360" w:left="5745"/>
      </w:pPr>
      <w:rPr>
        <w:rFonts w:cs="Courier New" w:hAnsi="Courier New" w:ascii="Courier New" w:hint="default"/>
      </w:rPr>
    </w:lvl>
    <w:lvl w:tentative="true" w:tplc="041A0005" w:ilvl="8">
      <w:start w:val="1"/>
      <w:numFmt w:val="bullet"/>
      <w:lvlText w:val=""/>
      <w:lvlJc w:val="left"/>
      <w:pPr>
        <w:ind w:hanging="360" w:left="6465"/>
      </w:pPr>
      <w:rPr>
        <w:rFonts w:hAnsi="Wingdings" w:asci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B48"/>
    <w:rsid w:val="000175F0"/>
    <w:rsid w:val="0002489B"/>
    <w:rsid w:val="00111F2A"/>
    <w:rsid w:val="0013174C"/>
    <w:rsid w:val="00132957"/>
    <w:rsid w:val="00133B09"/>
    <w:rsid w:val="00144DB5"/>
    <w:rsid w:val="00145AAD"/>
    <w:rsid w:val="00145F1F"/>
    <w:rsid w:val="00147A4D"/>
    <w:rsid w:val="00171A9D"/>
    <w:rsid w:val="001E34D6"/>
    <w:rsid w:val="00201789"/>
    <w:rsid w:val="00244B05"/>
    <w:rsid w:val="003A6D74"/>
    <w:rsid w:val="00444602"/>
    <w:rsid w:val="0045567E"/>
    <w:rsid w:val="00472434"/>
    <w:rsid w:val="004C1D46"/>
    <w:rsid w:val="004F4BFE"/>
    <w:rsid w:val="00525CA3"/>
    <w:rsid w:val="005329E1"/>
    <w:rsid w:val="0059355D"/>
    <w:rsid w:val="005F1009"/>
    <w:rsid w:val="00605247"/>
    <w:rsid w:val="006075F1"/>
    <w:rsid w:val="006131EF"/>
    <w:rsid w:val="006317B7"/>
    <w:rsid w:val="006458B2"/>
    <w:rsid w:val="00662C2E"/>
    <w:rsid w:val="0067700B"/>
    <w:rsid w:val="00681918"/>
    <w:rsid w:val="00693B48"/>
    <w:rsid w:val="0071713E"/>
    <w:rsid w:val="0072176A"/>
    <w:rsid w:val="00733D48"/>
    <w:rsid w:val="007B53B0"/>
    <w:rsid w:val="00827196"/>
    <w:rsid w:val="00850966"/>
    <w:rsid w:val="00855809"/>
    <w:rsid w:val="00894367"/>
    <w:rsid w:val="00946BB6"/>
    <w:rsid w:val="00A509CB"/>
    <w:rsid w:val="00A53B38"/>
    <w:rsid w:val="00A8549C"/>
    <w:rsid w:val="00AF36D0"/>
    <w:rsid w:val="00AF7296"/>
    <w:rsid w:val="00B45F92"/>
    <w:rsid w:val="00B45FDA"/>
    <w:rsid w:val="00B80F0E"/>
    <w:rsid w:val="00B8501E"/>
    <w:rsid w:val="00BF5E62"/>
    <w:rsid w:val="00C7446E"/>
    <w:rsid w:val="00CB0E2B"/>
    <w:rsid w:val="00D0265E"/>
    <w:rsid w:val="00D40711"/>
    <w:rsid w:val="00DA10C8"/>
    <w:rsid w:val="00DA23E5"/>
    <w:rsid w:val="00DB75A1"/>
    <w:rsid w:val="00DD4F58"/>
    <w:rsid w:val="00E3141D"/>
    <w:rsid w:val="00E67BEE"/>
    <w:rsid w:val="00E71C76"/>
    <w:rsid w:val="00E75B97"/>
    <w:rsid w:val="00EA30B2"/>
    <w:rsid w:val="00EB3994"/>
    <w:rsid w:val="00ED0C35"/>
    <w:rsid w:val="00ED300A"/>
    <w:rsid w:val="00F43F73"/>
    <w:rsid w:val="00F513FB"/>
    <w:rsid w:val="00FB1D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unhideWhenUsed/>
    <w:rsid w:val="00DA23E5"/>
    <w:rPr>
      <w:color w:themeColor="hyperlink" w:val="0000FF"/>
      <w:u w:val="single"/>
    </w:rPr>
  </w:style>
  <w:style w:styleId="Odlomakpopisa" w:type="paragraph">
    <w:name w:val="List Paragraph"/>
    <w:basedOn w:val="Normal"/>
    <w:uiPriority w:val="34"/>
    <w:qFormat/>
    <w:rsid w:val="00C7446E"/>
    <w:pPr>
      <w:ind w:left="720"/>
      <w:contextualSpacing/>
    </w:pPr>
  </w:style>
  <w:style w:styleId="Zaglavlje" w:type="paragraph">
    <w:name w:val="header"/>
    <w:basedOn w:val="Normal"/>
    <w:link w:val="ZaglavljeChar"/>
    <w:uiPriority w:val="99"/>
    <w:unhideWhenUsed/>
    <w:rsid w:val="0060524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05247"/>
  </w:style>
  <w:style w:styleId="Podnoje" w:type="paragraph">
    <w:name w:val="footer"/>
    <w:basedOn w:val="Normal"/>
    <w:link w:val="PodnojeChar"/>
    <w:uiPriority w:val="99"/>
    <w:unhideWhenUsed/>
    <w:rsid w:val="0060524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05247"/>
  </w:style>
  <w:style w:styleId="Tekstrezerviranogmjesta" w:type="character">
    <w:name w:val="Placeholder Text"/>
    <w:basedOn w:val="Zadanifontodlomka"/>
    <w:uiPriority w:val="99"/>
    <w:semiHidden/>
    <w:rsid w:val="005F1009"/>
    <w:rPr>
      <w:color w:val="808080"/>
      <w:bdr w:space="0" w:sz="0" w:color="auto" w:val="none"/>
      <w:shd w:fill="auto" w:color="auto" w:val="clear"/>
    </w:rPr>
  </w:style>
  <w:style w:customStyle="true" w:styleId="eSPISCCParagraphDefaultFont" w:type="character">
    <w:name w:val="eSPIS_CC_Paragraph Default Font"/>
    <w:basedOn w:val="Zadanifontodlomka"/>
    <w:rsid w:val="005F100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1009"/>
    <w:rPr>
      <w:bdr w:space="0" w:sz="0" w:color="auto" w:val="none"/>
      <w:shd w:fill="FFFFCC" w:color="auto" w:val="clear"/>
      <w:lang w:val="hr-HR"/>
    </w:rPr>
  </w:style>
  <w:style w:customStyle="true" w:styleId="PozadinaSvijetloCrvena" w:type="character">
    <w:name w:val="Pozadina_SvijetloCrvena"/>
    <w:basedOn w:val="eSPISCCParagraphDefaultFont"/>
    <w:rsid w:val="005F100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100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unhideWhenUsed/>
    <w:rsid w:val="00DA23E5"/>
    <w:rPr>
      <w:color w:themeColor="hyperlink" w:val="0000FF"/>
      <w:u w:val="single"/>
    </w:rPr>
  </w:style>
  <w:style w:styleId="Odlomakpopisa" w:type="paragraph">
    <w:name w:val="List Paragraph"/>
    <w:basedOn w:val="Normal"/>
    <w:uiPriority w:val="34"/>
    <w:qFormat/>
    <w:rsid w:val="00C7446E"/>
    <w:pPr>
      <w:ind w:left="720"/>
      <w:contextualSpacing/>
    </w:pPr>
  </w:style>
  <w:style w:styleId="Zaglavlje" w:type="paragraph">
    <w:name w:val="header"/>
    <w:basedOn w:val="Normal"/>
    <w:link w:val="ZaglavljeChar"/>
    <w:uiPriority w:val="99"/>
    <w:unhideWhenUsed/>
    <w:rsid w:val="0060524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05247"/>
  </w:style>
  <w:style w:styleId="Podnoje" w:type="paragraph">
    <w:name w:val="footer"/>
    <w:basedOn w:val="Normal"/>
    <w:link w:val="PodnojeChar"/>
    <w:uiPriority w:val="99"/>
    <w:unhideWhenUsed/>
    <w:rsid w:val="0060524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05247"/>
  </w:style>
  <w:style w:styleId="Tekstrezerviranogmjesta" w:type="character">
    <w:name w:val="Placeholder Text"/>
    <w:basedOn w:val="Zadanifontodlomka"/>
    <w:uiPriority w:val="99"/>
    <w:semiHidden/>
    <w:rsid w:val="005F1009"/>
    <w:rPr>
      <w:color w:val="808080"/>
      <w:bdr w:color="auto" w:space="0" w:sz="0" w:val="none"/>
      <w:shd w:color="auto" w:fill="auto" w:val="clear"/>
    </w:rPr>
  </w:style>
  <w:style w:customStyle="1" w:styleId="eSPISCCParagraphDefaultFont" w:type="character">
    <w:name w:val="eSPIS_CC_Paragraph Default Font"/>
    <w:basedOn w:val="Zadanifontodlomka"/>
    <w:rsid w:val="005F100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1009"/>
    <w:rPr>
      <w:bdr w:color="auto" w:space="0" w:sz="0" w:val="none"/>
      <w:shd w:color="auto" w:fill="FFFFCC" w:val="clear"/>
      <w:lang w:val="hr-HR"/>
    </w:rPr>
  </w:style>
  <w:style w:customStyle="1" w:styleId="PozadinaSvijetloCrvena" w:type="character">
    <w:name w:val="Pozadina_SvijetloCrvena"/>
    <w:basedOn w:val="eSPISCCParagraphDefaultFont"/>
    <w:rsid w:val="005F100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100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1874</properties:Words>
  <properties:Characters>10442</properties:Characters>
  <properties:Lines>172</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13338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2019-02-18T06:01:00Z</dcterms:created>
  <dc:creator>Popovic</dc:creator>
  <cp:lastModifiedBy>Vinka Mihalinčić</cp:lastModifiedBy>
  <cp:lastPrinted>2019-02-03T10:51:00Z</cp:lastPrinted>
  <dcterms:modified xmlns:xsi="http://www.w3.org/2001/XMLSchema-instance" xsi:type="dcterms:W3CDTF">2019-02-18T06:26:00Z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St-6935/2016-25 / Podnesak - Izvješće o financijsko-gospodarskom stanju dužnika (Prima aqua- gotov izvj. za izvještajno roč_.docx)</vt:lpwstr>
  </prop:property>
  <prop:property name="CC_coloring" pid="4" fmtid="{D5CDD505-2E9C-101B-9397-08002B2CF9AE}">
    <vt:bool>false</vt:bool>
  </prop:property>
  <prop:property name="BrojStranica" pid="5" fmtid="{D5CDD505-2E9C-101B-9397-08002B2CF9AE}">
    <vt:i4>4</vt:i4>
  </prop:property>
</prop:Properties>
</file>