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11cf2" w14:paraId="8811cf2" w:rsidRDefault="00462AEB" w:rsidP="00462AEB" w:rsidR="00462AEB" w:rsidRPr="00DE20A7">
      <w:pPr>
        <w:tabs>
          <w:tab w:pos="9072" w:val="right"/>
        </w:tabs>
        <w:spacing w:lineRule="auto" w:line="240" w:after="0"/>
        <w15:collapsed w:val="false"/>
        <w:rPr>
          <w:rFonts w:cs="Times New Roman" w:eastAsia="Times New Roman" w:hAnsi="Times New Roman" w:ascii="Times New Roman"/>
          <w:sz w:val="24"/>
          <w:szCs w:val="24"/>
          <w:lang w:eastAsia="hr-HR"/>
        </w:rPr>
      </w:pPr>
      <w:bookmarkStart w:name="_GoBack" w:id="0"/>
      <w:bookmarkEnd w:id="0"/>
      <w:r w:rsidRPr="00DE20A7">
        <w:rPr>
          <w:noProof/>
          <w:lang w:eastAsia="hr-HR"/>
        </w:rPr>
        <w:t xml:space="preserve">                      </w:t>
      </w:r>
      <w:r w:rsidRPr="00DE20A7">
        <w:rPr>
          <w:noProof/>
          <w:lang w:eastAsia="hr-HR"/>
        </w:rPr>
        <w:drawing>
          <wp:inline distR="0" distL="0" distB="0" distT="0">
            <wp:extent cy="742950" cx="590550"/>
            <wp:effectExtent b="0" r="0" t="0" l="0"/>
            <wp:docPr descr="Opis: GRB-RH-jpg" name="Slika 1" id="1"/>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90550"/>
                    </a:xfrm>
                    <a:prstGeom prst="rect">
                      <a:avLst/>
                    </a:prstGeom>
                    <a:noFill/>
                    <a:ln>
                      <a:noFill/>
                    </a:ln>
                  </pic:spPr>
                </pic:pic>
              </a:graphicData>
            </a:graphic>
          </wp:inline>
        </w:drawing>
      </w:r>
      <w:r w:rsidRPr="00DE20A7">
        <w:rPr>
          <w:rFonts w:cs="Times New Roman" w:eastAsia="Times New Roman" w:hAnsi="Times New Roman" w:ascii="Times New Roman"/>
          <w:sz w:val="24"/>
          <w:szCs w:val="24"/>
          <w:lang w:eastAsia="hr-HR"/>
        </w:rPr>
        <w:tab/>
      </w:r>
    </w:p>
    <w:p w:rsidRDefault="00462AEB" w:rsidP="00462AEB" w:rsidR="00462AEB" w:rsidRPr="00DE20A7">
      <w:pPr>
        <w:spacing w:lineRule="auto" w:line="240" w:after="0"/>
        <w:rPr>
          <w:rFonts w:cs="Times New Roman" w:eastAsia="Times New Roman" w:hAnsi="Times New Roman" w:ascii="Times New Roman"/>
          <w:noProof/>
          <w:color w:val="0000FF"/>
          <w:sz w:val="24"/>
          <w:szCs w:val="24"/>
          <w:lang w:eastAsia="hr-HR"/>
        </w:rPr>
      </w:pPr>
      <w:r w:rsidRPr="00DE20A7">
        <w:rPr>
          <w:rFonts w:cs="Times New Roman" w:eastAsia="Times New Roman" w:hAnsi="Times New Roman" w:ascii="Times New Roman"/>
          <w:sz w:val="24"/>
          <w:szCs w:val="24"/>
          <w:lang w:eastAsia="hr-HR"/>
        </w:rPr>
        <w:t xml:space="preserve">           Republika Hrvatska</w:t>
      </w:r>
    </w:p>
    <w:p w:rsidRDefault="00462AEB" w:rsidP="00462AEB" w:rsidR="00462AEB" w:rsidRPr="00DE20A7">
      <w:pPr>
        <w:spacing w:lineRule="auto" w:line="240" w:after="0"/>
        <w:rPr>
          <w:rFonts w:cs="Times New Roman" w:eastAsia="Times New Roman" w:hAnsi="Times New Roman" w:ascii="Times New Roman"/>
          <w:sz w:val="24"/>
          <w:szCs w:val="24"/>
          <w:lang w:eastAsia="hr-HR"/>
        </w:rPr>
      </w:pPr>
      <w:r w:rsidRPr="00DE20A7">
        <w:rPr>
          <w:rFonts w:cs="Times New Roman" w:eastAsia="Times New Roman" w:hAnsi="Times New Roman" w:ascii="Times New Roman"/>
          <w:sz w:val="24"/>
          <w:szCs w:val="24"/>
          <w:lang w:eastAsia="hr-HR"/>
        </w:rPr>
        <w:t xml:space="preserve">         Trgovački sud u Zadru</w:t>
      </w:r>
    </w:p>
    <w:p w:rsidRDefault="00462AEB" w:rsidP="00462AEB" w:rsidR="00462AEB" w:rsidRPr="00DE20A7">
      <w:pPr>
        <w:spacing w:lineRule="auto" w:line="240" w:after="0"/>
        <w:rPr>
          <w:rFonts w:cs="Times New Roman" w:eastAsia="Times New Roman" w:hAnsi="Times New Roman" w:ascii="Times New Roman"/>
          <w:sz w:val="24"/>
          <w:szCs w:val="24"/>
          <w:lang w:eastAsia="hr-HR"/>
        </w:rPr>
      </w:pPr>
      <w:r w:rsidRPr="00DE20A7">
        <w:rPr>
          <w:rFonts w:cs="Times New Roman" w:eastAsia="Times New Roman" w:hAnsi="Times New Roman" w:ascii="Times New Roman"/>
          <w:sz w:val="24"/>
          <w:szCs w:val="24"/>
          <w:lang w:eastAsia="hr-HR"/>
        </w:rPr>
        <w:t xml:space="preserve">    Zadar, Dr. Franje Tuđmana 35</w:t>
      </w:r>
    </w:p>
    <w:p w:rsidRDefault="00462AEB" w:rsidP="00462AEB" w:rsidR="00462AEB" w:rsidRPr="00DE20A7">
      <w:pPr>
        <w:spacing w:lineRule="auto" w:line="240" w:after="0"/>
        <w:rPr>
          <w:rFonts w:cs="Times New Roman" w:eastAsia="Times New Roman" w:hAnsi="Times New Roman" w:ascii="Times New Roman"/>
          <w:sz w:val="24"/>
          <w:szCs w:val="24"/>
          <w:lang w:eastAsia="hr-HR"/>
        </w:rPr>
      </w:pPr>
    </w:p>
    <w:p w:rsidRDefault="00462AEB" w:rsidP="00462AEB" w:rsidR="00462AEB" w:rsidRPr="00DE20A7">
      <w:pPr>
        <w:spacing w:lineRule="auto" w:line="240" w:after="0"/>
        <w:rPr>
          <w:rFonts w:cs="Times New Roman" w:eastAsia="Times New Roman" w:hAnsi="Times New Roman" w:ascii="Times New Roman"/>
          <w:sz w:val="24"/>
          <w:szCs w:val="24"/>
          <w:lang w:eastAsia="hr-HR"/>
        </w:rPr>
      </w:pPr>
    </w:p>
    <w:p w:rsidRDefault="00462AEB" w:rsidP="00462AEB" w:rsidR="00462AEB" w:rsidRPr="00DE20A7">
      <w:pPr>
        <w:tabs>
          <w:tab w:pos="4677" w:val="center"/>
          <w:tab w:pos="7407" w:val="left"/>
        </w:tabs>
        <w:spacing w:lineRule="auto" w:line="240" w:after="0"/>
        <w:rPr>
          <w:rFonts w:cs="Times New Roman" w:eastAsia="Times New Roman" w:hAnsi="Times New Roman" w:ascii="Times New Roman"/>
          <w:sz w:val="24"/>
          <w:szCs w:val="24"/>
          <w:lang w:eastAsia="hr-HR"/>
        </w:rPr>
      </w:pPr>
      <w:r w:rsidRPr="00DE20A7">
        <w:rPr>
          <w:rFonts w:cs="Times New Roman" w:eastAsia="Times New Roman" w:hAnsi="Times New Roman" w:ascii="Times New Roman"/>
          <w:sz w:val="24"/>
          <w:szCs w:val="24"/>
          <w:lang w:eastAsia="hr-HR"/>
        </w:rPr>
        <w:tab/>
        <w:t>R E P</w:t>
      </w:r>
      <w:r w:rsidR="00CB37B2">
        <w:rPr>
          <w:rFonts w:cs="Times New Roman" w:eastAsia="Times New Roman" w:hAnsi="Times New Roman" w:ascii="Times New Roman"/>
          <w:sz w:val="24"/>
          <w:szCs w:val="24"/>
          <w:lang w:eastAsia="hr-HR"/>
        </w:rPr>
        <w:t xml:space="preserve"> </w:t>
      </w:r>
      <w:r w:rsidRPr="00DE20A7">
        <w:rPr>
          <w:rFonts w:cs="Times New Roman" w:eastAsia="Times New Roman" w:hAnsi="Times New Roman" w:ascii="Times New Roman"/>
          <w:sz w:val="24"/>
          <w:szCs w:val="24"/>
          <w:lang w:eastAsia="hr-HR"/>
        </w:rPr>
        <w:t>U B L I K A   H R V A T S K A</w:t>
      </w:r>
      <w:r w:rsidRPr="00DE20A7">
        <w:rPr>
          <w:rFonts w:cs="Times New Roman" w:eastAsia="Times New Roman" w:hAnsi="Times New Roman" w:ascii="Times New Roman"/>
          <w:sz w:val="24"/>
          <w:szCs w:val="24"/>
          <w:lang w:eastAsia="hr-HR"/>
        </w:rPr>
        <w:tab/>
      </w:r>
    </w:p>
    <w:p w:rsidRDefault="00462AEB" w:rsidP="00462AEB" w:rsidR="00462AEB" w:rsidRPr="00DE20A7">
      <w:pPr>
        <w:spacing w:lineRule="auto" w:line="240" w:after="0"/>
        <w:jc w:val="center"/>
        <w:rPr>
          <w:rFonts w:cs="Times New Roman" w:eastAsia="Times New Roman" w:hAnsi="Times New Roman" w:ascii="Times New Roman"/>
          <w:sz w:val="24"/>
          <w:szCs w:val="24"/>
          <w:lang w:eastAsia="hr-HR"/>
        </w:rPr>
      </w:pPr>
    </w:p>
    <w:p w:rsidRDefault="00462AEB" w:rsidP="00462AEB" w:rsidR="00462AEB" w:rsidRPr="00DE20A7">
      <w:pPr>
        <w:spacing w:lineRule="auto" w:line="240" w:after="0"/>
        <w:jc w:val="center"/>
        <w:rPr>
          <w:rFonts w:cs="Times New Roman" w:eastAsia="Times New Roman" w:hAnsi="Times New Roman" w:ascii="Times New Roman"/>
          <w:sz w:val="24"/>
          <w:szCs w:val="24"/>
          <w:lang w:eastAsia="hr-HR"/>
        </w:rPr>
      </w:pPr>
      <w:r w:rsidRPr="00DE20A7">
        <w:rPr>
          <w:rFonts w:cs="Times New Roman" w:eastAsia="Times New Roman" w:hAnsi="Times New Roman" w:ascii="Times New Roman"/>
          <w:sz w:val="24"/>
          <w:szCs w:val="24"/>
          <w:lang w:eastAsia="hr-HR"/>
        </w:rPr>
        <w:t xml:space="preserve">Z A K L J U Č A K </w:t>
      </w:r>
    </w:p>
    <w:p w:rsidRDefault="00462AEB" w:rsidP="00462AEB" w:rsidR="00462AEB" w:rsidRPr="00DE20A7">
      <w:pPr>
        <w:spacing w:lineRule="auto" w:line="240" w:after="0"/>
        <w:jc w:val="center"/>
        <w:rPr>
          <w:rFonts w:cs="Times New Roman" w:eastAsia="Times New Roman" w:hAnsi="Times New Roman" w:ascii="Times New Roman"/>
          <w:sz w:val="24"/>
          <w:szCs w:val="24"/>
          <w:lang w:eastAsia="hr-HR"/>
        </w:rPr>
      </w:pPr>
    </w:p>
    <w:p w:rsidRDefault="00462AEB" w:rsidP="00462AEB" w:rsidR="00462AEB" w:rsidRPr="00DE20A7">
      <w:pPr>
        <w:spacing w:lineRule="auto" w:line="240" w:after="0"/>
        <w:jc w:val="both"/>
        <w:rPr>
          <w:rFonts w:cs="Times New Roman" w:eastAsia="Times New Roman" w:hAnsi="Times New Roman" w:ascii="Times New Roman"/>
          <w:sz w:val="24"/>
          <w:szCs w:val="24"/>
          <w:lang w:eastAsia="hr-HR"/>
        </w:rPr>
      </w:pPr>
      <w:r w:rsidRPr="00DE20A7">
        <w:rPr>
          <w:rFonts w:cs="Times New Roman" w:eastAsia="Times New Roman" w:hAnsi="Times New Roman" w:ascii="Times New Roman"/>
          <w:sz w:val="24"/>
          <w:szCs w:val="24"/>
          <w:lang w:eastAsia="hr-HR"/>
        </w:rPr>
        <w:tab/>
        <w:t xml:space="preserve">Trgovački sud u Zadru, po sudskoj savjetnici Anamariji Kovačić Milković, odlučujući o zahtjevu Financijske agencije, Regionalnog centra Split, Podružnica Šibenik, od </w:t>
      </w:r>
      <w:r w:rsidR="00D403E5">
        <w:rPr>
          <w:rFonts w:cs="Times New Roman" w:eastAsia="Times New Roman" w:hAnsi="Times New Roman" w:ascii="Times New Roman"/>
          <w:sz w:val="24"/>
          <w:szCs w:val="24"/>
          <w:lang w:eastAsia="hr-HR"/>
        </w:rPr>
        <w:t>24</w:t>
      </w:r>
      <w:r>
        <w:rPr>
          <w:rFonts w:cs="Times New Roman" w:eastAsia="Times New Roman" w:hAnsi="Times New Roman" w:ascii="Times New Roman"/>
          <w:sz w:val="24"/>
          <w:szCs w:val="24"/>
          <w:lang w:eastAsia="hr-HR"/>
        </w:rPr>
        <w:t xml:space="preserve">. </w:t>
      </w:r>
      <w:r w:rsidR="00D403E5">
        <w:rPr>
          <w:rFonts w:cs="Times New Roman" w:eastAsia="Times New Roman" w:hAnsi="Times New Roman" w:ascii="Times New Roman"/>
          <w:sz w:val="24"/>
          <w:szCs w:val="24"/>
          <w:lang w:eastAsia="hr-HR"/>
        </w:rPr>
        <w:t>kolovoza</w:t>
      </w:r>
      <w:r w:rsidRPr="00DE20A7">
        <w:rPr>
          <w:rFonts w:cs="Times New Roman" w:eastAsia="Times New Roman" w:hAnsi="Times New Roman" w:ascii="Times New Roman"/>
          <w:sz w:val="24"/>
          <w:szCs w:val="24"/>
          <w:lang w:eastAsia="hr-HR"/>
        </w:rPr>
        <w:t xml:space="preserve"> 2018. za provedbu skraćenog stečajnoga postupka nad dužnikom</w:t>
      </w:r>
      <w:r w:rsidRPr="00DE20A7">
        <w:rPr>
          <w:rFonts w:cs="Times New Roman" w:eastAsia="Times New Roman" w:hAnsi="Times New Roman" w:ascii="Times New Roman"/>
          <w:sz w:val="24"/>
          <w:szCs w:val="20"/>
          <w:lang w:eastAsia="hr-HR"/>
        </w:rPr>
        <w:t xml:space="preserve"> </w:t>
      </w:r>
      <w:r w:rsidR="00D403E5">
        <w:rPr>
          <w:rFonts w:cs="Times New Roman" w:hAnsi="Times New Roman" w:ascii="Times New Roman"/>
          <w:sz w:val="24"/>
          <w:szCs w:val="24"/>
        </w:rPr>
        <w:t xml:space="preserve">BLUESAIL d.o.o., </w:t>
      </w:r>
      <w:proofErr w:type="spellStart"/>
      <w:r w:rsidR="00D403E5">
        <w:rPr>
          <w:rFonts w:cs="Times New Roman" w:hAnsi="Times New Roman" w:ascii="Times New Roman"/>
          <w:sz w:val="24"/>
          <w:szCs w:val="24"/>
        </w:rPr>
        <w:t>Grebaštica</w:t>
      </w:r>
      <w:proofErr w:type="spellEnd"/>
      <w:r w:rsidR="00D403E5">
        <w:rPr>
          <w:rFonts w:cs="Times New Roman" w:hAnsi="Times New Roman" w:ascii="Times New Roman"/>
          <w:sz w:val="24"/>
          <w:szCs w:val="24"/>
        </w:rPr>
        <w:t xml:space="preserve">, </w:t>
      </w:r>
      <w:proofErr w:type="spellStart"/>
      <w:r w:rsidR="00D403E5">
        <w:rPr>
          <w:rFonts w:cs="Times New Roman" w:hAnsi="Times New Roman" w:ascii="Times New Roman"/>
          <w:sz w:val="24"/>
          <w:szCs w:val="24"/>
        </w:rPr>
        <w:t>Šperadići</w:t>
      </w:r>
      <w:proofErr w:type="spellEnd"/>
      <w:r w:rsidR="00D403E5">
        <w:rPr>
          <w:rFonts w:cs="Times New Roman" w:hAnsi="Times New Roman" w:ascii="Times New Roman"/>
          <w:sz w:val="24"/>
          <w:szCs w:val="24"/>
        </w:rPr>
        <w:t xml:space="preserve"> 74, OIB: 55158835224</w:t>
      </w:r>
      <w:r w:rsidRPr="00DE20A7">
        <w:rPr>
          <w:rFonts w:cs="Times New Roman" w:eastAsia="Times New Roman" w:hAnsi="Times New Roman" w:ascii="Times New Roman"/>
          <w:color w:themeColor="text1" w:val="000000"/>
          <w:sz w:val="24"/>
          <w:szCs w:val="24"/>
          <w:lang w:eastAsia="hr-HR"/>
        </w:rPr>
        <w:t xml:space="preserve">, </w:t>
      </w:r>
      <w:r w:rsidR="003B2B41">
        <w:rPr>
          <w:rFonts w:cs="Times New Roman" w:eastAsia="Times New Roman" w:hAnsi="Times New Roman" w:ascii="Times New Roman"/>
          <w:color w:themeColor="text1" w:val="000000"/>
          <w:sz w:val="24"/>
          <w:szCs w:val="24"/>
          <w:lang w:eastAsia="hr-HR"/>
        </w:rPr>
        <w:t>22</w:t>
      </w:r>
      <w:r w:rsidRPr="00DE20A7">
        <w:rPr>
          <w:rFonts w:cs="Times New Roman" w:eastAsia="Times New Roman" w:hAnsi="Times New Roman" w:ascii="Times New Roman"/>
          <w:color w:themeColor="text1" w:val="000000"/>
          <w:sz w:val="24"/>
          <w:szCs w:val="24"/>
          <w:lang w:eastAsia="hr-HR"/>
        </w:rPr>
        <w:t xml:space="preserve">. </w:t>
      </w:r>
      <w:r w:rsidR="00665FF8">
        <w:rPr>
          <w:rFonts w:cs="Times New Roman" w:eastAsia="Times New Roman" w:hAnsi="Times New Roman" w:ascii="Times New Roman"/>
          <w:color w:themeColor="text1" w:val="000000"/>
          <w:sz w:val="24"/>
          <w:szCs w:val="24"/>
          <w:lang w:eastAsia="hr-HR"/>
        </w:rPr>
        <w:t>studenog</w:t>
      </w:r>
      <w:r w:rsidRPr="00DE20A7">
        <w:rPr>
          <w:rFonts w:cs="Times New Roman" w:eastAsia="Times New Roman" w:hAnsi="Times New Roman" w:ascii="Times New Roman"/>
          <w:color w:themeColor="text1" w:val="000000"/>
          <w:sz w:val="24"/>
          <w:szCs w:val="24"/>
          <w:lang w:eastAsia="hr-HR"/>
        </w:rPr>
        <w:t xml:space="preserve"> </w:t>
      </w:r>
      <w:r w:rsidRPr="00DE20A7">
        <w:rPr>
          <w:rFonts w:cs="Times New Roman" w:eastAsia="Times New Roman" w:hAnsi="Times New Roman" w:ascii="Times New Roman"/>
          <w:sz w:val="24"/>
          <w:szCs w:val="24"/>
          <w:lang w:eastAsia="hr-HR"/>
        </w:rPr>
        <w:t xml:space="preserve">2018., </w:t>
      </w:r>
    </w:p>
    <w:p w:rsidRDefault="00462AEB" w:rsidP="00462AEB" w:rsidR="00462AEB" w:rsidRPr="00DE20A7">
      <w:pPr>
        <w:spacing w:lineRule="auto" w:line="240" w:after="0"/>
        <w:jc w:val="both"/>
        <w:rPr>
          <w:rFonts w:cs="Times New Roman" w:eastAsia="Times New Roman" w:hAnsi="Times New Roman" w:ascii="Times New Roman"/>
          <w:sz w:val="24"/>
          <w:szCs w:val="24"/>
          <w:lang w:eastAsia="hr-HR"/>
        </w:rPr>
      </w:pPr>
    </w:p>
    <w:p w:rsidRDefault="00462AEB" w:rsidP="00462AEB" w:rsidR="00462AEB" w:rsidRPr="00DE20A7">
      <w:pPr>
        <w:spacing w:lineRule="auto" w:line="240" w:after="0"/>
        <w:jc w:val="center"/>
        <w:rPr>
          <w:rFonts w:cs="Times New Roman" w:eastAsia="Times New Roman" w:hAnsi="Times New Roman" w:ascii="Times New Roman"/>
          <w:sz w:val="24"/>
          <w:szCs w:val="24"/>
          <w:lang w:eastAsia="hr-HR"/>
        </w:rPr>
      </w:pPr>
      <w:r w:rsidRPr="00DE20A7">
        <w:rPr>
          <w:rFonts w:cs="Times New Roman" w:eastAsia="Times New Roman" w:hAnsi="Times New Roman" w:ascii="Times New Roman"/>
          <w:sz w:val="24"/>
          <w:szCs w:val="24"/>
          <w:lang w:eastAsia="hr-HR"/>
        </w:rPr>
        <w:t>z a k l j u č i o  j e</w:t>
      </w:r>
    </w:p>
    <w:p w:rsidRDefault="00462AEB" w:rsidP="00462AEB" w:rsidR="00462AEB" w:rsidRPr="00DE20A7">
      <w:pPr>
        <w:spacing w:lineRule="auto" w:line="240" w:after="0"/>
        <w:jc w:val="both"/>
        <w:rPr>
          <w:rFonts w:cs="Times New Roman" w:eastAsia="Times New Roman" w:hAnsi="Times New Roman" w:ascii="Times New Roman"/>
          <w:sz w:val="24"/>
          <w:szCs w:val="24"/>
          <w:lang w:eastAsia="hr-HR"/>
        </w:rPr>
      </w:pPr>
    </w:p>
    <w:p w:rsidRDefault="00462AEB" w:rsidP="00462AEB" w:rsidR="00462AEB" w:rsidRPr="00DE20A7">
      <w:pPr>
        <w:spacing w:lineRule="auto" w:line="240" w:after="0"/>
        <w:ind w:firstLine="708"/>
        <w:jc w:val="both"/>
        <w:rPr>
          <w:rFonts w:cs="Times New Roman" w:eastAsia="Times New Roman" w:hAnsi="Times New Roman" w:ascii="Times New Roman"/>
          <w:sz w:val="24"/>
          <w:szCs w:val="24"/>
          <w:lang w:eastAsia="hr-HR"/>
        </w:rPr>
      </w:pPr>
      <w:r w:rsidRPr="00DE20A7">
        <w:rPr>
          <w:rFonts w:cs="Times New Roman" w:eastAsia="Times New Roman" w:hAnsi="Times New Roman" w:ascii="Times New Roman"/>
          <w:sz w:val="24"/>
          <w:szCs w:val="24"/>
          <w:lang w:eastAsia="hr-HR"/>
        </w:rPr>
        <w:t xml:space="preserve">I. </w:t>
      </w:r>
      <w:r w:rsidR="003B2B41">
        <w:rPr>
          <w:rFonts w:cs="Times New Roman" w:eastAsia="Times New Roman" w:hAnsi="Times New Roman" w:ascii="Times New Roman"/>
          <w:sz w:val="24"/>
          <w:szCs w:val="24"/>
          <w:lang w:eastAsia="hr-HR"/>
        </w:rPr>
        <w:t>Ponovno se poziva</w:t>
      </w:r>
      <w:r w:rsidRPr="00DE20A7">
        <w:rPr>
          <w:rFonts w:cs="Times New Roman" w:eastAsia="Times New Roman" w:hAnsi="Times New Roman" w:ascii="Times New Roman"/>
          <w:sz w:val="24"/>
          <w:szCs w:val="24"/>
          <w:lang w:eastAsia="hr-HR"/>
        </w:rPr>
        <w:t xml:space="preserv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462AEB" w:rsidP="00462AEB" w:rsidR="00462AEB" w:rsidRPr="00DE20A7">
      <w:pPr>
        <w:spacing w:lineRule="auto" w:line="240" w:after="0"/>
        <w:ind w:firstLine="708"/>
        <w:jc w:val="both"/>
        <w:rPr>
          <w:rFonts w:cs="Times New Roman" w:eastAsia="Times New Roman" w:hAnsi="Times New Roman" w:ascii="Times New Roman"/>
          <w:sz w:val="24"/>
          <w:szCs w:val="24"/>
          <w:lang w:eastAsia="hr-HR"/>
        </w:rPr>
      </w:pPr>
    </w:p>
    <w:p w:rsidRDefault="00462AEB" w:rsidP="00462AEB" w:rsidR="00462AEB" w:rsidRPr="00DE20A7">
      <w:pPr>
        <w:spacing w:lineRule="auto" w:line="240" w:after="0"/>
        <w:ind w:firstLine="708"/>
        <w:jc w:val="both"/>
        <w:rPr>
          <w:rFonts w:cs="Times New Roman" w:eastAsia="Times New Roman" w:hAnsi="Times New Roman" w:ascii="Times New Roman"/>
          <w:sz w:val="24"/>
          <w:szCs w:val="24"/>
          <w:lang w:eastAsia="hr-HR"/>
        </w:rPr>
      </w:pPr>
      <w:r w:rsidRPr="00DE20A7">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462AEB" w:rsidP="00462AEB" w:rsidR="00462AEB" w:rsidRPr="00DE20A7">
      <w:pPr>
        <w:spacing w:lineRule="auto" w:line="240" w:after="0"/>
        <w:jc w:val="both"/>
        <w:rPr>
          <w:rFonts w:cs="Times New Roman" w:eastAsia="Times New Roman" w:hAnsi="Times New Roman" w:ascii="Times New Roman"/>
          <w:sz w:val="24"/>
          <w:szCs w:val="24"/>
          <w:lang w:eastAsia="hr-HR"/>
        </w:rPr>
      </w:pPr>
    </w:p>
    <w:p w:rsidRDefault="00462AEB" w:rsidP="00462AEB" w:rsidR="00462AEB" w:rsidRPr="00DE20A7">
      <w:pPr>
        <w:spacing w:lineRule="auto" w:line="240" w:after="0"/>
        <w:ind w:firstLine="708"/>
        <w:jc w:val="both"/>
        <w:rPr>
          <w:rFonts w:cs="Times New Roman" w:eastAsia="Times New Roman" w:hAnsi="Times New Roman" w:ascii="Times New Roman"/>
          <w:sz w:val="24"/>
          <w:szCs w:val="24"/>
          <w:lang w:eastAsia="hr-HR"/>
        </w:rPr>
      </w:pPr>
    </w:p>
    <w:p w:rsidRDefault="00462AEB" w:rsidP="00462AEB" w:rsidR="00462AEB" w:rsidRPr="00DE20A7">
      <w:pPr>
        <w:spacing w:lineRule="auto" w:line="240" w:after="0"/>
        <w:jc w:val="center"/>
        <w:rPr>
          <w:rFonts w:cs="Times New Roman" w:eastAsia="Times New Roman" w:hAnsi="Times New Roman" w:ascii="Times New Roman"/>
          <w:color w:themeColor="text1" w:val="000000"/>
          <w:sz w:val="24"/>
          <w:szCs w:val="24"/>
          <w:lang w:eastAsia="hr-HR"/>
        </w:rPr>
      </w:pPr>
      <w:r w:rsidRPr="00DE20A7">
        <w:rPr>
          <w:rFonts w:cs="Times New Roman" w:eastAsia="Times New Roman" w:hAnsi="Times New Roman" w:ascii="Times New Roman"/>
          <w:sz w:val="24"/>
          <w:szCs w:val="24"/>
          <w:lang w:eastAsia="hr-HR"/>
        </w:rPr>
        <w:t xml:space="preserve">U </w:t>
      </w:r>
      <w:r w:rsidRPr="00DE20A7">
        <w:rPr>
          <w:rFonts w:cs="Times New Roman" w:eastAsia="Times New Roman" w:hAnsi="Times New Roman" w:ascii="Times New Roman"/>
          <w:color w:themeColor="text1" w:val="000000"/>
          <w:sz w:val="24"/>
          <w:szCs w:val="24"/>
          <w:lang w:eastAsia="hr-HR"/>
        </w:rPr>
        <w:t xml:space="preserve">Zadru </w:t>
      </w:r>
      <w:r w:rsidR="003B2B41">
        <w:rPr>
          <w:rFonts w:cs="Times New Roman" w:hAnsi="Times New Roman" w:ascii="Times New Roman"/>
          <w:color w:themeColor="text1" w:val="000000"/>
          <w:sz w:val="24"/>
          <w:szCs w:val="24"/>
        </w:rPr>
        <w:t>22</w:t>
      </w:r>
      <w:r w:rsidRPr="00DE20A7">
        <w:rPr>
          <w:rFonts w:cs="Times New Roman" w:hAnsi="Times New Roman" w:ascii="Times New Roman"/>
          <w:color w:themeColor="text1" w:val="000000"/>
          <w:sz w:val="24"/>
          <w:szCs w:val="24"/>
        </w:rPr>
        <w:t xml:space="preserve">. </w:t>
      </w:r>
      <w:r w:rsidR="00665FF8">
        <w:rPr>
          <w:rFonts w:cs="Times New Roman" w:hAnsi="Times New Roman" w:ascii="Times New Roman"/>
          <w:color w:themeColor="text1" w:val="000000"/>
          <w:sz w:val="24"/>
          <w:szCs w:val="24"/>
        </w:rPr>
        <w:t>studenog</w:t>
      </w:r>
      <w:r w:rsidRPr="00DE20A7">
        <w:rPr>
          <w:rFonts w:cs="Times New Roman" w:hAnsi="Times New Roman" w:ascii="Times New Roman"/>
          <w:color w:themeColor="text1" w:val="000000"/>
          <w:sz w:val="24"/>
          <w:szCs w:val="24"/>
        </w:rPr>
        <w:t xml:space="preserve"> </w:t>
      </w:r>
      <w:r w:rsidRPr="00DE20A7">
        <w:rPr>
          <w:rFonts w:cs="Times New Roman" w:hAnsi="Times New Roman" w:ascii="Times New Roman"/>
          <w:sz w:val="24"/>
          <w:szCs w:val="24"/>
        </w:rPr>
        <w:t>2018</w:t>
      </w:r>
      <w:r w:rsidRPr="00DE20A7">
        <w:rPr>
          <w:rFonts w:cs="Times New Roman" w:eastAsia="Times New Roman" w:hAnsi="Times New Roman" w:ascii="Times New Roman"/>
          <w:color w:themeColor="text1" w:val="000000"/>
          <w:sz w:val="24"/>
          <w:szCs w:val="24"/>
          <w:lang w:eastAsia="hr-HR"/>
        </w:rPr>
        <w:t xml:space="preserve">. </w:t>
      </w:r>
    </w:p>
    <w:p w:rsidRDefault="00462AEB" w:rsidP="00462AEB" w:rsidR="00462AEB" w:rsidRPr="00DE20A7">
      <w:pPr>
        <w:tabs>
          <w:tab w:pos="6840" w:val="left"/>
        </w:tabs>
        <w:spacing w:lineRule="auto" w:line="240" w:after="0"/>
        <w:rPr>
          <w:rFonts w:cs="Times New Roman" w:eastAsia="Times New Roman" w:hAnsi="Times New Roman" w:ascii="Times New Roman"/>
          <w:color w:themeColor="text1" w:val="000000"/>
          <w:sz w:val="24"/>
          <w:szCs w:val="24"/>
          <w:lang w:eastAsia="hr-HR"/>
        </w:rPr>
      </w:pPr>
    </w:p>
    <w:p w:rsidRDefault="003C7839" w:rsidP="003B2B41" w:rsidR="00462AEB" w:rsidRPr="00DE20A7">
      <w:pPr>
        <w:tabs>
          <w:tab w:pos="6840" w:val="left"/>
        </w:tabs>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Za točnost </w:t>
      </w:r>
      <w:proofErr w:type="spellStart"/>
      <w:r>
        <w:rPr>
          <w:rFonts w:cs="Times New Roman" w:eastAsia="Times New Roman" w:hAnsi="Times New Roman" w:ascii="Times New Roman"/>
          <w:sz w:val="24"/>
          <w:szCs w:val="24"/>
          <w:lang w:eastAsia="hr-HR"/>
        </w:rPr>
        <w:t>otpravka</w:t>
      </w:r>
      <w:proofErr w:type="spellEnd"/>
      <w:r>
        <w:rPr>
          <w:rFonts w:cs="Times New Roman" w:eastAsia="Times New Roman" w:hAnsi="Times New Roman" w:ascii="Times New Roman"/>
          <w:sz w:val="24"/>
          <w:szCs w:val="24"/>
          <w:lang w:eastAsia="hr-HR"/>
        </w:rPr>
        <w:t>-ovlaštena službenica</w:t>
      </w:r>
      <w:r>
        <w:rPr>
          <w:rFonts w:cs="Times New Roman" w:eastAsia="Times New Roman" w:hAnsi="Times New Roman" w:ascii="Times New Roman"/>
          <w:sz w:val="24"/>
          <w:szCs w:val="24"/>
          <w:lang w:eastAsia="hr-HR"/>
        </w:rPr>
        <w:tab/>
      </w:r>
      <w:r w:rsidR="00462AEB" w:rsidRPr="00DE20A7">
        <w:rPr>
          <w:rFonts w:cs="Times New Roman" w:eastAsia="Times New Roman" w:hAnsi="Times New Roman" w:ascii="Times New Roman"/>
          <w:sz w:val="24"/>
          <w:szCs w:val="24"/>
          <w:lang w:eastAsia="hr-HR"/>
        </w:rPr>
        <w:t xml:space="preserve">        Sudska savjetnica</w:t>
      </w:r>
    </w:p>
    <w:p w:rsidRDefault="003C7839" w:rsidP="003B2B41" w:rsidR="00462AEB" w:rsidRPr="00DE20A7">
      <w:pPr>
        <w:tabs>
          <w:tab w:pos="0" w:val="left"/>
        </w:tabs>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Anita Basa</w:t>
      </w:r>
      <w:r>
        <w:rPr>
          <w:rFonts w:cs="Times New Roman" w:eastAsia="Times New Roman" w:hAnsi="Times New Roman" w:ascii="Times New Roman"/>
          <w:sz w:val="24"/>
          <w:szCs w:val="24"/>
          <w:lang w:eastAsia="hr-HR"/>
        </w:rPr>
        <w:tab/>
      </w:r>
      <w:r w:rsidR="00665FF8">
        <w:rPr>
          <w:rFonts w:cs="Times New Roman" w:eastAsia="Times New Roman" w:hAnsi="Times New Roman" w:ascii="Times New Roman"/>
          <w:sz w:val="24"/>
          <w:szCs w:val="24"/>
          <w:lang w:eastAsia="hr-HR"/>
        </w:rPr>
        <w:tab/>
      </w:r>
      <w:r w:rsidR="00665FF8">
        <w:rPr>
          <w:rFonts w:cs="Times New Roman" w:eastAsia="Times New Roman" w:hAnsi="Times New Roman" w:ascii="Times New Roman"/>
          <w:sz w:val="24"/>
          <w:szCs w:val="24"/>
          <w:lang w:eastAsia="hr-HR"/>
        </w:rPr>
        <w:tab/>
      </w:r>
      <w:r w:rsidR="00462AEB" w:rsidRPr="00DE20A7">
        <w:rPr>
          <w:rFonts w:cs="Times New Roman" w:eastAsia="Times New Roman" w:hAnsi="Times New Roman" w:ascii="Times New Roman"/>
          <w:sz w:val="24"/>
          <w:szCs w:val="24"/>
          <w:lang w:eastAsia="hr-HR"/>
        </w:rPr>
        <w:tab/>
      </w:r>
      <w:r w:rsidR="003B2B41">
        <w:rPr>
          <w:rFonts w:cs="Times New Roman" w:eastAsia="Times New Roman" w:hAnsi="Times New Roman" w:ascii="Times New Roman"/>
          <w:sz w:val="24"/>
          <w:szCs w:val="24"/>
          <w:lang w:eastAsia="hr-HR"/>
        </w:rPr>
        <w:tab/>
        <w:t xml:space="preserve">                   </w:t>
      </w:r>
      <w:r w:rsidR="00462AEB" w:rsidRPr="00DE20A7">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     </w:t>
      </w:r>
      <w:r w:rsidR="00462AEB" w:rsidRPr="00DE20A7">
        <w:rPr>
          <w:rFonts w:cs="Times New Roman" w:eastAsia="Times New Roman" w:hAnsi="Times New Roman" w:ascii="Times New Roman"/>
          <w:sz w:val="24"/>
          <w:szCs w:val="24"/>
          <w:lang w:eastAsia="hr-HR"/>
        </w:rPr>
        <w:t>Anamarija Kovačić Milković</w:t>
      </w:r>
      <w:r>
        <w:rPr>
          <w:rFonts w:cs="Times New Roman" w:eastAsia="Times New Roman" w:hAnsi="Times New Roman" w:ascii="Times New Roman"/>
          <w:sz w:val="24"/>
          <w:szCs w:val="24"/>
          <w:lang w:eastAsia="hr-HR"/>
        </w:rPr>
        <w:t>, v.r.</w:t>
      </w:r>
    </w:p>
    <w:p w:rsidRDefault="00462AEB" w:rsidP="00462AEB" w:rsidR="00462AEB" w:rsidRPr="00DE20A7">
      <w:pPr>
        <w:spacing w:lineRule="auto" w:line="240" w:after="0"/>
        <w:jc w:val="right"/>
        <w:rPr>
          <w:rFonts w:cs="Times New Roman" w:eastAsia="Times New Roman" w:hAnsi="Times New Roman" w:ascii="Times New Roman"/>
          <w:sz w:val="24"/>
          <w:szCs w:val="24"/>
          <w:lang w:eastAsia="hr-HR"/>
        </w:rPr>
      </w:pPr>
      <w:r w:rsidRPr="00DE20A7">
        <w:rPr>
          <w:rFonts w:cs="Times New Roman" w:eastAsia="Times New Roman" w:hAnsi="Times New Roman" w:ascii="Times New Roman"/>
          <w:sz w:val="24"/>
          <w:szCs w:val="24"/>
          <w:lang w:eastAsia="hr-HR"/>
        </w:rPr>
        <w:t xml:space="preserve"> </w:t>
      </w:r>
    </w:p>
    <w:p w:rsidRDefault="00462AEB" w:rsidP="00462AEB" w:rsidR="00462AEB" w:rsidRPr="00DE20A7">
      <w:pPr>
        <w:spacing w:lineRule="auto" w:line="240" w:after="0"/>
        <w:jc w:val="both"/>
        <w:rPr>
          <w:rFonts w:cs="Times New Roman" w:eastAsia="Times New Roman" w:hAnsi="Times New Roman" w:ascii="Times New Roman"/>
          <w:sz w:val="24"/>
          <w:szCs w:val="24"/>
          <w:lang w:eastAsia="hr-HR"/>
        </w:rPr>
      </w:pPr>
    </w:p>
    <w:p w:rsidRDefault="00462AEB" w:rsidP="00462AEB" w:rsidR="00462AEB" w:rsidRPr="00DE20A7">
      <w:pPr>
        <w:spacing w:lineRule="auto" w:line="240" w:after="0"/>
        <w:jc w:val="both"/>
        <w:rPr>
          <w:rFonts w:cs="Times New Roman" w:eastAsia="Times New Roman" w:hAnsi="Times New Roman" w:ascii="Times New Roman"/>
          <w:sz w:val="24"/>
          <w:szCs w:val="24"/>
          <w:lang w:eastAsia="hr-HR"/>
        </w:rPr>
      </w:pPr>
      <w:r w:rsidRPr="00DE20A7">
        <w:rPr>
          <w:rFonts w:cs="Times New Roman" w:eastAsia="Times New Roman" w:hAnsi="Times New Roman" w:ascii="Times New Roman"/>
          <w:sz w:val="24"/>
          <w:szCs w:val="24"/>
          <w:lang w:eastAsia="hr-HR"/>
        </w:rPr>
        <w:t>Uputa o pravnom lijeku</w:t>
      </w:r>
    </w:p>
    <w:p w:rsidRDefault="00462AEB" w:rsidP="00462AEB" w:rsidR="00462AEB" w:rsidRPr="00DE20A7">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DE20A7">
        <w:rPr>
          <w:rFonts w:cs="Times New Roman" w:eastAsia="Times New Roman" w:hAnsi="Times New Roman" w:ascii="Times New Roman"/>
          <w:sz w:val="24"/>
          <w:szCs w:val="24"/>
          <w:lang w:eastAsia="hr-HR"/>
        </w:rPr>
        <w:t>Protiv ovog zaključka nije dopuštena žalba.</w:t>
      </w:r>
    </w:p>
    <w:p w:rsidRDefault="00462AEB" w:rsidP="00462AEB" w:rsidR="00462AEB" w:rsidRPr="00DE20A7">
      <w:pPr>
        <w:spacing w:lineRule="auto" w:line="240" w:after="0"/>
        <w:jc w:val="both"/>
        <w:rPr>
          <w:rFonts w:cs="Times New Roman" w:eastAsia="Times New Roman" w:hAnsi="Times New Roman" w:ascii="Times New Roman"/>
          <w:sz w:val="24"/>
          <w:szCs w:val="24"/>
          <w:lang w:eastAsia="hr-HR"/>
        </w:rPr>
      </w:pPr>
    </w:p>
    <w:p w:rsidRDefault="00462AEB" w:rsidP="00462AEB" w:rsidR="00462AEB" w:rsidRPr="00DE20A7">
      <w:pPr>
        <w:spacing w:lineRule="auto" w:line="240" w:after="0"/>
        <w:jc w:val="both"/>
        <w:rPr>
          <w:rFonts w:cs="Times New Roman" w:eastAsia="Times New Roman" w:hAnsi="Times New Roman" w:ascii="Times New Roman"/>
          <w:sz w:val="24"/>
          <w:szCs w:val="24"/>
          <w:lang w:eastAsia="hr-HR"/>
        </w:rPr>
      </w:pPr>
    </w:p>
    <w:p w:rsidRDefault="00462AEB" w:rsidP="00462AEB" w:rsidR="00462AEB" w:rsidRPr="00DE20A7">
      <w:pPr>
        <w:spacing w:lineRule="auto" w:line="240" w:after="0"/>
        <w:jc w:val="both"/>
        <w:rPr>
          <w:rFonts w:cs="Times New Roman" w:eastAsia="Times New Roman" w:hAnsi="Times New Roman" w:ascii="Times New Roman"/>
          <w:sz w:val="24"/>
          <w:szCs w:val="24"/>
          <w:lang w:eastAsia="hr-HR"/>
        </w:rPr>
      </w:pPr>
      <w:r w:rsidRPr="00DE20A7">
        <w:rPr>
          <w:rFonts w:cs="Times New Roman" w:eastAsia="Times New Roman" w:hAnsi="Times New Roman" w:ascii="Times New Roman"/>
          <w:sz w:val="24"/>
          <w:szCs w:val="24"/>
          <w:lang w:eastAsia="hr-HR"/>
        </w:rPr>
        <w:t xml:space="preserve">                                                                                                                                                                                                    DN-a:</w:t>
      </w:r>
    </w:p>
    <w:p w:rsidRDefault="00462AEB" w:rsidP="00462AEB" w:rsidR="00462AEB" w:rsidRPr="00DE20A7">
      <w:pPr>
        <w:numPr>
          <w:ilvl w:val="0"/>
          <w:numId w:val="1"/>
        </w:numPr>
        <w:overflowPunct w:val="false"/>
        <w:autoSpaceDE w:val="false"/>
        <w:autoSpaceDN w:val="false"/>
        <w:adjustRightInd w:val="false"/>
        <w:spacing w:lineRule="auto" w:line="240" w:after="0"/>
        <w:contextualSpacing/>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e-Oglasne</w:t>
      </w:r>
      <w:r w:rsidRPr="00DE20A7">
        <w:rPr>
          <w:rFonts w:cs="Times New Roman" w:eastAsia="Times New Roman" w:hAnsi="Times New Roman" w:ascii="Times New Roman"/>
          <w:sz w:val="24"/>
          <w:szCs w:val="24"/>
          <w:lang w:eastAsia="hr-HR"/>
        </w:rPr>
        <w:t xml:space="preserve"> ploče suda </w:t>
      </w:r>
    </w:p>
    <w:p w:rsidRDefault="00462AEB" w:rsidP="00462AEB" w:rsidR="00462AEB" w:rsidRPr="00DE20A7">
      <w:pPr>
        <w:numPr>
          <w:ilvl w:val="0"/>
          <w:numId w:val="1"/>
        </w:numPr>
        <w:overflowPunct w:val="false"/>
        <w:autoSpaceDE w:val="false"/>
        <w:autoSpaceDN w:val="false"/>
        <w:adjustRightInd w:val="false"/>
        <w:spacing w:lineRule="auto" w:line="240" w:after="0"/>
        <w:contextualSpacing/>
        <w:jc w:val="both"/>
        <w:textAlignment w:val="baseline"/>
        <w:rPr>
          <w:rFonts w:cs="Times New Roman" w:eastAsia="Times New Roman" w:hAnsi="Times New Roman" w:ascii="Times New Roman"/>
          <w:sz w:val="24"/>
          <w:szCs w:val="24"/>
          <w:lang w:eastAsia="hr-HR"/>
        </w:rPr>
      </w:pPr>
      <w:r w:rsidRPr="00DE20A7">
        <w:rPr>
          <w:rFonts w:cs="Times New Roman" w:eastAsia="Times New Roman" w:hAnsi="Times New Roman" w:ascii="Times New Roman"/>
          <w:sz w:val="24"/>
          <w:szCs w:val="24"/>
          <w:lang w:eastAsia="hr-HR"/>
        </w:rPr>
        <w:t>u spis.</w:t>
      </w:r>
    </w:p>
    <w:p w:rsidRDefault="00462AEB" w:rsidP="00462AEB" w:rsidR="00462AEB" w:rsidRPr="00DE20A7"/>
    <w:p w:rsidRDefault="00462AEB" w:rsidP="00462AEB" w:rsidR="00462AEB"/>
    <w:p w:rsidRDefault="00DB052E" w:rsidR="00DB052E"/>
    <w:sectPr w:rsidR="00DB052E">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2AEB" w:rsidP="00462AEB" w:rsidR="00462AEB">
      <w:pPr>
        <w:spacing w:lineRule="auto" w:line="240" w:after="0"/>
      </w:pPr>
      <w:r>
        <w:separator/>
      </w:r>
    </w:p>
  </w:endnote>
  <w:endnote w:id="0" w:type="continuationSeparator">
    <w:p w:rsidRDefault="00462AEB" w:rsidP="00462AEB" w:rsidR="00462AE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2AEB" w:rsidP="00462AEB" w:rsidR="00462AEB">
      <w:pPr>
        <w:spacing w:lineRule="auto" w:line="240" w:after="0"/>
      </w:pPr>
      <w:r>
        <w:separator/>
      </w:r>
    </w:p>
  </w:footnote>
  <w:footnote w:id="0" w:type="continuationSeparator">
    <w:p w:rsidRDefault="00462AEB" w:rsidP="00462AEB" w:rsidR="00462AE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62AEB" w:rsidP="00DE20A7" w:rsidR="00DE20A7">
    <w:pPr>
      <w:tabs>
        <w:tab w:pos="9072" w:val="right"/>
      </w:tabs>
      <w:spacing w:lineRule="auto" w:line="240" w:after="0"/>
      <w:rPr>
        <w:noProof/>
        <w:lang w:eastAsia="hr-HR"/>
      </w:rPr>
    </w:pPr>
    <w:r>
      <w:rPr>
        <w:rFonts w:cs="Times New Roman" w:eastAsia="Times New Roman" w:hAnsi="Times New Roman" w:ascii="Times New Roman"/>
        <w:sz w:val="24"/>
        <w:szCs w:val="24"/>
        <w:lang w:eastAsia="hr-HR"/>
      </w:rPr>
      <w:tab/>
      <w:t xml:space="preserve"> Poslovni broj: 6 St-</w:t>
    </w:r>
    <w:r w:rsidR="00D403E5">
      <w:rPr>
        <w:rFonts w:cs="Times New Roman" w:eastAsia="Times New Roman" w:hAnsi="Times New Roman" w:ascii="Times New Roman"/>
        <w:sz w:val="24"/>
        <w:szCs w:val="24"/>
        <w:lang w:eastAsia="hr-HR"/>
      </w:rPr>
      <w:t>299</w:t>
    </w:r>
    <w:r>
      <w:rPr>
        <w:rFonts w:cs="Times New Roman" w:eastAsia="Times New Roman" w:hAnsi="Times New Roman" w:ascii="Times New Roman"/>
        <w:sz w:val="24"/>
        <w:szCs w:val="24"/>
        <w:lang w:eastAsia="hr-HR"/>
      </w:rPr>
      <w:t>/2018-</w:t>
    </w:r>
    <w:r w:rsidR="003B2B41">
      <w:rPr>
        <w:rFonts w:cs="Times New Roman" w:eastAsia="Times New Roman" w:hAnsi="Times New Roman" w:ascii="Times New Roman"/>
        <w:sz w:val="24"/>
        <w:szCs w:val="24"/>
        <w:lang w:eastAsia="hr-HR"/>
      </w:rPr>
      <w:t>9</w:t>
    </w:r>
  </w:p>
  <w:p w:rsidRDefault="003C7839" w:rsidR="00DE20A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62AEB"/>
    <w:rsid w:val="003B2B41"/>
    <w:rsid w:val="003C7839"/>
    <w:rsid w:val="00462AEB"/>
    <w:rsid w:val="00665FF8"/>
    <w:rsid w:val="00CB37B2"/>
    <w:rsid w:val="00D403E5"/>
    <w:rsid w:val="00DB052E"/>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62AEB"/>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62AEB"/>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462AEB"/>
  </w:style>
  <w:style w:styleId="Tekstbalonia" w:type="paragraph">
    <w:name w:val="Balloon Text"/>
    <w:basedOn w:val="Normal"/>
    <w:link w:val="TekstbaloniaChar"/>
    <w:uiPriority w:val="99"/>
    <w:semiHidden/>
    <w:unhideWhenUsed/>
    <w:rsid w:val="00462A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62AEB"/>
    <w:rPr>
      <w:rFonts w:cs="Tahoma" w:hAnsi="Tahoma" w:ascii="Tahoma"/>
      <w:sz w:val="16"/>
      <w:szCs w:val="16"/>
    </w:rPr>
  </w:style>
  <w:style w:styleId="Podnoje" w:type="paragraph">
    <w:name w:val="footer"/>
    <w:basedOn w:val="Normal"/>
    <w:link w:val="PodnojeChar"/>
    <w:uiPriority w:val="99"/>
    <w:unhideWhenUsed/>
    <w:rsid w:val="00462AEB"/>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462AEB"/>
  </w:style>
  <w:style w:styleId="Tekstrezerviranogmjesta" w:type="character">
    <w:name w:val="Placeholder Text"/>
    <w:basedOn w:val="Zadanifontodlomka"/>
    <w:uiPriority w:val="99"/>
    <w:semiHidden/>
    <w:rsid w:val="003C7839"/>
    <w:rPr>
      <w:color w:val="808080"/>
      <w:bdr w:space="0" w:sz="0" w:color="auto" w:val="none"/>
      <w:shd w:fill="auto" w:color="auto" w:val="clear"/>
    </w:rPr>
  </w:style>
  <w:style w:customStyle="true" w:styleId="eSPISCCParagraphDefaultFont" w:type="character">
    <w:name w:val="eSPIS_CC_Paragraph Default Font"/>
    <w:basedOn w:val="Zadanifontodlomka"/>
    <w:rsid w:val="003C7839"/>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3C7839"/>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3C7839"/>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C7839"/>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62AEB"/>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62AEB"/>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462AEB"/>
  </w:style>
  <w:style w:styleId="Tekstbalonia" w:type="paragraph">
    <w:name w:val="Balloon Text"/>
    <w:basedOn w:val="Normal"/>
    <w:link w:val="TekstbaloniaChar"/>
    <w:uiPriority w:val="99"/>
    <w:semiHidden/>
    <w:unhideWhenUsed/>
    <w:rsid w:val="00462A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62AEB"/>
    <w:rPr>
      <w:rFonts w:ascii="Tahoma" w:cs="Tahoma" w:hAnsi="Tahoma"/>
      <w:sz w:val="16"/>
      <w:szCs w:val="16"/>
    </w:rPr>
  </w:style>
  <w:style w:styleId="Podnoje" w:type="paragraph">
    <w:name w:val="footer"/>
    <w:basedOn w:val="Normal"/>
    <w:link w:val="PodnojeChar"/>
    <w:uiPriority w:val="99"/>
    <w:unhideWhenUsed/>
    <w:rsid w:val="00462AEB"/>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462AEB"/>
  </w:style>
  <w:style w:styleId="Tekstrezerviranogmjesta" w:type="character">
    <w:name w:val="Placeholder Text"/>
    <w:basedOn w:val="Zadanifontodlomka"/>
    <w:uiPriority w:val="99"/>
    <w:semiHidden/>
    <w:rsid w:val="003C7839"/>
    <w:rPr>
      <w:color w:val="808080"/>
      <w:bdr w:color="auto" w:space="0" w:sz="0" w:val="none"/>
      <w:shd w:color="auto" w:fill="auto" w:val="clear"/>
    </w:rPr>
  </w:style>
  <w:style w:customStyle="1" w:styleId="eSPISCCParagraphDefaultFont" w:type="character">
    <w:name w:val="eSPIS_CC_Paragraph Default Font"/>
    <w:basedOn w:val="Zadanifontodlomka"/>
    <w:rsid w:val="003C7839"/>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3C7839"/>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3C7839"/>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C7839"/>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studenog 2018.</izvorni_sadrzaj>
    <derivirana_varijabla naziv="DomainObject.DatumDonosenjaOdluke_1">22.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299</izvorni_sadrzaj>
    <derivirana_varijabla naziv="DomainObject.Predmet.Broj_1">299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kolovoza 2018.</izvorni_sadrzaj>
    <derivirana_varijabla naziv="DomainObject.Predmet.DatumOsnivanja_1">24.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St-299/2018</izvorni_sadrzaj>
    <derivirana_varijabla naziv="DomainObject.Predmet.OznakaBroj_1">St-299/2018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BLUESAIL d.o.o. za nautički turizam i management, turistička agencija</izvorni_sadrzaj>
    <derivirana_varijabla naziv="DomainObject.Predmet.ProtustrankaFormated_1">  BLUESAIL d.o.o. za nautički turizam i management, turistička agencija</derivirana_varijabla>
  </DomainObject.Predmet.ProtustrankaFormated>
  <DomainObject.Predmet.ProtustrankaFormatedOIB>
    <izvorni_sadrzaj>  BLUESAIL d.o.o. za nautički turizam i management, turistička agencija, OIB 55158835224</izvorni_sadrzaj>
    <derivirana_varijabla naziv="DomainObject.Predmet.ProtustrankaFormatedOIB_1">  BLUESAIL d.o.o. za nautički turizam i management, turistička agencija, OIB 55158835224</derivirana_varijabla>
  </DomainObject.Predmet.ProtustrankaFormatedOIB>
  <DomainObject.Predmet.ProtustrankaFormatedWithAdress>
    <izvorni_sadrzaj> BLUESAIL d.o.o. za nautički turizam i management, turistička agencija, Šparadići 74, 22000 Grebaštica</izvorni_sadrzaj>
    <derivirana_varijabla naziv="DomainObject.Predmet.ProtustrankaFormatedWithAdress_1"> BLUESAIL d.o.o. za nautički turizam i management, turistička agencija, Šparadići 74, 22000 Grebaštica</derivirana_varijabla>
  </DomainObject.Predmet.ProtustrankaFormatedWithAdress>
  <DomainObject.Predmet.ProtustrankaFormatedWithAdressOIB>
    <izvorni_sadrzaj> BLUESAIL d.o.o. za nautički turizam i management, turistička agencija, OIB 55158835224, Šparadići 74, 22000 Grebaštica</izvorni_sadrzaj>
    <derivirana_varijabla naziv="DomainObject.Predmet.ProtustrankaFormatedWithAdressOIB_1"> BLUESAIL d.o.o. za nautički turizam i management, turistička agencija, OIB 55158835224, Šparadići 74, 22000 Grebaštica</derivirana_varijabla>
  </DomainObject.Predmet.ProtustrankaFormatedWithAdressOIB>
  <DomainObject.Predmet.ProtustrankaWithAdress>
    <izvorni_sadrzaj>BLUESAIL d.o.o. za nautički turizam i management, turistička agencija Šparadići 74, 22000 Grebaštica</izvorni_sadrzaj>
    <derivirana_varijabla naziv="DomainObject.Predmet.ProtustrankaWithAdress_1">BLUESAIL d.o.o. za nautički turizam i management, turistička agencija Šparadići 74, 22000 Grebaštica</derivirana_varijabla>
  </DomainObject.Predmet.ProtustrankaWithAdress>
  <DomainObject.Predmet.ProtustrankaWithAdressOIB>
    <izvorni_sadrzaj>BLUESAIL d.o.o. za nautički turizam i management, turistička agencija, OIB 55158835224, Šparadići 74, 22000 Grebaštica</izvorni_sadrzaj>
    <derivirana_varijabla naziv="DomainObject.Predmet.ProtustrankaWithAdressOIB_1">BLUESAIL d.o.o. za nautički turizam i management, turistička agencija, OIB 55158835224, Šparadići 74, 22000 Grebaštica</derivirana_varijabla>
  </DomainObject.Predmet.ProtustrankaWithAdressOIB>
  <DomainObject.Predmet.ProtustrankaNazivFormated>
    <izvorni_sadrzaj>BLUESAIL d.o.o. za nautički turizam i management, turistička agencija</izvorni_sadrzaj>
    <derivirana_varijabla naziv="DomainObject.Predmet.ProtustrankaNazivFormated_1">BLUESAIL d.o.o. za nautički turizam i management, turistička agencija</derivirana_varijabla>
  </DomainObject.Predmet.ProtustrankaNazivFormated>
  <DomainObject.Predmet.ProtustrankaNazivFormatedOIB>
    <izvorni_sadrzaj>BLUESAIL d.o.o. za nautički turizam i management, turistička agencija, OIB 55158835224</izvorni_sadrzaj>
    <derivirana_varijabla naziv="DomainObject.Predmet.ProtustrankaNazivFormatedOIB_1">BLUESAIL d.o.o. za nautički turizam i management, turistička agencija, OIB 55158835224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Fina-Podružnica Šibenik</izvorni_sadrzaj>
    <derivirana_varijabla naziv="DomainObject.Predmet.StrankaFormated_1">  Fina-Podružnica Šibenik</derivirana_varijabla>
  </DomainObject.Predmet.StrankaFormated>
  <DomainObject.Predmet.StrankaFormatedOIB>
    <izvorni_sadrzaj>  Fina-Podružnica Šibenik, OIB 85821130368</izvorni_sadrzaj>
    <derivirana_varijabla naziv="DomainObject.Predmet.StrankaFormatedOIB_1">  Fina-Podružnica Šibenik, OIB 85821130368</derivirana_varijabla>
  </DomainObject.Predmet.StrankaFormatedOIB>
  <DomainObject.Predmet.StrankaFormatedWithAdress>
    <izvorni_sadrzaj> Fina-Podružnica Šibenik, Perivoj Luje Marune 1, 22000 Šibenik</izvorni_sadrzaj>
    <derivirana_varijabla naziv="DomainObject.Predmet.StrankaFormatedWithAdress_1"> Fina-Podružnica Šibenik, Perivoj Luje Marune 1, 22000 Šibenik</derivirana_varijabla>
  </DomainObject.Predmet.StrankaFormatedWithAdress>
  <DomainObject.Predmet.StrankaFormatedWithAdressOIB>
    <izvorni_sadrzaj> Fina-Podružnica Šibenik, OIB 85821130368, Perivoj Luje Marune 1, 22000 Šibenik</izvorni_sadrzaj>
    <derivirana_varijabla naziv="DomainObject.Predmet.StrankaFormatedWithAdressOIB_1"> Fina-Podružnica Šibenik, OIB 85821130368, Perivoj Luje Marune 1, 22000 Šibenik</derivirana_varijabla>
  </DomainObject.Predmet.StrankaFormatedWithAdressOIB>
  <DomainObject.Predmet.StrankaWithAdress>
    <izvorni_sadrzaj>Fina-Podružnica Šibenik Perivoj Luje Marune 1,22000 Šibenik</izvorni_sadrzaj>
    <derivirana_varijabla naziv="DomainObject.Predmet.StrankaWithAdress_1">Fina-Podružnica Šibenik Perivoj Luje Marune 1,22000 Šibenik</derivirana_varijabla>
  </DomainObject.Predmet.StrankaWithAdress>
  <DomainObject.Predmet.StrankaWithAdressOIB>
    <izvorni_sadrzaj>Fina-Podružnica Šibenik, OIB 85821130368, Perivoj Luje Marune 1,22000 Šibenik</izvorni_sadrzaj>
    <derivirana_varijabla naziv="DomainObject.Predmet.StrankaWithAdressOIB_1">Fina-Podružnica Šibenik, OIB 85821130368, Perivoj Luje Marune 1,22000 Šibenik</derivirana_varijabla>
  </DomainObject.Predmet.StrankaWithAdressOIB>
  <DomainObject.Predmet.StrankaNazivFormated>
    <izvorni_sadrzaj>Fina-Podružnica Šibenik</izvorni_sadrzaj>
    <derivirana_varijabla naziv="DomainObject.Predmet.StrankaNazivFormated_1">Fina-Podružnica Šibenik</derivirana_varijabla>
  </DomainObject.Predmet.StrankaNazivFormated>
  <DomainObject.Predmet.StrankaNazivFormatedOIB>
    <izvorni_sadrzaj>Fina-Podružnica Šibenik, OIB 85821130368</izvorni_sadrzaj>
    <derivirana_varijabla naziv="DomainObject.Predmet.StrankaNazivFormatedOIB_1">Fina-Podružnica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Fina-Podružnica Šibenik</item>
    </izvorni_sadrzaj>
    <derivirana_varijabla naziv="DomainObject.Predmet.StrankaListFormated_1">
      <item>Fina-Podružnica Šibenik</item>
    </derivirana_varijabla>
  </DomainObject.Predmet.StrankaListFormated>
  <DomainObject.Predmet.StrankaListFormatedOIB>
    <izvorni_sadrzaj>
      <item>Fina-Podružnica Šibenik, OIB 85821130368</item>
    </izvorni_sadrzaj>
    <derivirana_varijabla naziv="DomainObject.Predmet.StrankaListFormatedOIB_1">
      <item>Fina-Podružnica Šibenik, OIB 85821130368</item>
    </derivirana_varijabla>
  </DomainObject.Predmet.StrankaListFormatedOIB>
  <DomainObject.Predmet.StrankaListFormatedWithAdress>
    <izvorni_sadrzaj>
      <item>Fina-Podružnica Šibenik, Perivoj Luje Marune 1, 22000 Šibenik</item>
    </izvorni_sadrzaj>
    <derivirana_varijabla naziv="DomainObject.Predmet.StrankaListFormatedWithAdress_1">
      <item>Fina-Podružnica Šibenik, Perivoj Luje Marune 1, 22000 Šibenik</item>
    </derivirana_varijabla>
  </DomainObject.Predmet.StrankaListFormatedWithAdress>
  <DomainObject.Predmet.StrankaListFormatedWithAdressOIB>
    <izvorni_sadrzaj>
      <item>Fina-Podružnica Šibenik, OIB 85821130368, Perivoj Luje Marune 1, 22000 Šibenik</item>
    </izvorni_sadrzaj>
    <derivirana_varijabla naziv="DomainObject.Predmet.StrankaListFormatedWithAdressOIB_1">
      <item>Fina-Podružnica Šibenik, OIB 85821130368, Perivoj Luje Marune 1, 22000 Šibenik</item>
    </derivirana_varijabla>
  </DomainObject.Predmet.StrankaListFormatedWithAdressOIB>
  <DomainObject.Predmet.StrankaListNazivFormated>
    <izvorni_sadrzaj>
      <item>Fina-Podružnica Šibenik</item>
    </izvorni_sadrzaj>
    <derivirana_varijabla naziv="DomainObject.Predmet.StrankaListNazivFormated_1">
      <item>Fina-Podružnica Šibenik</item>
    </derivirana_varijabla>
  </DomainObject.Predmet.StrankaListNazivFormated>
  <DomainObject.Predmet.StrankaListNazivFormatedOIB>
    <izvorni_sadrzaj>
      <item>Fina-Podružnica Šibenik, OIB 85821130368</item>
    </izvorni_sadrzaj>
    <derivirana_varijabla naziv="DomainObject.Predmet.StrankaListNazivFormatedOIB_1">
      <item>Fina-Podružnica Šibenik, OIB 85821130368</item>
    </derivirana_varijabla>
  </DomainObject.Predmet.StrankaListNazivFormatedOIB>
  <DomainObject.Predmet.ProtuStrankaListFormated>
    <izvorni_sadrzaj>
      <item>BLUESAIL d.o.o. za nautički turizam i management, turistička agencija</item>
    </izvorni_sadrzaj>
    <derivirana_varijabla naziv="DomainObject.Predmet.ProtuStrankaListFormated_1">
      <item>BLUESAIL d.o.o. za nautički turizam i management, turistička agencija</item>
    </derivirana_varijabla>
  </DomainObject.Predmet.ProtuStrankaListFormated>
  <DomainObject.Predmet.ProtuStrankaListFormatedOIB>
    <izvorni_sadrzaj>
      <item>BLUESAIL d.o.o. za nautički turizam i management, turistička agencija, OIB 55158835224</item>
    </izvorni_sadrzaj>
    <derivirana_varijabla naziv="DomainObject.Predmet.ProtuStrankaListFormatedOIB_1">
      <item>BLUESAIL d.o.o. za nautički turizam i management, turistička agencija, OIB 55158835224</item>
    </derivirana_varijabla>
  </DomainObject.Predmet.ProtuStrankaListFormatedOIB>
  <DomainObject.Predmet.ProtuStrankaListFormatedWithAdress>
    <izvorni_sadrzaj>
      <item>BLUESAIL d.o.o. za nautički turizam i management, turistička agencija, Šparadići 74, 22000 Grebaštica</item>
    </izvorni_sadrzaj>
    <derivirana_varijabla naziv="DomainObject.Predmet.ProtuStrankaListFormatedWithAdress_1">
      <item>BLUESAIL d.o.o. za nautički turizam i management, turistička agencija, Šparadići 74, 22000 Grebaštica</item>
    </derivirana_varijabla>
  </DomainObject.Predmet.ProtuStrankaListFormatedWithAdress>
  <DomainObject.Predmet.ProtuStrankaListFormatedWithAdressOIB>
    <izvorni_sadrzaj>
      <item>BLUESAIL d.o.o. za nautički turizam i management, turistička agencija, OIB 55158835224, Šparadići 74, 22000 Grebaštica</item>
    </izvorni_sadrzaj>
    <derivirana_varijabla naziv="DomainObject.Predmet.ProtuStrankaListFormatedWithAdressOIB_1">
      <item>BLUESAIL d.o.o. za nautički turizam i management, turistička agencija, OIB 55158835224, Šparadići 74, 22000 Grebaštica</item>
    </derivirana_varijabla>
  </DomainObject.Predmet.ProtuStrankaListFormatedWithAdressOIB>
  <DomainObject.Predmet.ProtuStrankaListNazivFormated>
    <izvorni_sadrzaj>
      <item>BLUESAIL d.o.o. za nautički turizam i management, turistička agencija</item>
    </izvorni_sadrzaj>
    <derivirana_varijabla naziv="DomainObject.Predmet.ProtuStrankaListNazivFormated_1">
      <item>BLUESAIL d.o.o. za nautički turizam i management, turistička agencija</item>
    </derivirana_varijabla>
  </DomainObject.Predmet.ProtuStrankaListNazivFormated>
  <DomainObject.Predmet.ProtuStrankaListNazivFormatedOIB>
    <izvorni_sadrzaj>
      <item>BLUESAIL d.o.o. za nautički turizam i management, turistička agencija, OIB 55158835224</item>
    </izvorni_sadrzaj>
    <derivirana_varijabla naziv="DomainObject.Predmet.ProtuStrankaListNazivFormatedOIB_1">
      <item>BLUESAIL d.o.o. za nautički turizam i management, turistička agencija, OIB 55158835224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studenog 2018.</izvorni_sadrzaj>
    <derivirana_varijabla naziv="DomainObject.Datum_1">22. studenog 2018.</derivirana_varijabla>
  </DomainObject.Datum>
  <DomainObject.PoslovniBrojDokumenta>
    <izvorni_sadrzaj/>
    <derivirana_varijabla naziv="DomainObject.PoslovniBrojDokumenta_1"/>
  </DomainObject.PoslovniBrojDokumenta>
  <DomainObject.Predmet.StrankaIDrugi>
    <izvorni_sadrzaj>Fina-Podružnica Šibenik</izvorni_sadrzaj>
    <derivirana_varijabla naziv="DomainObject.Predmet.StrankaIDrugi_1">Fina-Podružnica Šibenik</derivirana_varijabla>
  </DomainObject.Predmet.StrankaIDrugi>
  <DomainObject.Predmet.ProtustrankaIDrugi>
    <izvorni_sadrzaj>BLUESAIL d.o.o. za nautički turizam i management, turistička agencija</izvorni_sadrzaj>
    <derivirana_varijabla naziv="DomainObject.Predmet.ProtustrankaIDrugi_1">BLUESAIL d.o.o. za nautički turizam i management, turistička agencija</derivirana_varijabla>
  </DomainObject.Predmet.ProtustrankaIDrugi>
  <DomainObject.Predmet.StrankaIDrugiAdressOIB>
    <izvorni_sadrzaj>Fina-Podružnica Šibenik, OIB 85821130368, Perivoj Luje Marune 1, 22000 Šibenik</izvorni_sadrzaj>
    <derivirana_varijabla naziv="DomainObject.Predmet.StrankaIDrugiAdressOIB_1">Fina-Podružnica Šibenik, OIB 85821130368, Perivoj Luje Marune 1, 22000 Šibenik</derivirana_varijabla>
  </DomainObject.Predmet.StrankaIDrugiAdressOIB>
  <DomainObject.Predmet.ProtustrankaIDrugiAdressOIB>
    <izvorni_sadrzaj>BLUESAIL d.o.o. za nautički turizam i management, turistička agencija, OIB 55158835224, Šparadići 74, 22000 Grebaštica</izvorni_sadrzaj>
    <derivirana_varijabla naziv="DomainObject.Predmet.ProtustrankaIDrugiAdressOIB_1">BLUESAIL d.o.o. za nautički turizam i management, turistička agencija, OIB 55158835224, Šparadići 74, 22000 Grebaštica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Fina-Podružnica Šibenik</item>
      <item>BLUESAIL d.o.o. za nautički turizam i management, turistička agencija</item>
    </izvorni_sadrzaj>
    <derivirana_varijabla naziv="DomainObject.Predmet.SudioniciListNaziv_1">
      <item>Fina-Podružnica Šibenik</item>
      <item>BLUESAIL d.o.o. za nautički turizam i management, turistička agencija</item>
    </derivirana_varijabla>
  </DomainObject.Predmet.SudioniciListNaziv>
  <DomainObject.Predmet.SudioniciListAdressOIB>
    <izvorni_sadrzaj>
      <item>Fina-Podružnica Šibenik, OIB 85821130368, Perivoj Luje Marune 1,22000 Šibenik</item>
      <item>BLUESAIL d.o.o. za nautički turizam i management, turistička agencija, OIB 55158835224, Šparadići 74,22000 Grebaštica</item>
    </izvorni_sadrzaj>
    <derivirana_varijabla naziv="DomainObject.Predmet.SudioniciListAdressOIB_1">
      <item>Fina-Podružnica Šibenik, OIB 85821130368, Perivoj Luje Marune 1,22000 Šibenik</item>
      <item>BLUESAIL d.o.o. za nautički turizam i management, turistička agencija, OIB 55158835224, Šparadići 74,22000 Grebaštica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55158835224</item>
    </izvorni_sadrzaj>
    <derivirana_varijabla naziv="DomainObject.Predmet.SudioniciListNazivOIB_1">
      <item>, OIB 85821130368</item>
      <item>, OIB 55158835224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21. rujna 2018.</izvorni_sadrzaj>
    <derivirana_varijabla naziv="DomainObject.PredzadnjaOdlukaIzPredmeta.DatumDonosenjaOdluke_1">21. rujna 2018.</derivirana_varijabla>
  </DomainObject.PredzadnjaOdlukaIzPredmeta.DatumDonosenjaOdluke>
  <DomainObject.PredzadnjaOdlukaIzPredmeta.Oznaka>
    <izvorni_sadrzaj>St-299/2018-5</izvorni_sadrzaj>
    <derivirana_varijabla naziv="DomainObject.PredzadnjaOdlukaIzPredmeta.Oznaka_1">St-299/2018-5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205</properties:Words>
  <properties:Characters>1029</properties:Characters>
  <properties:Lines>43</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2018-11-19T07:46:00Z</dcterms:created>
  <dc:creator>wsadmin</dc:creator>
  <cp:lastModifiedBy>Anita Ivandić</cp:lastModifiedBy>
  <cp:lastPrinted>2018-11-22T08:10:00Z</cp:lastPrinted>
  <dcterms:modified xmlns:xsi="http://www.w3.org/2001/XMLSchema-instance" xsi:type="dcterms:W3CDTF">2018-11-22T08:28:00Z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(ST-299-18 ŠIBENIK.docx)</vt:lpwstr>
  </prop:property>
  <prop:property name="CC_coloring" pid="4" fmtid="{D5CDD505-2E9C-101B-9397-08002B2CF9AE}">
    <vt:bool>false</vt:bool>
  </prop:property>
  <prop:property name="BrojStranica" pid="5" fmtid="{D5CDD505-2E9C-101B-9397-08002B2CF9AE}">
    <vt:i4>1</vt:i4>
  </prop:property>
</prop:Properties>
</file>