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e1be" w14:paraId="0ebe1be" w:rsidRDefault="00BA0EA9" w:rsidR="00CE1557">
      <w:pPr>
        <w:pStyle w:val="Standard"/>
        <w:jc w:val="center"/>
        <w15:collapsed w:val="false"/>
        <w:rPr>
          <w:rFonts w:eastAsia="Times New Roman" w:hAnsi="Times New Roman" w:ascii="Times New Roman"/>
          <w:b/>
        </w:rPr>
      </w:pPr>
      <w:bookmarkStart w:name="_GoBack" w:id="0"/>
      <w:bookmarkEnd w:id="0"/>
      <w:r>
        <w:rPr>
          <w:rFonts w:eastAsia="Times New Roman" w:hAnsi="Times New Roman" w:ascii="Times New Roman"/>
          <w:b/>
        </w:rPr>
        <w:t>Obrazac 20.</w:t>
      </w:r>
    </w:p>
    <w:p w:rsidRDefault="00CE1557" w:rsidR="00CE1557">
      <w:pPr>
        <w:pStyle w:val="Standard"/>
        <w:jc w:val="center"/>
      </w:pPr>
    </w:p>
    <w:p w:rsidRDefault="00BA0EA9" w:rsidR="00CE1557">
      <w:pPr>
        <w:pStyle w:val="Standard"/>
        <w:jc w:val="center"/>
        <w:rPr>
          <w:rFonts w:eastAsia="Times New Roman" w:hAnsi="Times New Roman" w:ascii="Times New Roman"/>
          <w:b/>
        </w:rPr>
      </w:pPr>
      <w:r>
        <w:rPr>
          <w:rFonts w:eastAsia="Times New Roman" w:hAnsi="Times New Roman" w:ascii="Times New Roman"/>
          <w:b/>
        </w:rPr>
        <w:t>IZVJEŠĆE STEČAJNOGA UPRAVITELJA O TIJEKU STEČAJNOGA POSTUPKA I STANJU STEČAJNE MASE</w:t>
      </w:r>
    </w:p>
    <w:p w:rsidRDefault="00CE1557" w:rsidR="00CE1557">
      <w:pPr>
        <w:pStyle w:val="Standard"/>
        <w:jc w:val="both"/>
      </w:pPr>
    </w:p>
    <w:p w:rsidRDefault="00BA0EA9" w:rsidR="00CE1557">
      <w:pPr>
        <w:pStyle w:val="Standard"/>
        <w:jc w:val="both"/>
      </w:pPr>
      <w:r>
        <w:rPr>
          <w:rFonts w:eastAsia="Times New Roman" w:hAnsi="Times New Roman" w:ascii="Times New Roman"/>
        </w:rPr>
        <w:t xml:space="preserve">Nadležni trgovački sud  - </w:t>
      </w:r>
      <w:r>
        <w:rPr>
          <w:rFonts w:eastAsia="Times New Roman" w:hAnsi="Times New Roman" w:ascii="Times New Roman"/>
          <w:b/>
          <w:bCs/>
        </w:rPr>
        <w:t>TRGOVAČKI SUD U ZAGREBU</w:t>
      </w:r>
    </w:p>
    <w:p w:rsidRDefault="00BA0EA9" w:rsidR="00CE1557">
      <w:pPr>
        <w:pStyle w:val="Standard"/>
        <w:jc w:val="both"/>
        <w:rPr>
          <w:rFonts w:eastAsia="Times New Roman" w:hAnsi="Times New Roman" w:ascii="Times New Roman"/>
        </w:rPr>
      </w:pPr>
      <w:r>
        <w:rPr>
          <w:rFonts w:eastAsia="Times New Roman" w:hAnsi="Times New Roman" w:ascii="Times New Roman"/>
        </w:rPr>
        <w:t>Poslovni broj spisa – 85. St-2694/2016</w:t>
      </w:r>
    </w:p>
    <w:p w:rsidRDefault="00BA0EA9" w:rsidR="00CE1557">
      <w:pPr>
        <w:pStyle w:val="Standard"/>
        <w:jc w:val="both"/>
      </w:pPr>
      <w:r>
        <w:rPr>
          <w:rFonts w:eastAsia="Times New Roman" w:hAnsi="Times New Roman" w:ascii="Times New Roman"/>
        </w:rPr>
        <w:t xml:space="preserve">Dužnik – </w:t>
      </w:r>
      <w:r>
        <w:rPr>
          <w:rFonts w:hAnsi="Times New Roman" w:ascii="Times New Roman"/>
          <w:b/>
        </w:rPr>
        <w:t>CENTAR  ARHITEKTURA d.o.o. u stečaju</w:t>
      </w:r>
    </w:p>
    <w:p w:rsidRDefault="00BA0EA9" w:rsidR="00CE1557">
      <w:pPr>
        <w:pStyle w:val="Standard"/>
        <w:jc w:val="both"/>
      </w:pPr>
      <w:r>
        <w:rPr>
          <w:rFonts w:hAnsi="Times New Roman" w:ascii="Times New Roman"/>
        </w:rPr>
        <w:t xml:space="preserve">               Zagreb, Jazbina 44, OIB: 40788025165</w:t>
      </w:r>
    </w:p>
    <w:p w:rsidRDefault="00CE1557" w:rsidR="00CE1557">
      <w:pPr>
        <w:pStyle w:val="Standard"/>
        <w:jc w:val="both"/>
        <w:rPr>
          <w:rFonts w:eastAsia="Times New Roman" w:hAnsi="Times New Roman" w:ascii="Times New Roman"/>
          <w:b/>
        </w:rPr>
      </w:pPr>
    </w:p>
    <w:p w:rsidRDefault="00BA0EA9" w:rsidR="00CE1557">
      <w:pPr>
        <w:pStyle w:val="Standard"/>
        <w:jc w:val="both"/>
        <w:rPr>
          <w:rFonts w:eastAsia="Times New Roman" w:hAnsi="Times New Roman" w:ascii="Times New Roman"/>
          <w:b/>
          <w:sz w:val="21"/>
          <w:szCs w:val="21"/>
        </w:rPr>
      </w:pPr>
      <w:r>
        <w:rPr>
          <w:rFonts w:eastAsia="Times New Roman" w:hAnsi="Times New Roman" w:ascii="Times New Roman"/>
          <w:b/>
          <w:sz w:val="21"/>
          <w:szCs w:val="21"/>
        </w:rPr>
        <w:t>I.  TIJEK STEČAJNOGA POSTUPKA U RAZDOBLJU OD 20. SRPNJA DO 20. LISTOPADA 2018.</w:t>
      </w:r>
    </w:p>
    <w:p w:rsidRDefault="00CE1557" w:rsidR="00CE1557">
      <w:pPr>
        <w:pStyle w:val="Standard"/>
        <w:jc w:val="both"/>
      </w:pPr>
    </w:p>
    <w:p w:rsidRDefault="00BA0EA9" w:rsidR="00CE1557">
      <w:pPr>
        <w:pStyle w:val="Standard"/>
        <w:ind w:firstLine="708"/>
      </w:pPr>
      <w:r>
        <w:rPr>
          <w:rFonts w:hAnsi="Times New Roman" w:ascii="Times New Roman"/>
        </w:rPr>
        <w:t>U ovršnom predmetu Općinskog građanskog suda u Zagrebu posl. br. Ovr-5508/18 (ranije Ovr-8142/17, Ovr-227/15, Ovr-1014/2013) ovrhovoditelja CENTAR BANKA d.d. u stečaju protiv stečajnog dužnika zakazane su prve dražbe nekretnina i to: za stanove i garaže na adresi  Dugi dol 59 za dan 22. studenoga 2018., a za stanove i garaže na adresi Komarski put 20 za dan 4. prosinca 2018</w:t>
      </w:r>
      <w:r>
        <w:rPr>
          <w:rFonts w:eastAsia="Times New Roman" w:hAnsi="Times New Roman" w:ascii="Times New Roman"/>
          <w:b/>
        </w:rPr>
        <w:tab/>
      </w:r>
    </w:p>
    <w:p w:rsidRDefault="00BA0EA9" w:rsidR="00CE1557">
      <w:pPr>
        <w:pStyle w:val="Standard"/>
      </w:pPr>
      <w:r>
        <w:rPr>
          <w:rFonts w:eastAsia="Times New Roman" w:hAnsi="Times New Roman" w:ascii="Times New Roman"/>
          <w:b/>
        </w:rPr>
        <w:tab/>
      </w:r>
      <w:r>
        <w:rPr>
          <w:rFonts w:eastAsia="Times New Roman" w:hAnsi="Times New Roman" w:ascii="Times New Roman"/>
        </w:rPr>
        <w:t xml:space="preserve">Kao vjerovnik stečajne mase Gradska plinara Zagreb – Opskrba d.o.o. pokrenula je ovršne postupke  putem javnog bilježnika Mladena Ježeka iz  Zagreba. Na rješenja o ovrsi uloženi su prigovori, jer dostavljeni ugovori o opskrbi prirodnim plinom u razdoblju stečaja nisu potpisani od strane stečajnog upravitelja niti dostavljeni distributeru.   </w:t>
      </w:r>
    </w:p>
    <w:p w:rsidRDefault="00CE1557" w:rsidR="00CE1557">
      <w:pPr>
        <w:pStyle w:val="Standard"/>
        <w:rPr>
          <w:rFonts w:eastAsia="Times New Roman" w:hAnsi="Times New Roman" w:ascii="Times New Roman"/>
        </w:rPr>
      </w:pPr>
    </w:p>
    <w:p w:rsidRDefault="00BA0EA9" w:rsidR="00CE1557">
      <w:pPr>
        <w:pStyle w:val="Standard"/>
        <w:ind w:firstLine="708"/>
        <w:jc w:val="both"/>
        <w:rPr>
          <w:rFonts w:eastAsia="Times New Roman" w:hAnsi="Times New Roman" w:ascii="Times New Roman"/>
        </w:rPr>
      </w:pPr>
      <w:r>
        <w:rPr>
          <w:rFonts w:eastAsia="Times New Roman" w:hAnsi="Times New Roman" w:ascii="Times New Roman"/>
        </w:rPr>
        <w:t>Zaključenju stečajnog postupka prethodi unovčenje stečajne mase.</w:t>
      </w:r>
    </w:p>
    <w:p w:rsidRDefault="00CE1557" w:rsidR="00CE1557">
      <w:pPr>
        <w:pStyle w:val="Standard"/>
        <w:rPr>
          <w:rFonts w:eastAsia="Times New Roman" w:hAnsi="Times New Roman" w:ascii="Times New Roman"/>
          <w:b/>
        </w:rPr>
      </w:pPr>
    </w:p>
    <w:p w:rsidRDefault="00BA0EA9" w:rsidR="00CE1557">
      <w:pPr>
        <w:pStyle w:val="Standard"/>
        <w:rPr>
          <w:rFonts w:eastAsia="Times New Roman" w:hAnsi="Times New Roman" w:ascii="Times New Roman"/>
          <w:b/>
        </w:rPr>
      </w:pPr>
      <w:r>
        <w:rPr>
          <w:rFonts w:eastAsia="Times New Roman" w:hAnsi="Times New Roman" w:ascii="Times New Roman"/>
          <w:b/>
        </w:rPr>
        <w:t>II. STANJE STEČAJNE MASE</w:t>
      </w:r>
    </w:p>
    <w:p w:rsidRDefault="00BA0EA9" w:rsidR="00CE1557">
      <w:pPr>
        <w:pStyle w:val="Standard"/>
      </w:pPr>
      <w:r>
        <w:rPr>
          <w:rFonts w:eastAsia="Times New Roman" w:hAnsi="Times New Roman" w:ascii="Times New Roman"/>
          <w:b/>
        </w:rPr>
        <w:tab/>
        <w:t>S</w:t>
      </w:r>
      <w:r>
        <w:rPr>
          <w:rFonts w:eastAsia="Times New Roman" w:hAnsi="Times New Roman" w:ascii="Times New Roman"/>
        </w:rPr>
        <w:t xml:space="preserve">tečajnu masu dužnika čine nekretnine u upisane u zemljišnim knjigama </w:t>
      </w:r>
      <w:r>
        <w:rPr>
          <w:rFonts w:hAnsi="Times New Roman" w:ascii="Times New Roman"/>
        </w:rPr>
        <w:t>Općinskog građanskog suda u Zagrebu, Zemljišnoknjižni odjel Zagreb</w:t>
      </w:r>
      <w:r>
        <w:rPr>
          <w:rFonts w:eastAsia="Times New Roman" w:hAnsi="Times New Roman" w:ascii="Times New Roman"/>
        </w:rPr>
        <w:t xml:space="preserve"> i to:</w:t>
      </w:r>
    </w:p>
    <w:p w:rsidRDefault="00CE1557" w:rsidR="00CE1557">
      <w:pPr>
        <w:pStyle w:val="Standard"/>
      </w:pPr>
    </w:p>
    <w:p w:rsidRDefault="00BA0EA9" w:rsidR="00CE1557">
      <w:pPr>
        <w:pStyle w:val="Standard"/>
        <w:rPr>
          <w:rFonts w:eastAsia="Times New Roman" w:hAnsi="Times New Roman" w:ascii="Times New Roman"/>
          <w:b/>
          <w:bCs/>
          <w:u w:val="single"/>
        </w:rPr>
      </w:pPr>
      <w:r>
        <w:rPr>
          <w:rFonts w:eastAsia="Times New Roman" w:hAnsi="Times New Roman" w:ascii="Times New Roman"/>
          <w:b/>
          <w:bCs/>
          <w:u w:val="single"/>
        </w:rPr>
        <w:t>u Zagrebu, Komarski put 20</w:t>
      </w:r>
    </w:p>
    <w:p w:rsidRDefault="00BA0EA9" w:rsidR="00CE1557">
      <w:pPr>
        <w:pStyle w:val="Standard"/>
        <w:ind w:firstLine="708"/>
        <w:jc w:val="both"/>
        <w:rPr>
          <w:rFonts w:hAnsi="Times New Roman" w:ascii="Times New Roman"/>
        </w:rPr>
      </w:pPr>
      <w:r>
        <w:rPr>
          <w:rFonts w:hAnsi="Times New Roman" w:ascii="Times New Roman"/>
        </w:rPr>
        <w:t>- zk.ul. 100783, k.o. 999901, Vrapče novo, kč.br. 5056/3, u naravi Stambena zgrada br. 20, Komarski put i dvorište, Stambena zgrada br. 20, Komarski put i dvorište, ukupne površine 477 m2, u odnosu na:</w:t>
      </w:r>
    </w:p>
    <w:p w:rsidRDefault="00BA0EA9" w:rsidR="00CE1557">
      <w:pPr>
        <w:pStyle w:val="Standard"/>
        <w:jc w:val="both"/>
        <w:rPr>
          <w:rFonts w:cs="Calibri" w:hAnsi="Times New Roman" w:ascii="Times New Roman"/>
          <w:bCs/>
        </w:rPr>
      </w:pPr>
      <w:r>
        <w:rPr>
          <w:rFonts w:cs="Calibri" w:hAnsi="Times New Roman" w:ascii="Times New Roman"/>
          <w:bCs/>
        </w:rPr>
        <w:t xml:space="preserve">          1. Suvlasnički dio: 1151/10000 (E-1) - "1. stan A u prizemlju, oznake "S1", ukupne netto korisne površine 46,03 m2, a sastoji se od: hodnika površine 4,24 m2, boravka i blagovaonice površine 17,30 m2, sobe površine 9,66 m2, kuhinje površine 4,21 m2, kupaonice površine 3,84 m2, balkona površine 2,53 m2, spremišta površine 1,75 m2 i parkirnog mjesta P10 površine 2,50 m2, u grafičkom dijelu elaborata etažna cjelina S1 označena je sivom bojom",</w:t>
      </w:r>
    </w:p>
    <w:p w:rsidRDefault="00BA0EA9" w:rsidR="00CE1557">
      <w:pPr>
        <w:pStyle w:val="Standard"/>
        <w:jc w:val="both"/>
        <w:rPr>
          <w:rFonts w:cs="Calibri" w:hAnsi="Times New Roman" w:ascii="Times New Roman"/>
          <w:bCs/>
        </w:rPr>
      </w:pPr>
      <w:r>
        <w:rPr>
          <w:rFonts w:cs="Calibri" w:hAnsi="Times New Roman" w:ascii="Times New Roman"/>
          <w:bCs/>
        </w:rPr>
        <w:t xml:space="preserve">       2. Suvlasnički dio: 1175/10000 (E-2) - "1. stan B na prvom katu, oznake "S2", ukupne neto korisne površine 47,00 m2, a sastoji se od:hodnika površine 4,24 m2, boravka i blagovaonice površine 17,45 m2, sobe površine 9,68 m2, kuhinje površine 4,21 m2, kupaonice površine 3,84 m2 balkona površine 2,83 m2 i spremišta površine 2,22 m2 i parkirnog mjesta P4 površine 2,53 m2, u grafičkom dijelu elaborata etažna cjelina S2 označena je žutom bojom",</w:t>
      </w:r>
    </w:p>
    <w:p w:rsidRDefault="00BA0EA9" w:rsidR="00CE1557">
      <w:pPr>
        <w:pStyle w:val="Standard"/>
        <w:ind w:firstLine="708"/>
        <w:jc w:val="both"/>
      </w:pPr>
      <w:r>
        <w:rPr>
          <w:rFonts w:cs="Calibri" w:hAnsi="Times New Roman" w:ascii="Times New Roman"/>
        </w:rPr>
        <w:t xml:space="preserve">3. Suvlasnički </w:t>
      </w:r>
      <w:r>
        <w:rPr>
          <w:rFonts w:cs="Calibri" w:hAnsi="Times New Roman" w:ascii="Times New Roman"/>
          <w:bCs/>
        </w:rPr>
        <w:t>dio: 1148/10000 (E-3)- "1. stan C na prvom katu, oznake "S3", ukupne neto korisne površine 45,91 m2, a sastoji se od: hodnika površine 4,24 m2, boravka i blagovaonice površine 17,30 m2, sobe površine 9,66 m2, kuhinje površine 4,21 m2, kupaonice površine 3,84 m2 balkona površine 2,53 m2 i spremišta površine 1,64 m2 i parkirnog mjesta P9 površine 2,50 m2, u grafičkom dijelu elaborata etažna cjelina S3 označena je narančastom bojom",</w:t>
      </w:r>
    </w:p>
    <w:p w:rsidRDefault="00BA0EA9" w:rsidR="00CE1557">
      <w:pPr>
        <w:pStyle w:val="Standard"/>
        <w:ind w:firstLine="720"/>
        <w:jc w:val="both"/>
        <w:rPr>
          <w:rFonts w:cs="Calibri" w:hAnsi="Times New Roman" w:ascii="Times New Roman"/>
          <w:bCs/>
        </w:rPr>
      </w:pPr>
      <w:r>
        <w:rPr>
          <w:rFonts w:cs="Calibri" w:hAnsi="Times New Roman" w:ascii="Times New Roman"/>
          <w:bCs/>
        </w:rPr>
        <w:lastRenderedPageBreak/>
        <w:t>4. Suvlasnički dio: 730/10000 (E-4) - "1. stan D na prvom katu, oznake "S4", ukupne netto korisne površine 29,19 m2, a sastoji se od: hodnika površine 2,74 m2, boravka i blagovaonice površine 15,00 m2, kuhinje površine 3,68 m2, kupaonice površine 3,60 m2, spremišta površine 1,64 m2 i parkirnog mjesta P2 površine 2,53 m2, u grafičkom dijelu elaborata etažna cjelina S4 označena je tamno plavom bojom",</w:t>
      </w:r>
    </w:p>
    <w:p w:rsidRDefault="00BA0EA9" w:rsidR="00CE1557">
      <w:pPr>
        <w:pStyle w:val="Standard"/>
        <w:ind w:firstLine="720"/>
        <w:jc w:val="both"/>
        <w:rPr>
          <w:rFonts w:cs="Calibri" w:hAnsi="Times New Roman" w:ascii="Times New Roman"/>
          <w:bCs/>
        </w:rPr>
      </w:pPr>
      <w:r>
        <w:rPr>
          <w:rFonts w:cs="Calibri" w:hAnsi="Times New Roman" w:ascii="Times New Roman"/>
          <w:bCs/>
        </w:rPr>
        <w:t>5. Suvlasnički dio: 1227/10000 (E-5) - "1. stan E na drugom katu, oznake "S5", ukupne netto korisne površine 49,06 m2, a sastoji se od: hodnika površine 4,24 m2, boravka i blagovaonice površine 17,45 m2, sobe površine 9,68 m2, kuhinje površine 4,21 m2, kupaonice površine 3,68 m2, balkona površine 2,83 m2, spremišta površine 2,24 m2, parkirnog mjesta P6 površine 2,37 m2 i parkirnog mjesta P7 površine 2,37 m2, u grafičkom dijelu elaborata etažna cjelina S5 označena je crvenom bojom",</w:t>
      </w:r>
    </w:p>
    <w:p w:rsidRDefault="00BA0EA9" w:rsidR="00CE1557">
      <w:pPr>
        <w:pStyle w:val="Standard"/>
        <w:ind w:firstLine="720"/>
        <w:jc w:val="both"/>
        <w:rPr>
          <w:rFonts w:cs="Calibri" w:hAnsi="Times New Roman" w:ascii="Times New Roman"/>
          <w:bCs/>
        </w:rPr>
      </w:pPr>
      <w:r>
        <w:rPr>
          <w:rFonts w:cs="Calibri" w:hAnsi="Times New Roman" w:ascii="Times New Roman"/>
          <w:bCs/>
        </w:rPr>
        <w:t>6. Suvlasnički dio: 1148/10000 (E-6) - "1. stan F na drugom katu, oznake "S6", ukupne netto korisne površine 45,91 m2, a sastoji se od: hodnika površine 4,24 m2, boravka i blagovaonice površine 17,30 m2, sobe površine 9,66 m2, kuhinje površine 4,21 m2, kupaonice površine 3,84 m2, balkona površine 2,53 m2, spremišta površine 1,64 m2 i parkirnog mjesta P8 površine 2,50 m2, u grafičkom dijelu elaborata etažna cjelina S6 označena je zelenom bojom",</w:t>
      </w:r>
    </w:p>
    <w:p w:rsidRDefault="00BA0EA9" w:rsidR="00CE1557">
      <w:pPr>
        <w:pStyle w:val="Standard"/>
        <w:jc w:val="both"/>
        <w:rPr>
          <w:rFonts w:cs="Calibri" w:hAnsi="Times New Roman" w:ascii="Times New Roman"/>
          <w:bCs/>
        </w:rPr>
      </w:pPr>
      <w:r>
        <w:rPr>
          <w:rFonts w:cs="Calibri" w:hAnsi="Times New Roman" w:ascii="Times New Roman"/>
          <w:bCs/>
        </w:rPr>
        <w:t xml:space="preserve"> </w:t>
      </w:r>
      <w:r>
        <w:rPr>
          <w:rFonts w:cs="Calibri" w:hAnsi="Times New Roman" w:ascii="Times New Roman"/>
          <w:bCs/>
        </w:rPr>
        <w:tab/>
        <w:t>7. Suvlasnički dio: 730/10000 (E-7) - "1. stan G na drugom katu, oznake "S7", ukupne netto korisne površine 29,19 m2, a sastoji se od: hodnika površine 2,74 m2, boravka i blagovaonice površine 15,00 m2, kuhinje površine 3,68 m2, kupaonice površine 3,60 m2, spremišta površine 1,64 m2 i parkirnog mjesta P3 površine 2,53 m2, u grafičkom dijelu elaborata etažna cjelina S7 označena je tirkiznom bojom",</w:t>
      </w:r>
    </w:p>
    <w:p w:rsidRDefault="00BA0EA9" w:rsidR="00CE1557">
      <w:pPr>
        <w:pStyle w:val="Standard"/>
        <w:ind w:firstLine="720"/>
        <w:jc w:val="both"/>
        <w:rPr>
          <w:rFonts w:cs="Calibri" w:hAnsi="Times New Roman" w:ascii="Times New Roman"/>
          <w:bCs/>
        </w:rPr>
      </w:pPr>
      <w:r>
        <w:rPr>
          <w:rFonts w:cs="Calibri" w:hAnsi="Times New Roman" w:ascii="Times New Roman"/>
          <w:bCs/>
        </w:rPr>
        <w:t>8. Suvlasnički dio: 1119/10000 (E-8) - "1. stan H u potkrovlju, oznake "S8", ukupne netto korisne površine 44,76 m2, a sastoji se od: hodnika površine 5,31 m2, boravka i blagovaonice površine 18,03 m2, sobe površine 7,85 m2, kupaonice površine 3,84 m2, balkona 2,83 m2, loggie površine 2,64 m2, spremišta površine 1,75 m2 i parkirnog mjesta P5 površine 2,51 m2, u grafičkom dijelu elaborata etažna cjelina S8 označena je smeđom bojom" i</w:t>
      </w:r>
    </w:p>
    <w:p w:rsidRDefault="00BA0EA9" w:rsidR="00CE1557">
      <w:pPr>
        <w:pStyle w:val="Standard"/>
        <w:jc w:val="both"/>
        <w:rPr>
          <w:rFonts w:cs="Calibri" w:hAnsi="Times New Roman" w:ascii="Times New Roman"/>
          <w:bCs/>
        </w:rPr>
      </w:pPr>
      <w:r>
        <w:rPr>
          <w:rFonts w:cs="Calibri" w:hAnsi="Times New Roman" w:ascii="Times New Roman"/>
          <w:bCs/>
        </w:rPr>
        <w:tab/>
        <w:t>10. Suvlasnički dio: 311/10000 (E-10) - "1. Garaža M u prizemlju, oznake "M1", ukupne netto korisne površine 24,85 m2, u grafičkom dijelu elaborata etažna cjelina M1 označena je purpurnom bojom", te</w:t>
      </w:r>
    </w:p>
    <w:p w:rsidRDefault="00CE1557" w:rsidR="00CE1557">
      <w:pPr>
        <w:pStyle w:val="Standard"/>
        <w:ind w:firstLine="720"/>
        <w:jc w:val="both"/>
        <w:rPr>
          <w:rFonts w:cs="Calibri" w:hAnsi="Times New Roman" w:ascii="Times New Roman"/>
          <w:bCs/>
        </w:rPr>
      </w:pPr>
    </w:p>
    <w:p w:rsidRDefault="00BA0EA9" w:rsidR="00CE1557">
      <w:pPr>
        <w:pStyle w:val="Standard"/>
        <w:jc w:val="both"/>
        <w:rPr>
          <w:rFonts w:cs="Calibri" w:hAnsi="Times New Roman" w:ascii="Times New Roman"/>
          <w:b/>
          <w:bCs/>
          <w:u w:val="single"/>
        </w:rPr>
      </w:pPr>
      <w:r>
        <w:rPr>
          <w:rFonts w:cs="Calibri" w:hAnsi="Times New Roman" w:ascii="Times New Roman"/>
          <w:b/>
          <w:bCs/>
          <w:u w:val="single"/>
        </w:rPr>
        <w:t xml:space="preserve"> u Zagrebu, Dugi dol 59</w:t>
      </w:r>
    </w:p>
    <w:p w:rsidRDefault="00CE1557" w:rsidR="00CE1557">
      <w:pPr>
        <w:pStyle w:val="Standard"/>
        <w:jc w:val="both"/>
        <w:rPr>
          <w:rFonts w:cs="Calibri" w:hAnsi="Times New Roman" w:ascii="Times New Roman"/>
          <w:b/>
          <w:bCs/>
          <w:u w:val="single"/>
        </w:rPr>
      </w:pPr>
    </w:p>
    <w:p w:rsidRDefault="00BA0EA9" w:rsidR="00CE1557">
      <w:pPr>
        <w:pStyle w:val="Standard"/>
        <w:ind w:firstLine="720"/>
        <w:jc w:val="both"/>
      </w:pPr>
      <w:r>
        <w:rPr>
          <w:rFonts w:cs="Calibri" w:hAnsi="Times New Roman" w:ascii="Times New Roman"/>
          <w:bCs/>
        </w:rPr>
        <w:t xml:space="preserve">- </w:t>
      </w:r>
      <w:r>
        <w:rPr>
          <w:rFonts w:hAnsi="Times New Roman" w:ascii="Times New Roman"/>
        </w:rPr>
        <w:t>zk.ul. 19964, k.o. 999901, Grad Zagreb, kč.br. 8128/16, u naravi Stambena zgrada br. 59, Dugi Dol pov. 238 m2 i dvorište pov 578 m2, ukupne površine 816 m2, u odnosu na:</w:t>
      </w:r>
    </w:p>
    <w:p w:rsidRDefault="00BA0EA9" w:rsidR="00CE1557">
      <w:pPr>
        <w:pStyle w:val="Standard"/>
        <w:ind w:firstLine="720"/>
        <w:jc w:val="both"/>
        <w:rPr>
          <w:rFonts w:cs="Calibri" w:hAnsi="Times New Roman" w:ascii="Times New Roman"/>
          <w:bCs/>
        </w:rPr>
      </w:pPr>
      <w:r>
        <w:rPr>
          <w:rFonts w:cs="Calibri" w:hAnsi="Times New Roman" w:ascii="Times New Roman"/>
          <w:bCs/>
        </w:rPr>
        <w:t>1. Suvlasnički dio: 589/10000 (E-1)- "1. garaža G1 u suterenu oznake "G1" ukupne korisne površine 35,76m2, a sastoji se od garažnog prostora sa dva garažna parkirna mjesta površine 35,76m2, u grafičkom dijelu elaborata etažna cjelina G1 označena je tamno zelenom bojom",</w:t>
      </w:r>
    </w:p>
    <w:p w:rsidRDefault="00BA0EA9" w:rsidR="00CE1557">
      <w:pPr>
        <w:pStyle w:val="Standard"/>
        <w:jc w:val="both"/>
        <w:rPr>
          <w:rFonts w:cs="Calibri" w:hAnsi="Times New Roman" w:ascii="Times New Roman"/>
          <w:bCs/>
        </w:rPr>
      </w:pPr>
      <w:r>
        <w:rPr>
          <w:rFonts w:cs="Calibri" w:hAnsi="Times New Roman" w:ascii="Times New Roman"/>
          <w:bCs/>
        </w:rPr>
        <w:tab/>
        <w:t>2. Suvlasnički dio: 721/10000 (E-2)- "1. garaža G2 u suterenu oznake "G2" ukupne korisne površine 43,76m2, a sastoji se od garažnog prostora sa dva garažna parkirna mjesta površine 35,76m2 i spremišta površine 8,00m2, u grafičkom dijelu elaborata etažna cjelina G2 označena je žutom bojom",</w:t>
      </w:r>
    </w:p>
    <w:p w:rsidRDefault="00BA0EA9" w:rsidR="00CE1557">
      <w:pPr>
        <w:pStyle w:val="Standard"/>
        <w:jc w:val="both"/>
        <w:rPr>
          <w:rFonts w:cs="Calibri" w:hAnsi="Times New Roman" w:ascii="Times New Roman"/>
          <w:bCs/>
        </w:rPr>
      </w:pPr>
      <w:r>
        <w:rPr>
          <w:rFonts w:cs="Calibri" w:hAnsi="Times New Roman" w:ascii="Times New Roman"/>
          <w:bCs/>
        </w:rPr>
        <w:tab/>
        <w:t>3. Suvlasnički dio: 1588/10000 (E-3) - "1. stan A u prizemlju, oznake "S1", ukupne neto korisne površine 96,41m2 a sastoji se od hodnika površine 5,84m2, boravka i blagovaonice površine 31,40m2, kuhinje površine 5,68m2, sobe površine 10,71m2, sobe površine 7,90m2, predprostora površine 5,85m2, kupaonice površine 6,90m2, wc-a površine 2,40m2, terase površine 7,26m2, spremišta 6,44m2, svjetlarnika 0,26m2 i kućnog vrta površine 2,33m2 i parkirnog mjesta PM1 površine 3,44m2, u grafičkom dijelu elaborata etažna cjelina S1 označena je sivom bojom",</w:t>
      </w:r>
    </w:p>
    <w:p w:rsidRDefault="00BA0EA9" w:rsidR="00CE1557">
      <w:pPr>
        <w:pStyle w:val="Standard"/>
        <w:jc w:val="both"/>
        <w:rPr>
          <w:rFonts w:cs="Calibri" w:hAnsi="Times New Roman" w:ascii="Times New Roman"/>
          <w:bCs/>
        </w:rPr>
      </w:pPr>
      <w:r>
        <w:rPr>
          <w:rFonts w:cs="Calibri" w:hAnsi="Times New Roman" w:ascii="Times New Roman"/>
          <w:bCs/>
        </w:rPr>
        <w:tab/>
        <w:t xml:space="preserve">4. Suvlasnički dio: 1604/10000 (E-4) - "1. stan B na katu , oznake "S2", ukupne neto korisne površine 97,35m2 a sastoji se od hodnika površine 5,84 m2, boravka i blagovaonice površine 31,42m2, kuhinje površine 5,68m2, sobe površine 16,38m2, sobe površine 12,18m2, predprostora površine 5,85m2, kupaonice površine 6,90m2, wc-a površine 2,40m2, terase površine 7,26m2, i </w:t>
      </w:r>
      <w:r>
        <w:rPr>
          <w:rFonts w:cs="Calibri" w:hAnsi="Times New Roman" w:ascii="Times New Roman"/>
          <w:bCs/>
        </w:rPr>
        <w:lastRenderedPageBreak/>
        <w:t>parkirnog mjesta PM2 površine 3,44m2, u grafičkom dijelu elaborata etažna cjelina S2 označena je narančastom bojom",</w:t>
      </w:r>
    </w:p>
    <w:p w:rsidRDefault="00BA0EA9" w:rsidR="00CE1557">
      <w:pPr>
        <w:pStyle w:val="Standard"/>
        <w:jc w:val="both"/>
        <w:rPr>
          <w:rFonts w:cs="Calibri" w:hAnsi="Times New Roman" w:ascii="Times New Roman"/>
          <w:bCs/>
        </w:rPr>
      </w:pPr>
      <w:r>
        <w:rPr>
          <w:rFonts w:cs="Calibri" w:hAnsi="Times New Roman" w:ascii="Times New Roman"/>
          <w:bCs/>
        </w:rPr>
        <w:tab/>
        <w:t>5. Suvlasnički dio: 2636/10000 (E-5) - "1. stan C na katu , oznake "S3", ukupne neto korisne površine 159,99m2 a sastoji se od hodnika površine 6,08 m2, boravka i blagovaonice površine 46,75m2, kuhinje površine 7,10m2, sobe površine 13,13m2, sobe površine 16,28m2, predprostora površine 2,88m2, kupaonice površine 7,15m2, wc-a površine 1,97m2, terase površine 11,76m2, terase površine 21,66m2, kućnog vrta površine 21,79m2 i parkirnog mjesta PM3 površine 3,44m2, u grafičkom dijelu elaborata etažna cjelina S3 označena je purpurnom bojom</w:t>
      </w:r>
    </w:p>
    <w:p w:rsidRDefault="00BA0EA9" w:rsidR="00CE1557">
      <w:pPr>
        <w:pStyle w:val="Standard"/>
        <w:jc w:val="both"/>
        <w:rPr>
          <w:rFonts w:cs="Calibri" w:hAnsi="Times New Roman" w:ascii="Times New Roman"/>
          <w:bCs/>
        </w:rPr>
      </w:pPr>
      <w:r>
        <w:rPr>
          <w:rFonts w:cs="Calibri" w:hAnsi="Times New Roman" w:ascii="Times New Roman"/>
          <w:bCs/>
        </w:rPr>
        <w:t xml:space="preserve">          6. Suvlasnički dio: 2862/10000 (E-6) - "1. stan D u pokrovlju , oznake "S4", ukupne neto korisne površine 173,73m2 a sastoji se od boravka površine 30,77m2, kuhinje i blagovaonice površine 17,75m2, izbe površine 4,04m2, wc-a površine 3,92m2, hodnika površine 3,80m2, terase površine 15,34m2, stubište površine 6,71m2, predprostora površine 8,49m2 sobe površine 9,56m2, sobe površine 10,15m2, kupaonice površine 5,64m2, sobe površine 13,64m2, sobe površine 16,24m2, kupaonice površine 6,33m2 terase površine 17,97m2, i parkirnog mjesta PM4 površine 3,44m2, u grafičkom dijelu elaborata etažna cjelina S4 označena je plavom bojom".</w:t>
      </w:r>
    </w:p>
    <w:p w:rsidRDefault="00CE1557" w:rsidR="00CE1557">
      <w:pPr>
        <w:pStyle w:val="Standard"/>
      </w:pPr>
    </w:p>
    <w:p w:rsidRDefault="00BA0EA9" w:rsidR="00CE1557">
      <w:pPr>
        <w:pStyle w:val="Standard"/>
        <w:ind w:firstLine="708"/>
        <w:rPr>
          <w:rFonts w:eastAsia="Times New Roman" w:hAnsi="Times New Roman" w:ascii="Times New Roman"/>
        </w:rPr>
      </w:pPr>
      <w:r>
        <w:rPr>
          <w:rFonts w:eastAsia="Times New Roman" w:hAnsi="Times New Roman" w:ascii="Times New Roman"/>
        </w:rPr>
        <w:t>U izvještajnom razdoblju nije bilo primitaka niti izdataka stečajnog dužnika.</w:t>
      </w:r>
    </w:p>
    <w:p w:rsidRDefault="00CE1557" w:rsidR="00CE1557">
      <w:pPr>
        <w:pStyle w:val="Standard"/>
      </w:pPr>
    </w:p>
    <w:p w:rsidRDefault="00BA0EA9" w:rsidR="00CE1557">
      <w:pPr>
        <w:pStyle w:val="Standard"/>
        <w:rPr>
          <w:rFonts w:eastAsia="Times New Roman" w:hAnsi="Times New Roman" w:ascii="Times New Roman"/>
          <w:b/>
        </w:rPr>
      </w:pPr>
      <w:r>
        <w:rPr>
          <w:rFonts w:eastAsia="Times New Roman" w:hAnsi="Times New Roman" w:ascii="Times New Roman"/>
          <w:b/>
        </w:rPr>
        <w:t>III. RADNJE KOJE ĆE SE PODUZETI U NAREDNOM RAZDOBLJU</w:t>
      </w:r>
    </w:p>
    <w:p w:rsidRDefault="00CE1557" w:rsidR="00CE1557">
      <w:pPr>
        <w:pStyle w:val="Standard"/>
      </w:pPr>
    </w:p>
    <w:p w:rsidRDefault="00BA0EA9" w:rsidR="00CE1557">
      <w:pPr>
        <w:pStyle w:val="Standard"/>
        <w:rPr>
          <w:rFonts w:eastAsia="Times New Roman" w:hAnsi="Times New Roman" w:ascii="Times New Roman"/>
        </w:rPr>
      </w:pPr>
      <w:r>
        <w:rPr>
          <w:rFonts w:eastAsia="Times New Roman" w:hAnsi="Times New Roman" w:ascii="Times New Roman"/>
        </w:rPr>
        <w:tab/>
        <w:t>Razlučnom vjerovniku i ovrhovoditelju Centar banka d.d. u stečaju dostavit će se svi prikupljeni podaci o korisnicima stanova te obustavljenim isporukama vode, struje i plina u stanovima za koje su ispunjeni uvjeti distributera za obustavu isporuke.</w:t>
      </w:r>
    </w:p>
    <w:p w:rsidRDefault="00BA0EA9" w:rsidR="00CE1557">
      <w:pPr>
        <w:pStyle w:val="Standard"/>
        <w:rPr>
          <w:rFonts w:eastAsia="Times New Roman" w:hAnsi="Times New Roman" w:ascii="Times New Roman"/>
        </w:rPr>
      </w:pPr>
      <w:r>
        <w:rPr>
          <w:rFonts w:eastAsia="Times New Roman" w:hAnsi="Times New Roman" w:ascii="Times New Roman"/>
        </w:rPr>
        <w:tab/>
      </w:r>
    </w:p>
    <w:p w:rsidRDefault="00BA0EA9" w:rsidR="00CE1557">
      <w:pPr>
        <w:pStyle w:val="Standard"/>
        <w:rPr>
          <w:rFonts w:eastAsia="Times New Roman" w:hAnsi="Times New Roman" w:ascii="Times New Roman"/>
        </w:rPr>
      </w:pPr>
      <w:r>
        <w:rPr>
          <w:rFonts w:eastAsia="Times New Roman" w:hAnsi="Times New Roman" w:ascii="Times New Roman"/>
        </w:rPr>
        <w:t xml:space="preserve">Mjesto i datum </w:t>
      </w:r>
      <w:r>
        <w:rPr>
          <w:rFonts w:eastAsia="Times New Roman" w:hAnsi="Times New Roman" w:ascii="Times New Roman"/>
        </w:rPr>
        <w:tab/>
      </w:r>
      <w:r>
        <w:rPr>
          <w:rFonts w:eastAsia="Times New Roman" w:hAnsi="Times New Roman" w:ascii="Times New Roman"/>
        </w:rPr>
        <w:tab/>
      </w:r>
      <w:r>
        <w:rPr>
          <w:rFonts w:eastAsia="Times New Roman" w:hAnsi="Times New Roman" w:ascii="Times New Roman"/>
        </w:rPr>
        <w:tab/>
      </w:r>
      <w:r>
        <w:rPr>
          <w:rFonts w:eastAsia="Times New Roman" w:hAnsi="Times New Roman" w:ascii="Times New Roman"/>
        </w:rPr>
        <w:tab/>
      </w:r>
      <w:r>
        <w:rPr>
          <w:rFonts w:eastAsia="Times New Roman" w:hAnsi="Times New Roman" w:ascii="Times New Roman"/>
        </w:rPr>
        <w:tab/>
      </w:r>
      <w:r>
        <w:rPr>
          <w:rFonts w:eastAsia="Times New Roman" w:hAnsi="Times New Roman" w:ascii="Times New Roman"/>
        </w:rPr>
        <w:tab/>
      </w:r>
      <w:r>
        <w:rPr>
          <w:rFonts w:eastAsia="Times New Roman" w:hAnsi="Times New Roman" w:ascii="Times New Roman"/>
        </w:rPr>
        <w:tab/>
        <w:t>Stečajni upravitelj</w:t>
      </w:r>
    </w:p>
    <w:p w:rsidRDefault="00CE1557" w:rsidR="00CE1557">
      <w:pPr>
        <w:pStyle w:val="Standard"/>
        <w:rPr>
          <w:rFonts w:eastAsia="Times New Roman" w:hAnsi="Times New Roman" w:ascii="Times New Roman"/>
        </w:rPr>
      </w:pPr>
    </w:p>
    <w:p w:rsidRDefault="00BA0EA9" w:rsidR="00CE1557">
      <w:pPr>
        <w:pStyle w:val="Standard"/>
        <w:rPr>
          <w:rFonts w:eastAsia="Times New Roman" w:hAnsi="Times New Roman" w:ascii="Times New Roman"/>
        </w:rPr>
      </w:pPr>
      <w:r>
        <w:rPr>
          <w:rFonts w:eastAsia="Times New Roman" w:hAnsi="Times New Roman" w:ascii="Times New Roman"/>
        </w:rPr>
        <w:t>Našice, 25. listopada 2018.</w:t>
      </w:r>
      <w:r>
        <w:rPr>
          <w:rFonts w:eastAsia="Times New Roman" w:hAnsi="Times New Roman" w:ascii="Times New Roman"/>
        </w:rPr>
        <w:tab/>
      </w:r>
      <w:r>
        <w:rPr>
          <w:rFonts w:eastAsia="Times New Roman" w:hAnsi="Times New Roman" w:ascii="Times New Roman"/>
        </w:rPr>
        <w:tab/>
      </w:r>
      <w:r>
        <w:rPr>
          <w:rFonts w:eastAsia="Times New Roman" w:hAnsi="Times New Roman" w:ascii="Times New Roman"/>
        </w:rPr>
        <w:tab/>
        <w:t xml:space="preserve">             </w:t>
      </w:r>
      <w:r>
        <w:rPr>
          <w:rFonts w:eastAsia="Times New Roman" w:hAnsi="Times New Roman" w:ascii="Times New Roman"/>
        </w:rPr>
        <w:tab/>
        <w:t>Renata Horvatin</w:t>
      </w: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CE1557" w:rsidR="00CE1557">
      <w:pPr>
        <w:pStyle w:val="Standard"/>
        <w:rPr>
          <w:rFonts w:eastAsia="Times New Roman" w:hAnsi="Times New Roman" w:ascii="Times New Roman"/>
        </w:rPr>
      </w:pPr>
    </w:p>
    <w:p w:rsidRDefault="00BA0EA9" w:rsidR="00CE1557">
      <w:pPr>
        <w:pStyle w:val="Standard"/>
        <w:jc w:val="both"/>
        <w:rPr>
          <w:rFonts w:hAnsi="Times New Roman" w:ascii="Times New Roman"/>
          <w:sz w:val="24"/>
          <w:szCs w:val="24"/>
        </w:rPr>
      </w:pPr>
      <w:r>
        <w:rPr>
          <w:rFonts w:hAnsi="Times New Roman" w:ascii="Times New Roman"/>
          <w:sz w:val="24"/>
          <w:szCs w:val="24"/>
        </w:rPr>
        <w:t>CENTAR  ARHITEKTURA d.o.o. u stečaju</w:t>
      </w:r>
    </w:p>
    <w:p w:rsidRDefault="00BA0EA9" w:rsidR="00CE1557">
      <w:pPr>
        <w:pStyle w:val="Standard"/>
        <w:jc w:val="both"/>
        <w:rPr>
          <w:rFonts w:hAnsi="Times New Roman" w:ascii="Times New Roman"/>
          <w:sz w:val="24"/>
          <w:szCs w:val="24"/>
        </w:rPr>
      </w:pPr>
      <w:r>
        <w:rPr>
          <w:rFonts w:hAnsi="Times New Roman" w:ascii="Times New Roman"/>
          <w:sz w:val="24"/>
          <w:szCs w:val="24"/>
        </w:rPr>
        <w:t>Zagreb</w:t>
      </w:r>
    </w:p>
    <w:p w:rsidRDefault="00BA0EA9" w:rsidR="00CE1557">
      <w:pPr>
        <w:pStyle w:val="Standard"/>
        <w:jc w:val="both"/>
        <w:rPr>
          <w:rFonts w:hAnsi="Times New Roman" w:ascii="Times New Roman"/>
          <w:sz w:val="24"/>
          <w:szCs w:val="24"/>
        </w:rPr>
      </w:pPr>
      <w:r>
        <w:rPr>
          <w:rFonts w:hAnsi="Times New Roman" w:ascii="Times New Roman"/>
          <w:sz w:val="24"/>
          <w:szCs w:val="24"/>
        </w:rPr>
        <w:t>Jazbina 44</w:t>
      </w:r>
    </w:p>
    <w:p w:rsidRDefault="00BA0EA9" w:rsidR="00CE1557">
      <w:pPr>
        <w:pStyle w:val="Standard"/>
        <w:jc w:val="both"/>
      </w:pPr>
      <w:r>
        <w:rPr>
          <w:rFonts w:hAnsi="Times New Roman" w:ascii="Times New Roman"/>
          <w:sz w:val="24"/>
          <w:szCs w:val="24"/>
        </w:rPr>
        <w:t>OIB: 40788025165</w:t>
      </w:r>
    </w:p>
    <w:p w:rsidRDefault="00CE1557" w:rsidR="00CE1557">
      <w:pPr>
        <w:pStyle w:val="Standard"/>
        <w:rPr>
          <w:rFonts w:eastAsia="Times New Roman" w:hAnsi="Times New Roman" w:ascii="Times New Roman"/>
          <w:sz w:val="24"/>
          <w:szCs w:val="24"/>
        </w:rPr>
      </w:pPr>
    </w:p>
    <w:p w:rsidRDefault="00CE1557" w:rsidR="00CE1557">
      <w:pPr>
        <w:pStyle w:val="Standard"/>
        <w:rPr>
          <w:rFonts w:eastAsia="Times New Roman" w:hAnsi="Times New Roman" w:ascii="Times New Roman"/>
          <w:sz w:val="24"/>
          <w:szCs w:val="24"/>
        </w:rPr>
      </w:pPr>
    </w:p>
    <w:p w:rsidRDefault="00BA0EA9" w:rsidR="00CE1557">
      <w:pPr>
        <w:pStyle w:val="Standard"/>
        <w:jc w:val="both"/>
        <w:rPr>
          <w:rFonts w:eastAsia="Times New Roman" w:hAnsi="Times New Roman" w:ascii="Times New Roman"/>
          <w:sz w:val="24"/>
          <w:szCs w:val="24"/>
        </w:rPr>
      </w:pPr>
      <w:r>
        <w:rPr>
          <w:rFonts w:eastAsia="Times New Roman" w:hAnsi="Times New Roman" w:ascii="Times New Roman"/>
          <w:sz w:val="24"/>
          <w:szCs w:val="24"/>
        </w:rPr>
        <w:tab/>
      </w:r>
      <w:r>
        <w:rPr>
          <w:rFonts w:eastAsia="Times New Roman" w:hAnsi="Times New Roman" w:ascii="Times New Roman"/>
          <w:sz w:val="24"/>
          <w:szCs w:val="24"/>
        </w:rPr>
        <w:tab/>
      </w:r>
      <w:r>
        <w:rPr>
          <w:rFonts w:eastAsia="Times New Roman" w:hAnsi="Times New Roman" w:ascii="Times New Roman"/>
          <w:sz w:val="24"/>
          <w:szCs w:val="24"/>
        </w:rPr>
        <w:tab/>
      </w:r>
      <w:r>
        <w:rPr>
          <w:rFonts w:eastAsia="Times New Roman" w:hAnsi="Times New Roman" w:ascii="Times New Roman"/>
          <w:sz w:val="24"/>
          <w:szCs w:val="24"/>
        </w:rPr>
        <w:tab/>
      </w:r>
      <w:r>
        <w:rPr>
          <w:rFonts w:eastAsia="Times New Roman" w:hAnsi="Times New Roman" w:ascii="Times New Roman"/>
          <w:sz w:val="24"/>
          <w:szCs w:val="24"/>
        </w:rPr>
        <w:tab/>
      </w:r>
      <w:r>
        <w:rPr>
          <w:rFonts w:eastAsia="Times New Roman" w:hAnsi="Times New Roman" w:ascii="Times New Roman"/>
          <w:sz w:val="24"/>
          <w:szCs w:val="24"/>
        </w:rPr>
        <w:tab/>
      </w:r>
      <w:r>
        <w:rPr>
          <w:rFonts w:eastAsia="Times New Roman" w:hAnsi="Times New Roman" w:ascii="Times New Roman"/>
          <w:sz w:val="24"/>
          <w:szCs w:val="24"/>
        </w:rPr>
        <w:tab/>
        <w:t>TRGOVAČKI SUD U ZAGREBU</w:t>
      </w:r>
    </w:p>
    <w:p w:rsidRDefault="00BA0EA9" w:rsidR="00CE1557">
      <w:pPr>
        <w:pStyle w:val="Standard"/>
        <w:ind w:firstLine="708" w:left="4248"/>
        <w:jc w:val="both"/>
        <w:rPr>
          <w:rFonts w:eastAsia="Times New Roman" w:hAnsi="Times New Roman" w:ascii="Times New Roman"/>
          <w:sz w:val="24"/>
          <w:szCs w:val="24"/>
        </w:rPr>
      </w:pPr>
      <w:r>
        <w:rPr>
          <w:rFonts w:eastAsia="Times New Roman" w:hAnsi="Times New Roman" w:ascii="Times New Roman"/>
          <w:sz w:val="24"/>
          <w:szCs w:val="24"/>
        </w:rPr>
        <w:t>Poslovni broj spisa – 85.  St-2694/2016</w:t>
      </w:r>
    </w:p>
    <w:p w:rsidRDefault="00BA0EA9" w:rsidR="00CE1557">
      <w:pPr>
        <w:pStyle w:val="Standard"/>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Sudac mr.sc. Ivana Koštarić Fegeš</w:t>
      </w:r>
    </w:p>
    <w:p w:rsidRDefault="00CE1557" w:rsidR="00CE1557">
      <w:pPr>
        <w:pStyle w:val="Standard"/>
        <w:rPr>
          <w:rFonts w:hAnsi="Times New Roman" w:ascii="Times New Roman"/>
          <w:sz w:val="24"/>
          <w:szCs w:val="24"/>
        </w:rPr>
      </w:pPr>
    </w:p>
    <w:p w:rsidRDefault="00BA0EA9" w:rsidR="00CE1557">
      <w:pPr>
        <w:pStyle w:val="Standard"/>
        <w:rPr>
          <w:rFonts w:hAnsi="Times New Roman" w:ascii="Times New Roman"/>
          <w:sz w:val="24"/>
          <w:szCs w:val="24"/>
        </w:rPr>
      </w:pPr>
      <w:r>
        <w:rPr>
          <w:rFonts w:hAnsi="Times New Roman" w:ascii="Times New Roman"/>
          <w:sz w:val="24"/>
          <w:szCs w:val="24"/>
        </w:rPr>
        <w:t>Poštovana,</w:t>
      </w:r>
    </w:p>
    <w:p w:rsidRDefault="00CE1557" w:rsidR="00CE1557">
      <w:pPr>
        <w:pStyle w:val="Standard"/>
        <w:rPr>
          <w:rFonts w:hAnsi="Times New Roman" w:ascii="Times New Roman"/>
          <w:sz w:val="24"/>
          <w:szCs w:val="24"/>
        </w:rPr>
      </w:pPr>
    </w:p>
    <w:p w:rsidRDefault="00BA0EA9" w:rsidR="00CE1557">
      <w:pPr>
        <w:pStyle w:val="Standard"/>
        <w:rPr>
          <w:rFonts w:hAnsi="Times New Roman" w:ascii="Times New Roman"/>
          <w:sz w:val="24"/>
          <w:szCs w:val="24"/>
        </w:rPr>
      </w:pPr>
      <w:r>
        <w:rPr>
          <w:rFonts w:hAnsi="Times New Roman" w:ascii="Times New Roman"/>
          <w:sz w:val="24"/>
          <w:szCs w:val="24"/>
        </w:rPr>
        <w:t>u prilogu ovog podneska dostavljam Izvješće o tijeku stečajnog postupka i stanju stečajne mase za razdoblje od 20. srpnja do 20. listopada 2018. godine  (Obrazac 20).</w:t>
      </w:r>
    </w:p>
    <w:p w:rsidRDefault="00CE1557" w:rsidR="00CE1557">
      <w:pPr>
        <w:pStyle w:val="Standard"/>
        <w:rPr>
          <w:rFonts w:hAnsi="Times New Roman" w:ascii="Times New Roman"/>
          <w:sz w:val="24"/>
          <w:szCs w:val="24"/>
        </w:rPr>
      </w:pPr>
    </w:p>
    <w:p w:rsidRDefault="00CE1557" w:rsidR="00CE1557">
      <w:pPr>
        <w:pStyle w:val="Standard"/>
        <w:rPr>
          <w:rFonts w:hAnsi="Times New Roman" w:ascii="Times New Roman"/>
          <w:sz w:val="24"/>
          <w:szCs w:val="24"/>
        </w:rPr>
      </w:pPr>
    </w:p>
    <w:p w:rsidRDefault="00BA0EA9" w:rsidR="00CE1557">
      <w:pPr>
        <w:pStyle w:val="Standard"/>
        <w:rPr>
          <w:rFonts w:hAnsi="Times New Roman" w:ascii="Times New Roman"/>
          <w:sz w:val="24"/>
          <w:szCs w:val="24"/>
        </w:rPr>
      </w:pPr>
      <w:r>
        <w:rPr>
          <w:rFonts w:hAnsi="Times New Roman" w:ascii="Times New Roman"/>
          <w:sz w:val="24"/>
          <w:szCs w:val="24"/>
        </w:rPr>
        <w:t>S poštovanjem,</w:t>
      </w:r>
    </w:p>
    <w:p w:rsidRDefault="00BA0EA9" w:rsidR="00CE1557">
      <w:pPr>
        <w:pStyle w:val="Standard"/>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upraviteljica</w:t>
      </w:r>
    </w:p>
    <w:p w:rsidRDefault="00CE1557" w:rsidR="00CE1557">
      <w:pPr>
        <w:pStyle w:val="Standard"/>
        <w:rPr>
          <w:rFonts w:hAnsi="Times New Roman" w:ascii="Times New Roman"/>
          <w:sz w:val="24"/>
          <w:szCs w:val="24"/>
        </w:rPr>
      </w:pPr>
    </w:p>
    <w:p w:rsidRDefault="00BA0EA9" w:rsidR="00CE1557">
      <w:pPr>
        <w:pStyle w:val="Standard"/>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Renata Horvatin</w:t>
      </w:r>
    </w:p>
    <w:p w:rsidRDefault="00CE1557" w:rsidR="00CE1557">
      <w:pPr>
        <w:pStyle w:val="Standard"/>
        <w:rPr>
          <w:rFonts w:hAnsi="Times New Roman" w:ascii="Times New Roman"/>
          <w:sz w:val="24"/>
          <w:szCs w:val="24"/>
        </w:rPr>
      </w:pPr>
    </w:p>
    <w:p w:rsidRDefault="00BA0EA9" w:rsidR="00CE1557">
      <w:pPr>
        <w:pStyle w:val="Standard"/>
        <w:rPr>
          <w:rFonts w:hAnsi="Times New Roman" w:ascii="Times New Roman"/>
          <w:sz w:val="24"/>
          <w:szCs w:val="24"/>
        </w:rPr>
      </w:pPr>
      <w:r>
        <w:rPr>
          <w:rFonts w:hAnsi="Times New Roman" w:ascii="Times New Roman"/>
          <w:sz w:val="24"/>
          <w:szCs w:val="24"/>
        </w:rPr>
        <w:t>Našice, 26. listopada 2018.</w:t>
      </w:r>
    </w:p>
    <w:p w:rsidRDefault="00CE1557" w:rsidR="00CE1557">
      <w:pPr>
        <w:pStyle w:val="Standard"/>
        <w:rPr>
          <w:rFonts w:hAnsi="Times New Roman" w:ascii="Times New Roman"/>
          <w:sz w:val="24"/>
          <w:szCs w:val="24"/>
        </w:rPr>
      </w:pPr>
    </w:p>
    <w:p w:rsidRDefault="00CE1557" w:rsidR="00CE1557">
      <w:pPr>
        <w:pStyle w:val="Standard"/>
        <w:rPr>
          <w:rFonts w:hAnsi="Times New Roman" w:ascii="Times New Roman"/>
          <w:sz w:val="24"/>
          <w:szCs w:val="24"/>
        </w:rPr>
      </w:pPr>
    </w:p>
    <w:p w:rsidRDefault="00BA0EA9" w:rsidR="00CE1557">
      <w:pPr>
        <w:pStyle w:val="Standard"/>
        <w:rPr>
          <w:rFonts w:hAnsi="Times New Roman" w:ascii="Times New Roman"/>
          <w:sz w:val="24"/>
          <w:szCs w:val="24"/>
        </w:rPr>
      </w:pPr>
      <w:r>
        <w:rPr>
          <w:rFonts w:hAnsi="Times New Roman" w:ascii="Times New Roman"/>
          <w:sz w:val="24"/>
          <w:szCs w:val="24"/>
        </w:rPr>
        <w:t>Prilog:</w:t>
      </w:r>
    </w:p>
    <w:p w:rsidRDefault="00BA0EA9" w:rsidR="00CE1557">
      <w:pPr>
        <w:pStyle w:val="Odlomakpopisa"/>
        <w:numPr>
          <w:ilvl w:val="0"/>
          <w:numId w:val="3"/>
        </w:numPr>
        <w:spacing w:after="80"/>
        <w:rPr>
          <w:rFonts w:hAnsi="Times New Roman" w:ascii="Times New Roman"/>
          <w:sz w:val="24"/>
          <w:szCs w:val="24"/>
        </w:rPr>
      </w:pPr>
      <w:r>
        <w:rPr>
          <w:rFonts w:hAnsi="Times New Roman" w:ascii="Times New Roman"/>
          <w:sz w:val="24"/>
          <w:szCs w:val="24"/>
        </w:rPr>
        <w:t>kao u tekstu</w:t>
      </w:r>
    </w:p>
    <w:p w:rsidRDefault="00CE1557" w:rsidR="00CE1557">
      <w:pPr>
        <w:pStyle w:val="Standard"/>
      </w:pPr>
    </w:p>
    <w:sectPr w:rsidR="00CE1557">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0EA9" w:rsidR="00ED0BEE">
      <w:r>
        <w:separator/>
      </w:r>
    </w:p>
  </w:endnote>
  <w:endnote w:id="0" w:type="continuationSeparator">
    <w:p w:rsidRDefault="00BA0EA9" w:rsidR="00ED0B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0EA9" w:rsidR="00ED0BEE">
      <w:r>
        <w:rPr>
          <w:color w:val="000000"/>
        </w:rPr>
        <w:separator/>
      </w:r>
    </w:p>
  </w:footnote>
  <w:footnote w:id="0" w:type="continuationSeparator">
    <w:p w:rsidRDefault="00BA0EA9" w:rsidR="00ED0BE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64979"/>
    <w:multiLevelType w:val="multilevel"/>
    <w:tmpl w:val="BAC49376"/>
    <w:styleLink w:val="WWNum1"/>
    <w:lvl w:ilvl="0">
      <w:numFmt w:val="bullet"/>
      <w:lvlText w:val="-"/>
      <w:lvlJc w:val="left"/>
      <w:rPr>
        <w:rFonts w:cs="Times New Roman" w:eastAsia="Times New Roman" w:hAnsi="Times New Roman" w:ascii="Times New Roman"/>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1">
    <w:nsid w:val="43E32043"/>
    <w:multiLevelType w:val="multilevel"/>
    <w:tmpl w:val="A6D0244A"/>
    <w:styleLink w:val="WWNum2"/>
    <w:lvl w:ilvl="0">
      <w:numFmt w:val="bullet"/>
      <w:lvlText w:val="-"/>
      <w:lvlJc w:val="left"/>
      <w:rPr>
        <w:rFonts w:hAnsi="Times New Roman" w:ascii="Times New Roman"/>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CE1557"/>
    <w:rsid w:val="005B5CFE"/>
    <w:rsid w:val="00BA0EA9"/>
    <w:rsid w:val="00CE1557"/>
    <w:rsid w:val="00ED0B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ahoma" w:eastAsia="SimSun" w:hAnsi="Calibri" w:ascii="Calibri"/>
        <w:kern w:val="3"/>
        <w:sz w:val="22"/>
        <w:szCs w:val="22"/>
        <w:lang w:bidi="ar-SA" w:eastAsia="hr-HR" w:val="hr-HR"/>
      </w:rPr>
    </w:rPrDefault>
    <w:pPrDefault>
      <w:pPr>
        <w:widowControl w:val="false"/>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widowControl/>
      <w:suppressAutoHyphens/>
      <w:overflowPunct w:val="false"/>
      <w:spacing w:after="80"/>
    </w:pPr>
    <w:rPr>
      <w:rFonts w:cs="Times New Roman" w:eastAsia="Calibri"/>
    </w:rPr>
  </w:style>
  <w:style w:customStyle="true" w:styleId="Heading" w:type="paragraph">
    <w:name w:val="Heading"/>
    <w:basedOn w:val="Standard"/>
    <w:next w:val="Textbody"/>
    <w:pPr>
      <w:keepNext/>
      <w:spacing w:after="120" w:before="240"/>
    </w:pPr>
    <w:rPr>
      <w:rFonts w:cs="Mangal" w:eastAsia="Microsoft YaHei" w:hAnsi="Arial" w:ascii="Arial"/>
      <w:sz w:val="28"/>
      <w:szCs w:val="28"/>
    </w:rPr>
  </w:style>
  <w:style w:customStyle="true" w:styleId="Textbody" w:type="paragraph">
    <w:name w:val="Text body"/>
    <w:basedOn w:val="Standard"/>
    <w:pPr>
      <w:spacing w:after="120"/>
    </w:pPr>
  </w:style>
  <w:style w:styleId="Popis" w:type="paragraph">
    <w:name w:val="List"/>
    <w:basedOn w:val="Textbody"/>
    <w:rPr>
      <w:rFonts w:cs="Mangal"/>
    </w:rPr>
  </w:style>
  <w:style w:styleId="Opisslike" w:type="paragraph">
    <w:name w:val="caption"/>
    <w:basedOn w:val="Standard"/>
    <w:pPr>
      <w:suppressLineNumbers/>
      <w:spacing w:after="120" w:before="120"/>
    </w:pPr>
    <w:rPr>
      <w:rFonts w:cs="Mangal"/>
      <w:i/>
      <w:iCs/>
      <w:sz w:val="24"/>
      <w:szCs w:val="24"/>
    </w:rPr>
  </w:style>
  <w:style w:customStyle="true" w:styleId="Index" w:type="paragraph">
    <w:name w:val="Index"/>
    <w:basedOn w:val="Standard"/>
    <w:pPr>
      <w:suppressLineNumbers/>
    </w:pPr>
    <w:rPr>
      <w:rFonts w:cs="Mangal"/>
    </w:rPr>
  </w:style>
  <w:style w:styleId="Odlomakpopisa" w:type="paragraph">
    <w:name w:val="List Paragraph"/>
    <w:basedOn w:val="Standard"/>
    <w:pPr>
      <w:spacing w:after="0"/>
      <w:ind w:left="720"/>
    </w:pPr>
  </w:style>
  <w:style w:styleId="Tekstrezerviranogmjesta" w:type="character">
    <w:name w:val="Placeholder Text"/>
    <w:basedOn w:val="Zadanifontodlomka"/>
    <w:rPr>
      <w:color w:val="808080"/>
      <w:bdr w:space="0" w:sz="0" w:color="auto" w:val="none"/>
      <w:shd w:fill="auto" w:color="auto" w:val="clear"/>
    </w:rPr>
  </w:style>
  <w:style w:customStyle="true" w:styleId="eSPISCCParagraphDefaultFont" w:type="character">
    <w:name w:val="eSPIS_CC_Paragraph Default Font"/>
    <w:basedOn w:val="Zadanifontodlomka"/>
    <w:rPr>
      <w:rFonts w:cs="Times New Roman" w:eastAsia="Times New Roman" w:hAnsi="Times New Roman" w:ascii="Times New Roman"/>
      <w:b/>
      <w:sz w:val="24"/>
    </w:rPr>
  </w:style>
  <w:style w:customStyle="true" w:styleId="PozadinaSvijetloZuta" w:type="character">
    <w:name w:val="Pozadina_SvijetloZuta"/>
    <w:basedOn w:val="Zadanifontodlomka"/>
    <w:rPr>
      <w:rFonts w:cs="Times New Roman" w:eastAsia="Times New Roman" w:hAnsi="Times New Roman" w:ascii="Times New Roman"/>
      <w:b/>
    </w:rPr>
  </w:style>
  <w:style w:customStyle="true" w:styleId="PozadinaSvijetloCrvena" w:type="character">
    <w:name w:val="Pozadina_SvijetloCrvena"/>
    <w:basedOn w:val="eSPISCCParagraphDefaultFont"/>
    <w:rPr>
      <w:rFonts w:cs="Times New Roman" w:eastAsia="Times New Roman" w:hAnsi="Times New Roman" w:ascii="Times New Roman"/>
      <w:b w:val="false"/>
      <w:sz w:val="24"/>
    </w:rPr>
  </w:style>
  <w:style w:customStyle="true" w:styleId="PozadinaSvijetloZelena" w:type="character">
    <w:name w:val="Pozadina_SvijetloZelena"/>
    <w:basedOn w:val="eSPISCCParagraphDefaultFont"/>
    <w:rPr>
      <w:rFonts w:cs="Times New Roman" w:eastAsia="Times New Roman" w:hAnsi="Times New Roman" w:ascii="Times New Roman"/>
      <w:b w:val="false"/>
      <w:sz w:val="24"/>
    </w:rPr>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ListLabel3" w:type="character">
    <w:name w:val="ListLabel 3"/>
  </w:style>
  <w:style w:customStyle="true" w:styleId="NumberingSymbols" w:type="character">
    <w:name w:val="Numbering Symbols"/>
  </w:style>
  <w:style w:customStyle="true" w:styleId="WWNum1" w:type="numbering">
    <w:name w:val="WWNum1"/>
    <w:basedOn w:val="Bezpopisa"/>
    <w:pPr>
      <w:numPr>
        <w:numId w:val="1"/>
      </w:numPr>
    </w:pPr>
  </w:style>
  <w:style w:customStyle="true" w:styleId="WWNum2" w:type="numbering">
    <w:name w:val="WWNum2"/>
    <w:basedOn w:val="Bezpopisa"/>
    <w:pPr>
      <w:numPr>
        <w:numId w:val="2"/>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ahoma" w:eastAsia="SimSun" w:hAnsi="Calibri"/>
        <w:kern w:val="3"/>
        <w:sz w:val="22"/>
        <w:szCs w:val="22"/>
        <w:lang w:bidi="ar-SA" w:eastAsia="hr-HR" w:val="hr-HR"/>
      </w:rPr>
    </w:rPrDefault>
    <w:pPrDefault>
      <w:pPr>
        <w:widowControl w:val="0"/>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widowControl/>
      <w:suppressAutoHyphens/>
      <w:overflowPunct w:val="0"/>
      <w:spacing w:after="80"/>
    </w:pPr>
    <w:rPr>
      <w:rFonts w:cs="Times New Roman" w:eastAsia="Calibri"/>
    </w:rPr>
  </w:style>
  <w:style w:customStyle="1" w:styleId="Heading" w:type="paragraph">
    <w:name w:val="Heading"/>
    <w:basedOn w:val="Standard"/>
    <w:next w:val="Textbody"/>
    <w:pPr>
      <w:keepNext/>
      <w:spacing w:after="120" w:before="240"/>
    </w:pPr>
    <w:rPr>
      <w:rFonts w:ascii="Arial" w:cs="Mangal" w:eastAsia="Microsoft YaHei" w:hAnsi="Arial"/>
      <w:sz w:val="28"/>
      <w:szCs w:val="28"/>
    </w:rPr>
  </w:style>
  <w:style w:customStyle="1" w:styleId="Textbody" w:type="paragraph">
    <w:name w:val="Text body"/>
    <w:basedOn w:val="Standard"/>
    <w:pPr>
      <w:spacing w:after="120"/>
    </w:pPr>
  </w:style>
  <w:style w:styleId="Popis" w:type="paragraph">
    <w:name w:val="List"/>
    <w:basedOn w:val="Textbody"/>
    <w:rPr>
      <w:rFonts w:cs="Mangal"/>
    </w:rPr>
  </w:style>
  <w:style w:styleId="Opisslike" w:type="paragraph">
    <w:name w:val="caption"/>
    <w:basedOn w:val="Standard"/>
    <w:pPr>
      <w:suppressLineNumbers/>
      <w:spacing w:after="120" w:before="120"/>
    </w:pPr>
    <w:rPr>
      <w:rFonts w:cs="Mangal"/>
      <w:i/>
      <w:iCs/>
      <w:sz w:val="24"/>
      <w:szCs w:val="24"/>
    </w:rPr>
  </w:style>
  <w:style w:customStyle="1" w:styleId="Index" w:type="paragraph">
    <w:name w:val="Index"/>
    <w:basedOn w:val="Standard"/>
    <w:pPr>
      <w:suppressLineNumbers/>
    </w:pPr>
    <w:rPr>
      <w:rFonts w:cs="Mangal"/>
    </w:rPr>
  </w:style>
  <w:style w:styleId="Odlomakpopisa" w:type="paragraph">
    <w:name w:val="List Paragraph"/>
    <w:basedOn w:val="Standard"/>
    <w:pPr>
      <w:spacing w:after="0"/>
      <w:ind w:left="720"/>
    </w:pPr>
  </w:style>
  <w:style w:styleId="Tekstrezerviranogmjesta" w:type="character">
    <w:name w:val="Placeholder Text"/>
    <w:basedOn w:val="Zadanifontodlomka"/>
    <w:rPr>
      <w:color w:val="808080"/>
      <w:bdr w:color="auto" w:space="0" w:sz="0" w:val="none"/>
      <w:shd w:color="auto" w:fill="auto" w:val="clear"/>
    </w:rPr>
  </w:style>
  <w:style w:customStyle="1" w:styleId="eSPISCCParagraphDefaultFont" w:type="character">
    <w:name w:val="eSPIS_CC_Paragraph Default Font"/>
    <w:basedOn w:val="Zadanifontodlomka"/>
    <w:rPr>
      <w:rFonts w:ascii="Times New Roman" w:cs="Times New Roman" w:eastAsia="Times New Roman" w:hAnsi="Times New Roman"/>
      <w:b/>
      <w:sz w:val="24"/>
    </w:rPr>
  </w:style>
  <w:style w:customStyle="1" w:styleId="PozadinaSvijetloZuta" w:type="character">
    <w:name w:val="Pozadina_SvijetloZuta"/>
    <w:basedOn w:val="Zadanifontodlomka"/>
    <w:rPr>
      <w:rFonts w:ascii="Times New Roman" w:cs="Times New Roman" w:eastAsia="Times New Roman" w:hAnsi="Times New Roman"/>
      <w:b/>
    </w:rPr>
  </w:style>
  <w:style w:customStyle="1" w:styleId="PozadinaSvijetloCrvena" w:type="character">
    <w:name w:val="Pozadina_SvijetloCrvena"/>
    <w:basedOn w:val="eSPISCCParagraphDefaultFont"/>
    <w:rPr>
      <w:rFonts w:ascii="Times New Roman" w:cs="Times New Roman" w:eastAsia="Times New Roman" w:hAnsi="Times New Roman"/>
      <w:b w:val="0"/>
      <w:sz w:val="24"/>
    </w:rPr>
  </w:style>
  <w:style w:customStyle="1" w:styleId="PozadinaSvijetloZelena" w:type="character">
    <w:name w:val="Pozadina_SvijetloZelena"/>
    <w:basedOn w:val="eSPISCCParagraphDefaultFont"/>
    <w:rPr>
      <w:rFonts w:ascii="Times New Roman" w:cs="Times New Roman" w:eastAsia="Times New Roman" w:hAnsi="Times New Roman"/>
      <w:b w:val="0"/>
      <w:sz w:val="24"/>
    </w:rPr>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ListLabel3" w:type="character">
    <w:name w:val="ListLabel 3"/>
  </w:style>
  <w:style w:customStyle="1" w:styleId="NumberingSymbols" w:type="character">
    <w:name w:val="Numbering Symbols"/>
  </w:style>
  <w:style w:customStyle="1" w:styleId="WWNum1" w:type="numbering">
    <w:name w:val="WWNum1"/>
    <w:basedOn w:val="Bezpopisa"/>
    <w:pPr>
      <w:numPr>
        <w:numId w:val="1"/>
      </w:numPr>
    </w:pPr>
  </w:style>
  <w:style w:customStyle="1" w:styleId="WWNum2" w:type="numbering">
    <w:name w:val="WWNum2"/>
    <w:basedOn w:val="Bezpopisa"/>
    <w:pPr>
      <w:numPr>
        <w:numId w:val="2"/>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1387</properties:Words>
  <properties:Characters>7715</properties:Characters>
  <properties:Lines>171</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2018-11-06T12:56:00Z</dcterms:created>
  <dc:creator>TIN</dc:creator>
  <cp:lastModifiedBy>Nikolina Krunić</cp:lastModifiedBy>
  <cp:lastPrinted>2018-10-29T13:57:00Z</cp:lastPrinted>
  <dcterms:modified xmlns:xsi="http://www.w3.org/2001/XMLSchema-instance" xsi:type="dcterms:W3CDTF">2018-11-06T12:56:00Z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12.0000</vt:lpwstr>
  </prop:property>
  <prop:property name="Company" pid="3" fmtid="{D5CDD505-2E9C-101B-9397-08002B2CF9AE}">
    <vt:lpwstr>Grizli777</vt:lpwstr>
  </prop:property>
  <prop:property name="DocSecurity" pid="4" fmtid="{D5CDD505-2E9C-101B-9397-08002B2CF9AE}">
    <vt:r8>0.0</vt:r8>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St-2694/2016-43 / Podnesak - Podnesak (CENTAR - 20 - 10.18.docx)</vt:lpwstr>
  </prop:property>
  <prop:property name="CC_coloring" pid="11" fmtid="{D5CDD505-2E9C-101B-9397-08002B2CF9AE}">
    <vt:bool>false</vt:bool>
  </prop:property>
  <prop:property name="BrojStranica" pid="12" fmtid="{D5CDD505-2E9C-101B-9397-08002B2CF9AE}">
    <vt:i4>4</vt:i4>
  </prop:property>
</prop:Properties>
</file>