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56e4" w14:paraId="68856e4" w:rsidRDefault="00077C20" w:rsidP="00077C20" w:rsidR="00077C20" w:rsidRPr="00077C20">
      <w:pPr>
        <w:spacing w:lineRule="auto" w:line="259" w:after="160"/>
        <w15:collapsed w:val="false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U.-G.-D. d.o.o. „ u stečaju“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proofErr w:type="spellStart"/>
      <w:r w:rsidRPr="00077C20">
        <w:rPr>
          <w:rFonts w:cs="Times New Roman" w:eastAsia="Calibri" w:hAnsi="Calibri" w:ascii="Calibri"/>
        </w:rPr>
        <w:t>Lukarišće</w:t>
      </w:r>
      <w:proofErr w:type="spellEnd"/>
      <w:r w:rsidRPr="00077C20">
        <w:rPr>
          <w:rFonts w:cs="Times New Roman" w:eastAsia="Calibri" w:hAnsi="Calibri" w:ascii="Calibri"/>
        </w:rPr>
        <w:t>, Bjelovarska 119, Dugo Selo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OIB : 35786475408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Stečajni upravitelj : Ivo Žiža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St- 490/2017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 xml:space="preserve">                                 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 xml:space="preserve">                                                                                    REPUBLIKA HRVATSKA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 xml:space="preserve">                                                                                    TRGOVAČKI SUD U BJELOVARU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 xml:space="preserve">                                                                                    ŠETALIŠTE dr.I.LEBOVIĆA 42, Bjelovar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 xml:space="preserve">                                                                                    Stečajni sudac : Marija Petrina Kubica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  <w:b/>
        </w:rPr>
      </w:pPr>
      <w:r w:rsidRPr="00077C20">
        <w:rPr>
          <w:rFonts w:cs="Times New Roman" w:eastAsia="Calibri" w:hAnsi="Calibri" w:ascii="Calibri"/>
          <w:b/>
        </w:rPr>
        <w:t xml:space="preserve">                           IZVJEŠĆE STEČAJNOG UPRAVITELJA ZA IZVJEŠTAJNO ROČIŠTE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  <w:b/>
        </w:rPr>
      </w:pPr>
      <w:r w:rsidRPr="00077C20">
        <w:rPr>
          <w:rFonts w:cs="Times New Roman" w:eastAsia="Calibri" w:hAnsi="Calibri" w:ascii="Calibri"/>
          <w:b/>
        </w:rPr>
        <w:t>UVOD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 xml:space="preserve">Financijska agencija je, po čl. 444.st.2.2 SZ 18.svibnja 2016.g. Trgovačkom sudu u Zagrebu podnijela prijedlog za otvaranje stečajnog postupka nad dužnikom U.-G.-D. d.o.o. za prijevoz , trgovinu, građevinarstvo i ugostiteljstvo, Dugo Selo, </w:t>
      </w:r>
      <w:proofErr w:type="spellStart"/>
      <w:r w:rsidRPr="00077C20">
        <w:rPr>
          <w:rFonts w:cs="Times New Roman" w:eastAsia="Calibri" w:hAnsi="Calibri" w:ascii="Calibri"/>
        </w:rPr>
        <w:t>Lukarišće</w:t>
      </w:r>
      <w:proofErr w:type="spellEnd"/>
      <w:r w:rsidRPr="00077C20">
        <w:rPr>
          <w:rFonts w:cs="Times New Roman" w:eastAsia="Calibri" w:hAnsi="Calibri" w:ascii="Calibri"/>
        </w:rPr>
        <w:t xml:space="preserve"> , Bjelovarska 119, OIB : 35786475408.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Nakon provedenog prethodnog postupka i utvrđivanja stanja imovine stečajnog dužnika , iz kojeg je vidljivo da isti ne posjeduje imovinu iz koje bi se mogli pokriti troškovi stečajnog postupka, NAVA banka d.d. „ u stečaju „ predujmila je iznos za vođenje stečajnog postupka, te time pokazala da ima interes za vođenje stečajnog postupka.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 xml:space="preserve">Temeljem utvrđenih činjenica dana 12. veljače 2019.g. rješenjem Trgovačkog suda u Bjelovaru otvoren je stečajni postupak nad stečajnim dužnikom. 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Rješenjem  o otvaranju stečajnog postupka imenovan sam stečajnim upraviteljem u ovom stečajnom postupku.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Za dan održavanja ispitnog i izvještajnog ročišta određen je 16. svibanj 2019.g.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lastRenderedPageBreak/>
        <w:t xml:space="preserve">Rješenjem su pozvani vjerovnici viših isplatnih redova da u roku 60 dana od dana objave rješenja na e-Oglasnoj ploči suda prijave svoje tražbine, izlučna i </w:t>
      </w:r>
      <w:proofErr w:type="spellStart"/>
      <w:r w:rsidRPr="00077C20">
        <w:rPr>
          <w:rFonts w:cs="Times New Roman" w:eastAsia="Calibri" w:hAnsi="Calibri" w:ascii="Calibri"/>
        </w:rPr>
        <w:t>razlučna</w:t>
      </w:r>
      <w:proofErr w:type="spellEnd"/>
      <w:r w:rsidRPr="00077C20">
        <w:rPr>
          <w:rFonts w:cs="Times New Roman" w:eastAsia="Calibri" w:hAnsi="Calibri" w:ascii="Calibri"/>
        </w:rPr>
        <w:t xml:space="preserve"> prava.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  <w:b/>
        </w:rPr>
      </w:pPr>
      <w:r w:rsidRPr="00077C20">
        <w:rPr>
          <w:rFonts w:cs="Times New Roman" w:eastAsia="Calibri" w:hAnsi="Calibri" w:ascii="Calibri"/>
          <w:b/>
        </w:rPr>
        <w:t xml:space="preserve">I  OSNOVNI PODACI O STEČAJNOM DUŽNIKU 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Stečajni dužnik osnovan je 1990.g., a osnovna djelatnost dužnika bile su prijevozničke usluge roba i ugostiteljska djelatnost.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Temeljni kapital društva iznosi 22.900,00 kn.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 xml:space="preserve">Jedina odgovorna osoba i osnivač je Goran Uložnik, </w:t>
      </w:r>
      <w:proofErr w:type="spellStart"/>
      <w:r w:rsidRPr="00077C20">
        <w:rPr>
          <w:rFonts w:cs="Times New Roman" w:eastAsia="Calibri" w:hAnsi="Calibri" w:ascii="Calibri"/>
        </w:rPr>
        <w:t>Lukarišće</w:t>
      </w:r>
      <w:proofErr w:type="spellEnd"/>
      <w:r w:rsidRPr="00077C20">
        <w:rPr>
          <w:rFonts w:cs="Times New Roman" w:eastAsia="Calibri" w:hAnsi="Calibri" w:ascii="Calibri"/>
        </w:rPr>
        <w:t>, Bjelovarska 119.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  <w:b/>
        </w:rPr>
      </w:pPr>
      <w:r w:rsidRPr="00077C20">
        <w:rPr>
          <w:rFonts w:cs="Times New Roman" w:eastAsia="Calibri" w:hAnsi="Calibri" w:ascii="Calibri"/>
          <w:b/>
        </w:rPr>
        <w:t xml:space="preserve">II GOSPODARSKI POLOŽAJ STEČAJNOG DUŽNIKA 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Stečajni dužnik nije redovito podnosio financijske izvještaje, a zadnji izvještaj prema Poreznoj upravi i FINA-i podnio je  2014.g.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Stečajni dužnik je više od 120 dana u neprekidnoj blokadi.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Po mom osobnom uvjerenju stečajni dužnik nema poslovnih aktivnosti koje bi mogao provoditi, a prema zaprimljenim prijavama  tražbina i utvrđenih aktivnosti, vidljivo je da je gospodarsko stanje takvo da nikakve  gospodarske aktivnosti nije moguće provoditi, što znači da nema osnova za daljnje poslovanje.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  <w:b/>
        </w:rPr>
      </w:pPr>
      <w:r w:rsidRPr="00077C20">
        <w:rPr>
          <w:rFonts w:cs="Times New Roman" w:eastAsia="Calibri" w:hAnsi="Calibri" w:ascii="Calibri"/>
          <w:b/>
        </w:rPr>
        <w:t>III IMOVINSKO STANJE STEČAJNOG DUŽNIKA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Kako stečajni dužnik nije vodio poslovne knjige, niti je uredno predavao financijska izvješća, početna stečajna bilanca izrađena je na temelju prijava vjerovnika stečajnog dužnika.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 xml:space="preserve"> Prema izjavi bivšeg predsjednika uprave , stečajni dužnik nema nikakve pokretne i nepokretne imovine, niti financijskih potraživanja.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Da je navedeno točno, vidljivo je iz potvrda :</w:t>
      </w:r>
    </w:p>
    <w:p w:rsidRDefault="00077C20" w:rsidP="00077C20" w:rsidR="00077C20" w:rsidRPr="00077C20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Državne geodetske uprave</w:t>
      </w:r>
    </w:p>
    <w:p w:rsidRDefault="00077C20" w:rsidP="00077C20" w:rsidR="00077C20" w:rsidRPr="00077C20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Uvjerenja stanice za tehnički pregled vozila ( postojale su pokretnine koje su odjavljene i otuđene ( prodane ) prije provedbe ovrhe ili su date u staro željezo – prema izjavi bivše odgovorne osobe</w:t>
      </w:r>
    </w:p>
    <w:p w:rsidRDefault="00077C20" w:rsidP="00077C20" w:rsidR="00077C20" w:rsidRPr="00077C20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 xml:space="preserve">Potvrde FINA-e  iz koje je vidljivo da je dužnik do </w:t>
      </w:r>
      <w:proofErr w:type="spellStart"/>
      <w:r w:rsidRPr="00077C20">
        <w:rPr>
          <w:rFonts w:cs="Times New Roman" w:eastAsia="Calibri" w:hAnsi="Calibri" w:ascii="Calibri"/>
        </w:rPr>
        <w:t>ishodovanja</w:t>
      </w:r>
      <w:proofErr w:type="spellEnd"/>
      <w:r w:rsidRPr="00077C20">
        <w:rPr>
          <w:rFonts w:cs="Times New Roman" w:eastAsia="Calibri" w:hAnsi="Calibri" w:ascii="Calibri"/>
        </w:rPr>
        <w:t xml:space="preserve"> potvrde ( 28.2.2019.) bio u blokadi  169 dana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lastRenderedPageBreak/>
        <w:t>POPIS PREDMETA STEČAJNE MASE  čl.221 SZ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129"/>
        <w:gridCol w:w="3544"/>
        <w:gridCol w:w="4389"/>
      </w:tblGrid>
      <w:tr w:rsidTr="001F157B" w:rsidR="00077C20" w:rsidRPr="00077C20">
        <w:tc>
          <w:tcPr>
            <w:tcW w:type="dxa" w:w="1129"/>
            <w:shd w:themeFillShade="F2" w:themeFill="background1" w:fill="F2F2F2" w:color="auto" w:val="clear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  <w:b/>
              </w:rPr>
            </w:pPr>
            <w:r w:rsidRPr="00077C20">
              <w:rPr>
                <w:rFonts w:cs="Times New Roman" w:eastAsia="Calibri" w:hAnsi="Calibri" w:ascii="Calibri"/>
                <w:b/>
              </w:rPr>
              <w:t>R.br.</w:t>
            </w:r>
          </w:p>
        </w:tc>
        <w:tc>
          <w:tcPr>
            <w:tcW w:type="dxa" w:w="3544"/>
            <w:shd w:themeFillShade="F2" w:themeFill="background1" w:fill="F2F2F2" w:color="auto" w:val="clear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  <w:b/>
              </w:rPr>
            </w:pPr>
            <w:r w:rsidRPr="00077C20">
              <w:rPr>
                <w:rFonts w:cs="Times New Roman" w:eastAsia="Calibri" w:hAnsi="Calibri" w:ascii="Calibri"/>
                <w:b/>
              </w:rPr>
              <w:t>OPIS IMOVINE</w:t>
            </w:r>
          </w:p>
        </w:tc>
        <w:tc>
          <w:tcPr>
            <w:tcW w:type="dxa" w:w="4389"/>
            <w:shd w:themeFillShade="F2" w:themeFill="background1" w:fill="F2F2F2" w:color="auto" w:val="clear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  <w:b/>
              </w:rPr>
            </w:pPr>
            <w:r w:rsidRPr="00077C20">
              <w:rPr>
                <w:rFonts w:cs="Times New Roman" w:eastAsia="Calibri" w:hAnsi="Calibri" w:ascii="Calibri"/>
                <w:b/>
              </w:rPr>
              <w:t>VRIJEDNOST U POČETNOJ STEČAJNOJ BILANCI  ( kn)</w:t>
            </w:r>
          </w:p>
        </w:tc>
      </w:tr>
      <w:tr w:rsidTr="001F157B" w:rsidR="00077C20" w:rsidRPr="00077C20">
        <w:tc>
          <w:tcPr>
            <w:tcW w:type="dxa" w:w="1129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</w:rPr>
            </w:pPr>
            <w:r w:rsidRPr="00077C20">
              <w:rPr>
                <w:rFonts w:cs="Times New Roman" w:eastAsia="Calibri" w:hAnsi="Calibri" w:ascii="Calibri"/>
              </w:rPr>
              <w:t>1.</w:t>
            </w:r>
          </w:p>
        </w:tc>
        <w:tc>
          <w:tcPr>
            <w:tcW w:type="dxa" w:w="3544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</w:rPr>
            </w:pPr>
            <w:r w:rsidRPr="00077C20">
              <w:rPr>
                <w:rFonts w:cs="Times New Roman" w:eastAsia="Calibri" w:hAnsi="Calibri" w:ascii="Calibri"/>
              </w:rPr>
              <w:t xml:space="preserve">Stečajni dužnik nema pokretne i nepokretne imovine </w:t>
            </w:r>
          </w:p>
        </w:tc>
        <w:tc>
          <w:tcPr>
            <w:tcW w:type="dxa" w:w="4389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</w:rPr>
            </w:pPr>
            <w:r w:rsidRPr="00077C20">
              <w:rPr>
                <w:rFonts w:cs="Times New Roman" w:eastAsia="Calibri" w:hAnsi="Calibri" w:ascii="Calibri"/>
              </w:rPr>
              <w:t xml:space="preserve">                          0,00 </w:t>
            </w:r>
          </w:p>
        </w:tc>
      </w:tr>
    </w:tbl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PREGLED IMOVINE I OBVEZA  - Čl.223 SZ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IMOVINA</w:t>
      </w:r>
    </w:p>
    <w:p w:rsidRDefault="00077C20" w:rsidP="00077C20" w:rsidR="00077C20" w:rsidRPr="00077C20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Nema imovine</w:t>
      </w:r>
    </w:p>
    <w:p w:rsidRDefault="00077C20" w:rsidP="00077C20" w:rsidR="00077C20" w:rsidRPr="00077C20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OBVEZE</w:t>
      </w: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1053"/>
        <w:gridCol w:w="3544"/>
        <w:gridCol w:w="4105"/>
      </w:tblGrid>
      <w:tr w:rsidTr="001F157B" w:rsidR="00077C20" w:rsidRPr="00077C20">
        <w:tc>
          <w:tcPr>
            <w:tcW w:type="dxa" w:w="1053"/>
            <w:shd w:themeFillShade="F2" w:themeFill="background1" w:fill="F2F2F2" w:color="auto" w:val="clear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  <w:b/>
              </w:rPr>
            </w:pPr>
            <w:r w:rsidRPr="00077C20">
              <w:rPr>
                <w:rFonts w:cs="Times New Roman" w:eastAsia="Calibri" w:hAnsi="Calibri" w:ascii="Calibri"/>
                <w:b/>
              </w:rPr>
              <w:t>R.br.</w:t>
            </w:r>
          </w:p>
        </w:tc>
        <w:tc>
          <w:tcPr>
            <w:tcW w:type="dxa" w:w="3544"/>
            <w:shd w:themeFillShade="F2" w:themeFill="background1" w:fill="F2F2F2" w:color="auto" w:val="clear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  <w:b/>
              </w:rPr>
            </w:pPr>
            <w:r w:rsidRPr="00077C20">
              <w:rPr>
                <w:rFonts w:cs="Times New Roman" w:eastAsia="Calibri" w:hAnsi="Calibri" w:ascii="Calibri"/>
                <w:b/>
              </w:rPr>
              <w:t xml:space="preserve"> OSNOV TRAŽBINE</w:t>
            </w:r>
          </w:p>
        </w:tc>
        <w:tc>
          <w:tcPr>
            <w:tcW w:type="dxa" w:w="4105"/>
            <w:shd w:themeFillShade="F2" w:themeFill="background1" w:fill="F2F2F2" w:color="auto" w:val="clear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  <w:b/>
              </w:rPr>
            </w:pPr>
            <w:r w:rsidRPr="00077C20">
              <w:rPr>
                <w:rFonts w:cs="Times New Roman" w:eastAsia="Calibri" w:hAnsi="Calibri" w:ascii="Calibri"/>
                <w:b/>
              </w:rPr>
              <w:t>VRIJEDNOST U POČETNOJ STEČAJNOJ BILANCI  ( KN)</w:t>
            </w:r>
          </w:p>
        </w:tc>
      </w:tr>
      <w:tr w:rsidTr="001F157B" w:rsidR="00077C20" w:rsidRPr="00077C20">
        <w:tc>
          <w:tcPr>
            <w:tcW w:type="dxa" w:w="1053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</w:rPr>
            </w:pPr>
            <w:r w:rsidRPr="00077C20">
              <w:rPr>
                <w:rFonts w:cs="Times New Roman" w:eastAsia="Calibri" w:hAnsi="Calibri" w:ascii="Calibri"/>
              </w:rPr>
              <w:t>1.</w:t>
            </w:r>
          </w:p>
        </w:tc>
        <w:tc>
          <w:tcPr>
            <w:tcW w:type="dxa" w:w="3544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</w:rPr>
            </w:pPr>
            <w:r w:rsidRPr="00077C20">
              <w:rPr>
                <w:rFonts w:cs="Times New Roman" w:eastAsia="Calibri" w:hAnsi="Calibri" w:ascii="Calibri"/>
              </w:rPr>
              <w:t>Obveze za poreze i doprinose</w:t>
            </w:r>
          </w:p>
        </w:tc>
        <w:tc>
          <w:tcPr>
            <w:tcW w:type="dxa" w:w="4105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</w:rPr>
            </w:pPr>
            <w:r w:rsidRPr="00077C20">
              <w:rPr>
                <w:rFonts w:cs="Times New Roman" w:eastAsia="Calibri" w:hAnsi="Calibri" w:ascii="Calibri"/>
              </w:rPr>
              <w:t xml:space="preserve">                  159.185,74</w:t>
            </w:r>
          </w:p>
        </w:tc>
      </w:tr>
      <w:tr w:rsidTr="001F157B" w:rsidR="00077C20" w:rsidRPr="00077C20">
        <w:tc>
          <w:tcPr>
            <w:tcW w:type="dxa" w:w="1053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</w:rPr>
            </w:pPr>
            <w:r w:rsidRPr="00077C20">
              <w:rPr>
                <w:rFonts w:cs="Times New Roman" w:eastAsia="Calibri" w:hAnsi="Calibri" w:ascii="Calibri"/>
              </w:rPr>
              <w:t>2.</w:t>
            </w:r>
          </w:p>
        </w:tc>
        <w:tc>
          <w:tcPr>
            <w:tcW w:type="dxa" w:w="3544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</w:rPr>
            </w:pPr>
            <w:r w:rsidRPr="00077C20">
              <w:rPr>
                <w:rFonts w:cs="Times New Roman" w:eastAsia="Calibri" w:hAnsi="Calibri" w:ascii="Calibri"/>
              </w:rPr>
              <w:t>Obveze prema financijskim institucijama</w:t>
            </w:r>
          </w:p>
        </w:tc>
        <w:tc>
          <w:tcPr>
            <w:tcW w:type="dxa" w:w="4105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</w:rPr>
            </w:pPr>
            <w:r w:rsidRPr="00077C20">
              <w:rPr>
                <w:rFonts w:cs="Times New Roman" w:eastAsia="Calibri" w:hAnsi="Calibri" w:ascii="Calibri"/>
              </w:rPr>
              <w:t xml:space="preserve">              </w:t>
            </w:r>
          </w:p>
          <w:p w:rsidRDefault="00077C20" w:rsidP="00077C20" w:rsidR="00077C20" w:rsidRPr="00077C20">
            <w:pPr>
              <w:rPr>
                <w:rFonts w:cs="Times New Roman" w:eastAsia="Calibri" w:hAnsi="Calibri" w:ascii="Calibri"/>
              </w:rPr>
            </w:pPr>
            <w:r w:rsidRPr="00077C20">
              <w:rPr>
                <w:rFonts w:cs="Times New Roman" w:eastAsia="Calibri" w:hAnsi="Calibri" w:ascii="Calibri"/>
              </w:rPr>
              <w:t xml:space="preserve">                  129.885,60</w:t>
            </w:r>
          </w:p>
        </w:tc>
      </w:tr>
      <w:tr w:rsidTr="001F157B" w:rsidR="00077C20" w:rsidRPr="00077C20">
        <w:tc>
          <w:tcPr>
            <w:tcW w:type="dxa" w:w="1053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</w:rPr>
            </w:pPr>
            <w:r w:rsidRPr="00077C20">
              <w:rPr>
                <w:rFonts w:cs="Times New Roman" w:eastAsia="Calibri" w:hAnsi="Calibri" w:ascii="Calibri"/>
              </w:rPr>
              <w:t>3.</w:t>
            </w:r>
          </w:p>
        </w:tc>
        <w:tc>
          <w:tcPr>
            <w:tcW w:type="dxa" w:w="3544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</w:rPr>
            </w:pPr>
            <w:r w:rsidRPr="00077C20">
              <w:rPr>
                <w:rFonts w:cs="Times New Roman" w:eastAsia="Calibri" w:hAnsi="Calibri" w:ascii="Calibri"/>
              </w:rPr>
              <w:t>Ostale obveze ( dobavljači i dr. )</w:t>
            </w:r>
          </w:p>
        </w:tc>
        <w:tc>
          <w:tcPr>
            <w:tcW w:type="dxa" w:w="4105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</w:rPr>
            </w:pPr>
            <w:r w:rsidRPr="00077C20">
              <w:rPr>
                <w:rFonts w:cs="Times New Roman" w:eastAsia="Calibri" w:hAnsi="Calibri" w:ascii="Calibri"/>
              </w:rPr>
              <w:t xml:space="preserve">                  153.873,39</w:t>
            </w:r>
          </w:p>
        </w:tc>
      </w:tr>
      <w:tr w:rsidTr="001F157B" w:rsidR="00077C20" w:rsidRPr="00077C20">
        <w:tc>
          <w:tcPr>
            <w:tcW w:type="dxa" w:w="1053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  <w:b/>
              </w:rPr>
            </w:pPr>
          </w:p>
        </w:tc>
        <w:tc>
          <w:tcPr>
            <w:tcW w:type="dxa" w:w="3544"/>
            <w:shd w:themeFillShade="F2" w:themeFill="background1" w:fill="F2F2F2" w:color="auto" w:val="clear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  <w:b/>
              </w:rPr>
            </w:pPr>
            <w:r w:rsidRPr="00077C20">
              <w:rPr>
                <w:rFonts w:cs="Times New Roman" w:eastAsia="Calibri" w:hAnsi="Calibri" w:ascii="Calibri"/>
                <w:b/>
              </w:rPr>
              <w:t>UKUPNO  1+2+3</w:t>
            </w:r>
          </w:p>
        </w:tc>
        <w:tc>
          <w:tcPr>
            <w:tcW w:type="dxa" w:w="4105"/>
            <w:shd w:themeFillShade="F2" w:themeFill="background1" w:fill="F2F2F2" w:color="auto" w:val="clear"/>
          </w:tcPr>
          <w:p w:rsidRDefault="00077C20" w:rsidP="00077C20" w:rsidR="00077C20" w:rsidRPr="00077C20">
            <w:pPr>
              <w:rPr>
                <w:rFonts w:cs="Times New Roman" w:eastAsia="Calibri" w:hAnsi="Calibri" w:ascii="Calibri"/>
                <w:b/>
              </w:rPr>
            </w:pPr>
            <w:r w:rsidRPr="00077C20">
              <w:rPr>
                <w:rFonts w:cs="Times New Roman" w:eastAsia="Calibri" w:hAnsi="Calibri" w:ascii="Calibri"/>
                <w:b/>
              </w:rPr>
              <w:t xml:space="preserve">                  442.944,73</w:t>
            </w:r>
          </w:p>
        </w:tc>
      </w:tr>
    </w:tbl>
    <w:p w:rsidRDefault="00077C20" w:rsidP="00077C20" w:rsidR="00077C20" w:rsidRPr="00077C20">
      <w:pPr>
        <w:spacing w:lineRule="auto" w:line="259" w:after="160"/>
        <w:ind w:left="360"/>
        <w:rPr>
          <w:rFonts w:cs="Times New Roman" w:eastAsia="Calibri" w:hAnsi="Calibri" w:ascii="Calibri"/>
          <w:b/>
        </w:rPr>
      </w:pPr>
    </w:p>
    <w:p w:rsidRDefault="00077C20" w:rsidP="00077C20" w:rsidR="00077C20" w:rsidRPr="00077C20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Napomena : Obveze u početnoj stečajnoj bilanci iskazane su prema zaprimljenim prijavama tražbina.</w:t>
      </w:r>
    </w:p>
    <w:p w:rsidRDefault="00077C20" w:rsidP="00077C20" w:rsidR="00077C20" w:rsidRPr="00077C20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ind w:left="360"/>
        <w:rPr>
          <w:rFonts w:cs="Times New Roman" w:eastAsia="Calibri" w:hAnsi="Calibri" w:ascii="Calibri"/>
          <w:b/>
        </w:rPr>
      </w:pPr>
      <w:r w:rsidRPr="00077C20">
        <w:rPr>
          <w:rFonts w:cs="Times New Roman" w:eastAsia="Calibri" w:hAnsi="Calibri" w:ascii="Calibri"/>
          <w:b/>
        </w:rPr>
        <w:t>IV PRIJAVLJENE TRAŽBINE</w:t>
      </w:r>
    </w:p>
    <w:p w:rsidRDefault="00077C20" w:rsidP="00077C20" w:rsidR="00077C20" w:rsidRPr="00077C20">
      <w:pPr>
        <w:spacing w:lineRule="auto" w:line="259" w:after="160"/>
        <w:ind w:left="360"/>
        <w:rPr>
          <w:rFonts w:cs="Times New Roman" w:eastAsia="Calibri" w:hAnsi="Calibri" w:ascii="Calibri"/>
          <w:b/>
        </w:rPr>
      </w:pPr>
    </w:p>
    <w:p w:rsidRDefault="00077C20" w:rsidP="00077C20" w:rsidR="00077C20" w:rsidRPr="00077C20">
      <w:pPr>
        <w:spacing w:lineRule="auto" w:line="259" w:after="160"/>
        <w:ind w:left="360"/>
        <w:rPr>
          <w:rFonts w:cs="Times New Roman" w:eastAsia="Calibri" w:hAnsi="Calibri" w:ascii="Calibri"/>
          <w:b/>
        </w:rPr>
      </w:pPr>
    </w:p>
    <w:p w:rsidRDefault="00077C20" w:rsidP="00077C20" w:rsidR="00077C20" w:rsidRPr="00077C20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U  roku određenom za prijavu tražbina ( u skladu sa čl. 257 i 258 SZ ) pristiglo je ukupno 8 (osam) tražbina, i to : sedam  ( 7 )  drugog višeg isplatnog reda i jedna ( 1) tražbina prvog višeg isplatnog reda.</w:t>
      </w:r>
    </w:p>
    <w:p w:rsidRDefault="00077C20" w:rsidP="00077C20" w:rsidR="00077C20" w:rsidRPr="00077C20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 xml:space="preserve">Pristigla je i jedna obavijest o postojanju </w:t>
      </w:r>
      <w:proofErr w:type="spellStart"/>
      <w:r w:rsidRPr="00077C20">
        <w:rPr>
          <w:rFonts w:cs="Times New Roman" w:eastAsia="Calibri" w:hAnsi="Calibri" w:ascii="Calibri"/>
        </w:rPr>
        <w:t>razlučnog</w:t>
      </w:r>
      <w:proofErr w:type="spellEnd"/>
      <w:r w:rsidRPr="00077C20">
        <w:rPr>
          <w:rFonts w:cs="Times New Roman" w:eastAsia="Calibri" w:hAnsi="Calibri" w:ascii="Calibri"/>
        </w:rPr>
        <w:t xml:space="preserve"> prava na pokretninama ( čl. 259 SZ) .</w:t>
      </w:r>
    </w:p>
    <w:p w:rsidRDefault="00077C20" w:rsidP="00077C20" w:rsidR="00077C20" w:rsidRPr="00077C20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Nije pristigla ni jedna obavijest o izlučnom pravu, niti je utvrđena.</w:t>
      </w:r>
    </w:p>
    <w:p w:rsidRDefault="00077C20" w:rsidP="00077C20" w:rsidR="00077C20" w:rsidRPr="00077C20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Ukupno prijavljene tražbine prvog i drugog višeg isplatnog reda iznose 442.944,73 kn.</w:t>
      </w:r>
    </w:p>
    <w:p w:rsidRDefault="00077C20" w:rsidP="00077C20" w:rsidR="00077C20" w:rsidRPr="00077C20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ind w:left="360"/>
        <w:rPr>
          <w:rFonts w:cs="Times New Roman" w:eastAsia="Calibri" w:hAnsi="Calibri" w:ascii="Calibri"/>
          <w:b/>
        </w:rPr>
      </w:pPr>
      <w:r w:rsidRPr="00077C20">
        <w:rPr>
          <w:rFonts w:cs="Times New Roman" w:eastAsia="Calibri" w:hAnsi="Calibri" w:ascii="Calibri"/>
          <w:b/>
        </w:rPr>
        <w:t xml:space="preserve">ZAKLJUČAK </w:t>
      </w:r>
    </w:p>
    <w:p w:rsidRDefault="00077C20" w:rsidP="00077C20" w:rsidR="00077C20" w:rsidRPr="00077C20">
      <w:pPr>
        <w:spacing w:lineRule="auto" w:line="259" w:after="160"/>
        <w:ind w:left="360"/>
        <w:rPr>
          <w:rFonts w:cs="Times New Roman" w:eastAsia="Calibri" w:hAnsi="Calibri" w:ascii="Calibri"/>
          <w:b/>
        </w:rPr>
      </w:pPr>
    </w:p>
    <w:p w:rsidRDefault="00077C20" w:rsidP="00077C20" w:rsidR="00077C20" w:rsidRPr="00077C20">
      <w:pPr>
        <w:spacing w:lineRule="auto" w:line="259" w:after="160"/>
        <w:ind w:left="360"/>
        <w:rPr>
          <w:rFonts w:cs="Times New Roman" w:eastAsia="Calibri" w:hAnsi="Calibri" w:ascii="Calibri"/>
          <w:b/>
        </w:rPr>
      </w:pPr>
      <w:r w:rsidRPr="00077C20">
        <w:rPr>
          <w:rFonts w:cs="Times New Roman" w:eastAsia="Calibri" w:hAnsi="Calibri" w:ascii="Calibri"/>
          <w:b/>
        </w:rPr>
        <w:t xml:space="preserve">       PREDLAŽEM :</w:t>
      </w:r>
    </w:p>
    <w:p w:rsidRDefault="00077C20" w:rsidP="00077C20" w:rsidR="00077C20" w:rsidRPr="00077C20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 xml:space="preserve">        </w:t>
      </w:r>
    </w:p>
    <w:p w:rsidRDefault="00077C20" w:rsidP="00077C20" w:rsidR="00077C20" w:rsidRPr="00077C20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Da se izvješće stečajnog upravitelja , kao takvo, u cijelosti prihvati</w:t>
      </w:r>
    </w:p>
    <w:p w:rsidRDefault="00077C20" w:rsidP="00077C20" w:rsidR="00077C20" w:rsidRPr="00077C20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Da se prihvati konstatacija da stečajni dužnik nema daljnjih mogućnosti za nastavak poslovanja</w:t>
      </w:r>
    </w:p>
    <w:p w:rsidRDefault="00077C20" w:rsidP="00077C20" w:rsidR="00077C20" w:rsidRPr="00077C20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Da se pristupi zaključivanju stečajnog postupka  u skladu sa čl. 294 SZ, jer stečajni dužnik nema nikakve imovine za ispunjavanje ostalih obveza stečajne mase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>Ludbreg, 1. svibanj 2019.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 xml:space="preserve">                                                                                        Stečajni upravitelj :</w:t>
      </w:r>
    </w:p>
    <w:p w:rsidRDefault="00077C20" w:rsidP="00077C20" w:rsidR="00077C20" w:rsidRPr="00077C20">
      <w:pPr>
        <w:spacing w:lineRule="auto" w:line="259" w:after="160"/>
        <w:rPr>
          <w:rFonts w:cs="Times New Roman" w:eastAsia="Calibri" w:hAnsi="Calibri" w:ascii="Calibri"/>
        </w:rPr>
      </w:pPr>
      <w:r w:rsidRPr="00077C20">
        <w:rPr>
          <w:rFonts w:cs="Times New Roman" w:eastAsia="Calibri" w:hAnsi="Calibri" w:ascii="Calibri"/>
        </w:rPr>
        <w:t xml:space="preserve">                                                                                        Ivo Žiža</w:t>
      </w:r>
    </w:p>
    <w:p w:rsidRDefault="00077C20" w:rsidP="00077C20" w:rsidR="00077C20" w:rsidRPr="00077C20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077C20" w:rsidR="00E529BF">
      <w:bookmarkStart w:name="_GoBack" w:id="0"/>
      <w:bookmarkEnd w:id="0"/>
    </w:p>
    <w:sectPr w:rsidR="00E529BF">
      <w:footerReference w:type="default" r:id="rId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2218063"/>
      <w:docPartObj>
        <w:docPartGallery w:val="Page Numbers (Bottom of Page)"/>
        <w:docPartUnique/>
      </w:docPartObj>
    </w:sdtPr>
    <w:sdtEndPr/>
    <w:sdtContent>
      <w:p w:rsidRDefault="00077C20" w:rsidR="006C164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077C20" w:rsidR="006C164B">
    <w:pPr>
      <w:pStyle w:val="Podnoje"/>
    </w:pPr>
  </w:p>
</w:ft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706312"/>
    <w:multiLevelType w:val="hybridMultilevel"/>
    <w:tmpl w:val="51767486"/>
    <w:lvl w:tplc="3DEE6370" w:ilvl="0">
      <w:start w:val="21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CD520CA"/>
    <w:multiLevelType w:val="hybridMultilevel"/>
    <w:tmpl w:val="A2BA4076"/>
    <w:lvl w:tplc="9E26B4E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7C20"/>
    <w:rsid w:val="00077C20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077C2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7C20"/>
  </w:style>
  <w:style w:styleId="Reetkatablice" w:type="table">
    <w:name w:val="Table Grid"/>
    <w:basedOn w:val="Obinatablica"/>
    <w:uiPriority w:val="39"/>
    <w:rsid w:val="00077C2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077C2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77C20"/>
  </w:style>
  <w:style w:styleId="Reetkatablice" w:type="table">
    <w:name w:val="Table Grid"/>
    <w:basedOn w:val="Obinatablica"/>
    <w:uiPriority w:val="39"/>
    <w:rsid w:val="00077C2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777</properties:Words>
  <properties:Characters>4431</properties:Characters>
  <properties:Lines>36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2019-05-06T10:41:00Z</dcterms:created>
  <dc:creator>Željka Vitez</dc:creator>
  <cp:lastModifiedBy>Željka Vitez</cp:lastModifiedBy>
  <dcterms:modified xmlns:xsi="http://www.w3.org/2001/XMLSchema-instance" xsi:type="dcterms:W3CDTF">2019-05-06T10:41:00Z</dcterms:modified>
  <cp:revision>1</cp:revision>
</cp:coreProperties>
</file>