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4a4c" w14:paraId="c4d4a4c" w:rsidRDefault="005F1ABE" w:rsidP="005F1ABE" w:rsidR="005F1ABE"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22.</w:t>
      </w:r>
    </w:p>
    <w:p w:rsidRDefault="005F1ABE" w:rsidP="005F1ABE" w:rsidR="005F1ABE" w:rsidRPr="00AC1BA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037DCE" w:rsidP="00037DCE" w:rsidR="00037DCE">
      <w:pPr>
        <w:jc w:val="center"/>
        <w:rPr>
          <w:rFonts w:hAnsi="Times New Roman" w:ascii="Times New Roman"/>
          <w:sz w:val="24"/>
          <w:szCs w:val="24"/>
        </w:rPr>
      </w:pPr>
    </w:p>
    <w:p w:rsidRDefault="008B56E5" w:rsidP="008B56E5" w:rsidR="008B56E5" w:rsidRPr="008B56E5">
      <w:pPr>
        <w:jc w:val="both"/>
        <w:rPr>
          <w:rFonts w:hAnsi="Times New Roman" w:ascii="Times New Roman"/>
          <w:sz w:val="24"/>
          <w:szCs w:val="24"/>
        </w:rPr>
      </w:pPr>
      <w:r w:rsidRPr="008B56E5">
        <w:rPr>
          <w:rFonts w:hAnsi="Times New Roman" w:ascii="Times New Roman"/>
          <w:sz w:val="24"/>
          <w:szCs w:val="24"/>
          <w:lang w:val="pl-PL"/>
        </w:rPr>
        <w:t>Nadle</w:t>
      </w:r>
      <w:r w:rsidRPr="008B56E5">
        <w:rPr>
          <w:rFonts w:hAnsi="Times New Roman" w:ascii="Times New Roman"/>
          <w:sz w:val="24"/>
          <w:szCs w:val="24"/>
        </w:rPr>
        <w:t>ž</w:t>
      </w:r>
      <w:r w:rsidRPr="008B56E5">
        <w:rPr>
          <w:rFonts w:hAnsi="Times New Roman" w:ascii="Times New Roman"/>
          <w:sz w:val="24"/>
          <w:szCs w:val="24"/>
          <w:lang w:val="pl-PL"/>
        </w:rPr>
        <w:t>ni trgova</w:t>
      </w:r>
      <w:r w:rsidRPr="008B56E5">
        <w:rPr>
          <w:rFonts w:hAnsi="Times New Roman" w:ascii="Times New Roman"/>
          <w:sz w:val="24"/>
          <w:szCs w:val="24"/>
        </w:rPr>
        <w:t>č</w:t>
      </w:r>
      <w:r w:rsidRPr="008B56E5">
        <w:rPr>
          <w:rFonts w:hAnsi="Times New Roman" w:ascii="Times New Roman"/>
          <w:sz w:val="24"/>
          <w:szCs w:val="24"/>
          <w:lang w:val="pl-PL"/>
        </w:rPr>
        <w:t>ki sud</w:t>
      </w:r>
      <w:r w:rsidRPr="008B56E5">
        <w:rPr>
          <w:rFonts w:hAnsi="Times New Roman" w:ascii="Times New Roman"/>
          <w:sz w:val="24"/>
          <w:szCs w:val="24"/>
        </w:rPr>
        <w:t>: TRGOVAČKI SUD U ZAGREBU</w:t>
      </w:r>
    </w:p>
    <w:p w:rsidRDefault="008B56E5" w:rsidP="008B56E5" w:rsidR="008B56E5" w:rsidRPr="008B56E5">
      <w:pPr>
        <w:jc w:val="both"/>
        <w:rPr>
          <w:rFonts w:hAnsi="Times New Roman" w:ascii="Times New Roman"/>
          <w:sz w:val="24"/>
          <w:szCs w:val="24"/>
          <w:lang w:val="pl-PL"/>
        </w:rPr>
      </w:pPr>
      <w:r w:rsidRPr="008B56E5">
        <w:rPr>
          <w:rFonts w:hAnsi="Times New Roman" w:ascii="Times New Roman"/>
          <w:sz w:val="24"/>
          <w:szCs w:val="24"/>
          <w:lang w:val="pl-PL"/>
        </w:rPr>
        <w:t xml:space="preserve">Poslovni broj spisa </w:t>
      </w:r>
      <w:r w:rsidRPr="008B56E5">
        <w:rPr>
          <w:rFonts w:hAnsi="Times New Roman" w:ascii="Times New Roman"/>
          <w:bCs/>
          <w:sz w:val="24"/>
          <w:szCs w:val="24"/>
        </w:rPr>
        <w:t>St-</w:t>
      </w:r>
      <w:r w:rsidR="00356559">
        <w:rPr>
          <w:rFonts w:hAnsi="Times New Roman" w:ascii="Times New Roman"/>
          <w:bCs/>
          <w:sz w:val="24"/>
          <w:szCs w:val="24"/>
        </w:rPr>
        <w:t>2741/17</w:t>
      </w:r>
    </w:p>
    <w:p w:rsidRDefault="008B56E5" w:rsidP="008B56E5" w:rsidR="008B56E5" w:rsidRPr="008B56E5">
      <w:pPr>
        <w:rPr>
          <w:rFonts w:hAnsi="Times New Roman" w:ascii="Times New Roman"/>
          <w:sz w:val="24"/>
          <w:szCs w:val="24"/>
          <w:lang w:val="pl-PL"/>
        </w:rPr>
      </w:pPr>
      <w:r w:rsidRPr="008B56E5">
        <w:rPr>
          <w:rFonts w:hAnsi="Times New Roman" w:ascii="Times New Roman"/>
          <w:sz w:val="24"/>
          <w:szCs w:val="24"/>
          <w:lang w:val="pl-PL"/>
        </w:rPr>
        <w:t>Dužnik (ime i prezime / tvrtka ili naziv, OIB, adresa / sjedište):</w:t>
      </w:r>
    </w:p>
    <w:p w:rsidRDefault="00750065" w:rsidP="00750065" w:rsidR="00CC6901" w:rsidRPr="00C82E6A">
      <w:pPr>
        <w:jc w:val="both"/>
        <w:rPr>
          <w:rFonts w:hAnsi="Times New Roman" w:ascii="Times New Roman"/>
          <w:sz w:val="24"/>
          <w:szCs w:val="24"/>
          <w:lang w:val="pl-PL"/>
        </w:rPr>
      </w:pPr>
      <w:r>
        <w:rPr>
          <w:rFonts w:eastAsia="Times New Roman" w:hAnsi="Times New Roman" w:ascii="Times New Roman"/>
          <w:sz w:val="24"/>
          <w:szCs w:val="24"/>
          <w:lang w:eastAsia="hr-HR"/>
        </w:rPr>
        <w:t>STEČAJNA MASA</w:t>
      </w:r>
      <w:r w:rsidRPr="00750065">
        <w:rPr>
          <w:rFonts w:eastAsia="Times New Roman" w:hAnsi="Times New Roman" w:ascii="Times New Roman"/>
          <w:sz w:val="24"/>
          <w:szCs w:val="24"/>
          <w:lang w:eastAsia="hr-HR"/>
        </w:rPr>
        <w:t xml:space="preserve"> iza TPK-PIRUS, Poduzeće za poslovne, istraživačko-razvojen i ugostiteljske usluge d.o.o., </w:t>
      </w:r>
      <w:r w:rsidR="008B56E5" w:rsidRPr="008B56E5">
        <w:rPr>
          <w:rFonts w:hAnsi="Times New Roman" w:ascii="Times New Roman"/>
          <w:sz w:val="24"/>
          <w:szCs w:val="24"/>
          <w:lang w:val="pl-PL"/>
        </w:rPr>
        <w:t xml:space="preserve">sa sjedištem u Zagrebu (Grad Zagreb), </w:t>
      </w:r>
      <w:r w:rsidRPr="00750065">
        <w:rPr>
          <w:rFonts w:eastAsia="Times New Roman" w:hAnsi="Times New Roman" w:ascii="Times New Roman"/>
          <w:sz w:val="24"/>
          <w:szCs w:val="24"/>
          <w:lang w:eastAsia="hr-HR"/>
        </w:rPr>
        <w:t>Zadarska 77, OIB 49835246191</w:t>
      </w:r>
    </w:p>
    <w:p w:rsidRDefault="0067632C" w:rsidP="0067632C" w:rsidR="0067632C" w:rsidRPr="00655B39">
      <w:pPr>
        <w:spacing w:lineRule="auto" w:line="360"/>
        <w:jc w:val="both"/>
        <w:rPr>
          <w:rFonts w:hAnsi="Times New Roman" w:ascii="Times New Roman"/>
          <w:sz w:val="24"/>
        </w:rPr>
      </w:pPr>
      <w:r w:rsidRPr="003726DD">
        <w:rPr>
          <w:rFonts w:hAnsi="Times New Roman" w:ascii="Times New Roman"/>
          <w:sz w:val="24"/>
        </w:rPr>
        <w:t>I</w:t>
      </w:r>
      <w:r>
        <w:rPr>
          <w:rFonts w:hAnsi="Times New Roman" w:ascii="Times New Roman"/>
          <w:sz w:val="24"/>
          <w:szCs w:val="24"/>
        </w:rPr>
        <w:t>.</w:t>
      </w:r>
      <w:r w:rsidRPr="00655B39">
        <w:rPr>
          <w:rFonts w:hAnsi="Times New Roman" w:ascii="Times New Roman"/>
          <w:sz w:val="24"/>
        </w:rPr>
        <w:t xml:space="preserve"> RAČUN PRIHODA I RASHODA </w:t>
      </w:r>
    </w:p>
    <w:p w:rsidRDefault="0067632C" w:rsidP="0067632C" w:rsidR="00D763EE">
      <w:pPr>
        <w:spacing w:after="120"/>
        <w:jc w:val="both"/>
        <w:rPr>
          <w:rFonts w:hAnsi="Times New Roman" w:ascii="Times New Roman"/>
          <w:sz w:val="24"/>
          <w:szCs w:val="24"/>
          <w:lang w:val="pl-PL"/>
        </w:rPr>
      </w:pPr>
      <w:r>
        <w:rPr>
          <w:rFonts w:hAnsi="Times New Roman" w:ascii="Times New Roman"/>
          <w:sz w:val="24"/>
          <w:szCs w:val="24"/>
          <w:lang w:val="pl-PL"/>
        </w:rPr>
        <w:t xml:space="preserve">(za razdoblje </w:t>
      </w:r>
      <w:r w:rsidR="0040575F" w:rsidRPr="0040575F">
        <w:rPr>
          <w:rFonts w:hAnsi="Times New Roman" w:ascii="Times New Roman"/>
          <w:sz w:val="24"/>
          <w:szCs w:val="24"/>
          <w:lang w:val="pl-PL"/>
        </w:rPr>
        <w:t xml:space="preserve">od 16.04.2015. </w:t>
      </w:r>
      <w:r w:rsidR="00110152">
        <w:rPr>
          <w:rFonts w:hAnsi="Times New Roman" w:ascii="Times New Roman"/>
          <w:sz w:val="24"/>
          <w:szCs w:val="24"/>
          <w:lang w:val="pl-PL"/>
        </w:rPr>
        <w:t xml:space="preserve"> godine do 23.12</w:t>
      </w:r>
      <w:r>
        <w:rPr>
          <w:rFonts w:hAnsi="Times New Roman" w:ascii="Times New Roman"/>
          <w:sz w:val="24"/>
          <w:szCs w:val="24"/>
          <w:lang w:val="pl-PL"/>
        </w:rPr>
        <w:t>.2016. godine)</w:t>
      </w:r>
    </w:p>
    <w:tbl>
      <w:tblPr>
        <w:tblW w:type="dxa" w:w="8780"/>
        <w:tblLook w:val="04A0" w:noVBand="1" w:noHBand="0" w:lastColumn="0" w:firstColumn="1" w:lastRow="0" w:firstRow="1"/>
      </w:tblPr>
      <w:tblGrid>
        <w:gridCol w:w="817"/>
        <w:gridCol w:w="6543"/>
        <w:gridCol w:w="1420"/>
      </w:tblGrid>
      <w:tr w:rsidTr="008B6723" w:rsidR="0067632C" w:rsidRPr="00D668DF">
        <w:trPr>
          <w:trHeight w:val="324"/>
        </w:trPr>
        <w:tc>
          <w:tcPr>
            <w:tcW w:type="dxa" w:w="7360"/>
            <w:gridSpan w:val="2"/>
            <w:tcBorders>
              <w:top w:val="nil"/>
              <w:left w:val="nil"/>
              <w:bottom w:val="nil"/>
              <w:right w:val="nil"/>
            </w:tcBorders>
            <w:shd w:fill="auto" w:color="auto" w:val="clear"/>
            <w:noWrap/>
            <w:vAlign w:val="bottom"/>
            <w:hideMark/>
          </w:tcPr>
          <w:p w:rsidRDefault="0067632C" w:rsidP="00110152" w:rsidR="0067632C" w:rsidRPr="00D668DF">
            <w:pPr>
              <w:spacing w:after="0"/>
              <w:rPr>
                <w:rFonts w:eastAsia="Times New Roman" w:hAnsi="Times New Roman" w:ascii="Times New Roman"/>
                <w:sz w:val="24"/>
                <w:szCs w:val="24"/>
                <w:lang w:eastAsia="hr-HR"/>
              </w:rPr>
            </w:pPr>
            <w:r w:rsidRPr="00D668DF">
              <w:rPr>
                <w:rFonts w:eastAsia="Times New Roman" w:hAnsi="Times New Roman" w:ascii="Times New Roman"/>
                <w:sz w:val="24"/>
                <w:szCs w:val="24"/>
                <w:lang w:eastAsia="hr-HR"/>
              </w:rPr>
              <w:t xml:space="preserve">A / Pregled svih </w:t>
            </w:r>
            <w:r w:rsidR="00A77BCB">
              <w:rPr>
                <w:rFonts w:eastAsia="Times New Roman" w:hAnsi="Times New Roman" w:ascii="Times New Roman"/>
                <w:sz w:val="24"/>
                <w:szCs w:val="24"/>
                <w:lang w:eastAsia="hr-HR"/>
              </w:rPr>
              <w:t>prihoda</w:t>
            </w:r>
          </w:p>
        </w:tc>
        <w:tc>
          <w:tcPr>
            <w:tcW w:type="dxa" w:w="1420"/>
            <w:tcBorders>
              <w:top w:val="nil"/>
              <w:left w:val="nil"/>
              <w:bottom w:val="nil"/>
              <w:right w:val="nil"/>
            </w:tcBorders>
            <w:shd w:fill="auto" w:color="auto" w:val="clear"/>
            <w:noWrap/>
            <w:vAlign w:val="bottom"/>
            <w:hideMark/>
          </w:tcPr>
          <w:p w:rsidRDefault="0067632C" w:rsidP="008B6723" w:rsidR="0067632C" w:rsidRPr="00D668DF">
            <w:pPr>
              <w:spacing w:after="0"/>
              <w:rPr>
                <w:rFonts w:eastAsia="Times New Roman" w:hAnsi="Times New Roman" w:ascii="Times New Roman"/>
                <w:sz w:val="24"/>
                <w:szCs w:val="24"/>
                <w:lang w:eastAsia="hr-HR"/>
              </w:rPr>
            </w:pPr>
          </w:p>
        </w:tc>
      </w:tr>
      <w:tr w:rsidTr="00A77BCB" w:rsidR="0067632C" w:rsidRPr="00D668DF">
        <w:trPr>
          <w:trHeight w:val="324"/>
        </w:trPr>
        <w:tc>
          <w:tcPr>
            <w:tcW w:type="dxa" w:w="817"/>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67632C" w:rsidP="008B6723" w:rsidR="0067632C" w:rsidRPr="00A77BCB">
            <w:pPr>
              <w:spacing w:after="0"/>
              <w:rPr>
                <w:rFonts w:eastAsia="Times New Roman" w:hAnsi="Times New Roman" w:ascii="Times New Roman"/>
                <w:color w:val="000000"/>
                <w:lang w:eastAsia="hr-HR"/>
              </w:rPr>
            </w:pPr>
            <w:r w:rsidRPr="00A77BCB">
              <w:rPr>
                <w:rFonts w:eastAsia="Times New Roman" w:hAnsi="Times New Roman" w:ascii="Times New Roman"/>
                <w:color w:val="000000"/>
                <w:lang w:eastAsia="hr-HR"/>
              </w:rPr>
              <w:t xml:space="preserve">r. br. </w:t>
            </w:r>
          </w:p>
        </w:tc>
        <w:tc>
          <w:tcPr>
            <w:tcW w:type="dxa" w:w="6543"/>
            <w:tcBorders>
              <w:top w:space="0" w:sz="8" w:color="auto" w:val="single"/>
              <w:left w:val="nil"/>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opis stavke</w:t>
            </w:r>
          </w:p>
        </w:tc>
        <w:tc>
          <w:tcPr>
            <w:tcW w:type="dxa" w:w="1420"/>
            <w:tcBorders>
              <w:top w:space="0" w:sz="8" w:color="auto" w:val="single"/>
              <w:left w:val="nil"/>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Iznos</w:t>
            </w:r>
            <w:r w:rsidR="00A77BCB">
              <w:rPr>
                <w:rFonts w:eastAsia="Times New Roman" w:hAnsi="Times New Roman" w:ascii="Times New Roman"/>
                <w:color w:val="000000"/>
                <w:sz w:val="24"/>
                <w:szCs w:val="24"/>
                <w:lang w:eastAsia="hr-HR"/>
              </w:rPr>
              <w:t>/kn</w:t>
            </w:r>
          </w:p>
        </w:tc>
      </w:tr>
      <w:tr w:rsidTr="00A77BCB" w:rsidR="0067632C" w:rsidRPr="00D668DF">
        <w:trPr>
          <w:trHeight w:val="324"/>
        </w:trPr>
        <w:tc>
          <w:tcPr>
            <w:tcW w:type="dxa" w:w="817"/>
            <w:tcBorders>
              <w:top w:val="nil"/>
              <w:left w:space="0" w:sz="8" w:color="auto" w:val="single"/>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1.</w:t>
            </w:r>
          </w:p>
        </w:tc>
        <w:tc>
          <w:tcPr>
            <w:tcW w:type="dxa" w:w="6543"/>
            <w:tcBorders>
              <w:top w:val="nil"/>
              <w:left w:val="nil"/>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Početno stanje</w:t>
            </w:r>
          </w:p>
        </w:tc>
        <w:tc>
          <w:tcPr>
            <w:tcW w:type="dxa" w:w="1420"/>
            <w:tcBorders>
              <w:top w:val="nil"/>
              <w:left w:val="nil"/>
              <w:bottom w:space="0" w:sz="8" w:color="auto" w:val="single"/>
              <w:right w:space="0" w:sz="8" w:color="auto" w:val="single"/>
            </w:tcBorders>
            <w:shd w:fill="auto" w:color="auto" w:val="clear"/>
            <w:noWrap/>
            <w:vAlign w:val="bottom"/>
            <w:hideMark/>
          </w:tcPr>
          <w:p w:rsidRDefault="0067632C" w:rsidP="008B6723" w:rsidR="0067632C" w:rsidRPr="00D668DF">
            <w:pPr>
              <w:spacing w:after="0"/>
              <w:jc w:val="right"/>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0,00</w:t>
            </w:r>
          </w:p>
        </w:tc>
      </w:tr>
      <w:tr w:rsidTr="00A77BCB" w:rsidR="0067632C" w:rsidRPr="00D668DF">
        <w:trPr>
          <w:trHeight w:val="285"/>
        </w:trPr>
        <w:tc>
          <w:tcPr>
            <w:tcW w:type="dxa" w:w="817"/>
            <w:tcBorders>
              <w:top w:val="nil"/>
              <w:left w:space="0" w:sz="8" w:color="auto" w:val="single"/>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 </w:t>
            </w:r>
          </w:p>
        </w:tc>
        <w:tc>
          <w:tcPr>
            <w:tcW w:type="dxa" w:w="6543"/>
            <w:tcBorders>
              <w:top w:val="nil"/>
              <w:left w:val="nil"/>
              <w:bottom w:space="0" w:sz="8" w:color="auto" w:val="single"/>
              <w:right w:space="0" w:sz="8" w:color="auto" w:val="single"/>
            </w:tcBorders>
            <w:shd w:fill="auto" w:color="auto" w:val="clear"/>
            <w:noWrap/>
            <w:vAlign w:val="bottom"/>
            <w:hideMark/>
          </w:tcPr>
          <w:p w:rsidRDefault="0067632C" w:rsidP="00A77BCB"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 xml:space="preserve">Ukupno ostvaren </w:t>
            </w:r>
            <w:r w:rsidR="00A77BCB">
              <w:rPr>
                <w:rFonts w:eastAsia="Times New Roman" w:hAnsi="Times New Roman" w:ascii="Times New Roman"/>
                <w:color w:val="000000"/>
                <w:sz w:val="24"/>
                <w:szCs w:val="24"/>
                <w:lang w:eastAsia="hr-HR"/>
              </w:rPr>
              <w:t>prihod</w:t>
            </w:r>
          </w:p>
        </w:tc>
        <w:tc>
          <w:tcPr>
            <w:tcW w:type="dxa" w:w="1420"/>
            <w:tcBorders>
              <w:top w:val="nil"/>
              <w:left w:val="nil"/>
              <w:bottom w:space="0" w:sz="8" w:color="auto" w:val="single"/>
              <w:right w:space="0" w:sz="8" w:color="auto" w:val="single"/>
            </w:tcBorders>
            <w:shd w:fill="auto" w:color="auto" w:val="clear"/>
            <w:noWrap/>
            <w:vAlign w:val="bottom"/>
            <w:hideMark/>
          </w:tcPr>
          <w:p w:rsidRDefault="00917463" w:rsidP="008B6723" w:rsidR="0067632C" w:rsidRPr="00D668DF">
            <w:pPr>
              <w:spacing w:after="0"/>
              <w:jc w:val="right"/>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0,00</w:t>
            </w:r>
          </w:p>
        </w:tc>
      </w:tr>
    </w:tbl>
    <w:p w:rsidRDefault="0067632C" w:rsidP="0067632C" w:rsidR="0067632C">
      <w:pPr>
        <w:spacing w:after="120"/>
        <w:jc w:val="both"/>
        <w:rPr>
          <w:rFonts w:hAnsi="Times New Roman" w:ascii="Times New Roman"/>
          <w:sz w:val="24"/>
          <w:szCs w:val="24"/>
          <w:lang w:val="pl-PL"/>
        </w:rPr>
      </w:pPr>
    </w:p>
    <w:tbl>
      <w:tblPr>
        <w:tblW w:type="dxa" w:w="8780"/>
        <w:tblLook w:val="04A0" w:noVBand="1" w:noHBand="0" w:lastColumn="0" w:firstColumn="1" w:lastRow="0" w:firstRow="1"/>
      </w:tblPr>
      <w:tblGrid>
        <w:gridCol w:w="817"/>
        <w:gridCol w:w="6543"/>
        <w:gridCol w:w="1420"/>
      </w:tblGrid>
      <w:tr w:rsidTr="008B6723" w:rsidR="0067632C" w:rsidRPr="00D668DF">
        <w:trPr>
          <w:trHeight w:val="324"/>
        </w:trPr>
        <w:tc>
          <w:tcPr>
            <w:tcW w:type="dxa" w:w="7360"/>
            <w:gridSpan w:val="2"/>
            <w:tcBorders>
              <w:top w:val="nil"/>
              <w:left w:val="nil"/>
              <w:bottom w:val="nil"/>
              <w:right w:val="nil"/>
            </w:tcBorders>
            <w:shd w:fill="auto" w:color="auto" w:val="clear"/>
            <w:noWrap/>
            <w:vAlign w:val="bottom"/>
            <w:hideMark/>
          </w:tcPr>
          <w:p w:rsidRDefault="00A77BCB" w:rsidP="00110152" w:rsidR="0067632C" w:rsidRPr="00D668DF">
            <w:pPr>
              <w:spacing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B / Pregled svih rashoda</w:t>
            </w:r>
          </w:p>
        </w:tc>
        <w:tc>
          <w:tcPr>
            <w:tcW w:type="dxa" w:w="1420"/>
            <w:tcBorders>
              <w:top w:val="nil"/>
              <w:left w:val="nil"/>
              <w:bottom w:val="nil"/>
              <w:right w:val="nil"/>
            </w:tcBorders>
            <w:shd w:fill="auto" w:color="auto" w:val="clear"/>
            <w:noWrap/>
            <w:vAlign w:val="bottom"/>
            <w:hideMark/>
          </w:tcPr>
          <w:p w:rsidRDefault="0067632C" w:rsidP="008B6723" w:rsidR="0067632C" w:rsidRPr="00D668DF">
            <w:pPr>
              <w:spacing w:after="0"/>
              <w:rPr>
                <w:rFonts w:eastAsia="Times New Roman" w:hAnsi="Times New Roman" w:ascii="Times New Roman"/>
                <w:sz w:val="24"/>
                <w:szCs w:val="24"/>
                <w:lang w:eastAsia="hr-HR"/>
              </w:rPr>
            </w:pPr>
          </w:p>
        </w:tc>
      </w:tr>
      <w:tr w:rsidTr="00A77BCB" w:rsidR="0067632C" w:rsidRPr="00D668DF">
        <w:trPr>
          <w:trHeight w:val="324"/>
        </w:trPr>
        <w:tc>
          <w:tcPr>
            <w:tcW w:type="dxa" w:w="817"/>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 xml:space="preserve">r. br. </w:t>
            </w:r>
          </w:p>
        </w:tc>
        <w:tc>
          <w:tcPr>
            <w:tcW w:type="dxa" w:w="6543"/>
            <w:tcBorders>
              <w:top w:space="0" w:sz="8" w:color="auto" w:val="single"/>
              <w:left w:val="nil"/>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opis stavke</w:t>
            </w:r>
          </w:p>
        </w:tc>
        <w:tc>
          <w:tcPr>
            <w:tcW w:type="dxa" w:w="1420"/>
            <w:tcBorders>
              <w:top w:space="0" w:sz="8" w:color="auto" w:val="single"/>
              <w:left w:val="nil"/>
              <w:bottom w:space="0" w:sz="8" w:color="auto" w:val="single"/>
              <w:right w:space="0" w:sz="8" w:color="auto" w:val="single"/>
            </w:tcBorders>
            <w:shd w:fill="auto" w:color="auto" w:val="clear"/>
            <w:noWrap/>
            <w:vAlign w:val="bottom"/>
            <w:hideMark/>
          </w:tcPr>
          <w:p w:rsidRDefault="0067632C" w:rsidP="008B6723" w:rsidR="0067632C" w:rsidRPr="00D668DF">
            <w:pPr>
              <w:spacing w:after="0"/>
              <w:rPr>
                <w:rFonts w:eastAsia="Times New Roman" w:hAnsi="Times New Roman" w:ascii="Times New Roman"/>
                <w:color w:val="000000"/>
                <w:sz w:val="24"/>
                <w:szCs w:val="24"/>
                <w:lang w:eastAsia="hr-HR"/>
              </w:rPr>
            </w:pPr>
            <w:r w:rsidRPr="00D668DF">
              <w:rPr>
                <w:rFonts w:eastAsia="Times New Roman" w:hAnsi="Times New Roman" w:ascii="Times New Roman"/>
                <w:color w:val="000000"/>
                <w:sz w:val="24"/>
                <w:szCs w:val="24"/>
                <w:lang w:eastAsia="hr-HR"/>
              </w:rPr>
              <w:t>Iznos</w:t>
            </w:r>
          </w:p>
        </w:tc>
      </w:tr>
      <w:tr w:rsidTr="00A77BCB" w:rsidR="0067632C" w:rsidRPr="00D668DF">
        <w:trPr>
          <w:trHeight w:val="324"/>
        </w:trPr>
        <w:tc>
          <w:tcPr>
            <w:tcW w:type="dxa" w:w="817"/>
            <w:tcBorders>
              <w:top w:val="nil"/>
              <w:left w:space="0" w:sz="8" w:color="auto" w:val="single"/>
              <w:bottom w:space="0" w:sz="8" w:color="auto" w:val="single"/>
              <w:right w:space="0" w:sz="8" w:color="auto" w:val="single"/>
            </w:tcBorders>
            <w:shd w:fill="auto" w:color="auto" w:val="clear"/>
            <w:noWrap/>
            <w:vAlign w:val="bottom"/>
            <w:hideMark/>
          </w:tcPr>
          <w:p w:rsidRDefault="006B0BC2" w:rsidP="008B6723" w:rsidR="0067632C" w:rsidRPr="00D668D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1</w:t>
            </w:r>
            <w:r w:rsidR="0067632C" w:rsidRPr="00D668DF">
              <w:rPr>
                <w:rFonts w:eastAsia="Times New Roman" w:hAnsi="Times New Roman" w:ascii="Times New Roman"/>
                <w:color w:val="000000"/>
                <w:sz w:val="24"/>
                <w:szCs w:val="24"/>
                <w:lang w:eastAsia="hr-HR"/>
              </w:rPr>
              <w:t>.</w:t>
            </w:r>
          </w:p>
        </w:tc>
        <w:tc>
          <w:tcPr>
            <w:tcW w:type="dxa" w:w="6543"/>
            <w:tcBorders>
              <w:top w:val="nil"/>
              <w:left w:val="nil"/>
              <w:bottom w:space="0" w:sz="8" w:color="auto" w:val="single"/>
              <w:right w:space="0" w:sz="8" w:color="auto" w:val="single"/>
            </w:tcBorders>
            <w:shd w:fill="auto" w:color="auto" w:val="clear"/>
            <w:noWrap/>
            <w:vAlign w:val="bottom"/>
            <w:hideMark/>
          </w:tcPr>
          <w:p w:rsidRDefault="00750065" w:rsidP="003D22A7" w:rsidR="0067632C" w:rsidRPr="00D668D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Pristojba za zemljišnoknjižni upis</w:t>
            </w:r>
          </w:p>
        </w:tc>
        <w:tc>
          <w:tcPr>
            <w:tcW w:type="dxa" w:w="1420"/>
            <w:tcBorders>
              <w:top w:val="nil"/>
              <w:left w:val="nil"/>
              <w:bottom w:space="0" w:sz="8" w:color="auto" w:val="single"/>
              <w:right w:space="0" w:sz="8" w:color="auto" w:val="single"/>
            </w:tcBorders>
            <w:shd w:fill="auto" w:color="auto" w:val="clear"/>
            <w:noWrap/>
            <w:vAlign w:val="bottom"/>
            <w:hideMark/>
          </w:tcPr>
          <w:p w:rsidRDefault="00917463" w:rsidP="008B6723" w:rsidR="0067632C" w:rsidRPr="00D668D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50,00</w:t>
            </w:r>
          </w:p>
        </w:tc>
      </w:tr>
      <w:tr w:rsidTr="00576C33" w:rsidR="00553D51" w:rsidRPr="00D668DF">
        <w:trPr>
          <w:trHeight w:val="324"/>
        </w:trPr>
        <w:tc>
          <w:tcPr>
            <w:tcW w:type="dxa" w:w="817"/>
            <w:tcBorders>
              <w:top w:val="nil"/>
              <w:left w:space="0" w:sz="8" w:color="auto" w:val="single"/>
              <w:bottom w:space="0" w:sz="8" w:color="auto" w:val="single"/>
              <w:right w:space="0" w:sz="8" w:color="auto" w:val="single"/>
            </w:tcBorders>
            <w:shd w:fill="auto" w:color="auto" w:val="clear"/>
            <w:noWrap/>
            <w:vAlign w:val="bottom"/>
            <w:hideMark/>
          </w:tcPr>
          <w:p w:rsidRDefault="00DD5DDA" w:rsidP="00576C33" w:rsidR="00553D51" w:rsidRPr="00D668D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w:t>
            </w:r>
          </w:p>
        </w:tc>
        <w:tc>
          <w:tcPr>
            <w:tcW w:type="dxa" w:w="6543"/>
            <w:tcBorders>
              <w:top w:val="nil"/>
              <w:left w:val="nil"/>
              <w:bottom w:space="0" w:sz="8" w:color="auto" w:val="single"/>
              <w:right w:space="0" w:sz="8" w:color="auto" w:val="single"/>
            </w:tcBorders>
            <w:shd w:fill="auto" w:color="auto" w:val="clear"/>
            <w:noWrap/>
            <w:vAlign w:val="bottom"/>
            <w:hideMark/>
          </w:tcPr>
          <w:p w:rsidRDefault="00DD5DDA" w:rsidP="001B44FC" w:rsidR="00553D51" w:rsidRPr="00D668DF">
            <w:pPr>
              <w:spacing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Utvrđenje vrijednosti nekretnina</w:t>
            </w:r>
          </w:p>
        </w:tc>
        <w:tc>
          <w:tcPr>
            <w:tcW w:type="dxa" w:w="1420"/>
            <w:tcBorders>
              <w:top w:val="nil"/>
              <w:left w:val="nil"/>
              <w:bottom w:space="0" w:sz="8" w:color="auto" w:val="single"/>
              <w:right w:space="0" w:sz="8" w:color="auto" w:val="single"/>
            </w:tcBorders>
            <w:shd w:fill="auto" w:color="auto" w:val="clear"/>
            <w:noWrap/>
            <w:vAlign w:val="bottom"/>
            <w:hideMark/>
          </w:tcPr>
          <w:p w:rsidRDefault="00356559" w:rsidP="00576C33" w:rsidR="00553D51" w:rsidRPr="00D668D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w:t>
            </w:r>
            <w:r w:rsidR="00750065">
              <w:rPr>
                <w:rFonts w:eastAsia="Times New Roman" w:hAnsi="Times New Roman" w:ascii="Times New Roman"/>
                <w:color w:val="000000"/>
                <w:sz w:val="24"/>
                <w:szCs w:val="24"/>
                <w:lang w:eastAsia="hr-HR"/>
              </w:rPr>
              <w:t>5</w:t>
            </w:r>
            <w:r>
              <w:rPr>
                <w:rFonts w:eastAsia="Times New Roman" w:hAnsi="Times New Roman" w:ascii="Times New Roman"/>
                <w:color w:val="000000"/>
                <w:sz w:val="24"/>
                <w:szCs w:val="24"/>
                <w:lang w:eastAsia="hr-HR"/>
              </w:rPr>
              <w:t>0</w:t>
            </w:r>
            <w:r w:rsidR="001B44FC">
              <w:rPr>
                <w:rFonts w:eastAsia="Times New Roman" w:hAnsi="Times New Roman" w:ascii="Times New Roman"/>
                <w:color w:val="000000"/>
                <w:sz w:val="24"/>
                <w:szCs w:val="24"/>
                <w:lang w:eastAsia="hr-HR"/>
              </w:rPr>
              <w:t>0</w:t>
            </w:r>
            <w:r w:rsidR="00553D51">
              <w:rPr>
                <w:rFonts w:eastAsia="Times New Roman" w:hAnsi="Times New Roman" w:ascii="Times New Roman"/>
                <w:color w:val="000000"/>
                <w:sz w:val="24"/>
                <w:szCs w:val="24"/>
                <w:lang w:eastAsia="hr-HR"/>
              </w:rPr>
              <w:t>,00</w:t>
            </w:r>
          </w:p>
        </w:tc>
      </w:tr>
      <w:tr w:rsidTr="00356559" w:rsidR="00356559" w:rsidRPr="00D668DF">
        <w:trPr>
          <w:trHeight w:val="324"/>
        </w:trPr>
        <w:tc>
          <w:tcPr>
            <w:tcW w:type="dxa" w:w="817"/>
            <w:tcBorders>
              <w:top w:val="nil"/>
              <w:left w:space="0" w:sz="8" w:color="auto" w:val="single"/>
              <w:bottom w:space="0" w:sz="8" w:color="auto" w:val="single"/>
              <w:right w:space="0" w:sz="8" w:color="auto" w:val="single"/>
            </w:tcBorders>
            <w:shd w:fill="auto" w:color="auto" w:val="clear"/>
            <w:noWrap/>
            <w:vAlign w:val="bottom"/>
            <w:hideMark/>
          </w:tcPr>
          <w:p w:rsidRDefault="00356559" w:rsidP="00DA6454" w:rsidR="00356559" w:rsidRPr="00D668DF">
            <w:pPr>
              <w:spacing w:after="0"/>
              <w:rPr>
                <w:rFonts w:eastAsia="Times New Roman" w:hAnsi="Times New Roman" w:ascii="Times New Roman"/>
                <w:color w:val="000000"/>
                <w:sz w:val="24"/>
                <w:szCs w:val="24"/>
                <w:lang w:eastAsia="hr-HR"/>
              </w:rPr>
            </w:pPr>
          </w:p>
        </w:tc>
        <w:tc>
          <w:tcPr>
            <w:tcW w:type="dxa" w:w="6543"/>
            <w:tcBorders>
              <w:top w:val="nil"/>
              <w:left w:val="nil"/>
              <w:bottom w:space="0" w:sz="8" w:color="auto" w:val="single"/>
              <w:right w:space="0" w:sz="8" w:color="auto" w:val="single"/>
            </w:tcBorders>
            <w:shd w:fill="auto" w:color="auto" w:val="clear"/>
            <w:noWrap/>
            <w:vAlign w:val="bottom"/>
            <w:hideMark/>
          </w:tcPr>
          <w:p w:rsidRDefault="00356559" w:rsidP="00DA6454" w:rsidR="00356559" w:rsidRPr="00D668DF">
            <w:pPr>
              <w:spacing w:after="0"/>
              <w:rPr>
                <w:rFonts w:eastAsia="Times New Roman" w:hAnsi="Times New Roman" w:ascii="Times New Roman"/>
                <w:color w:val="000000"/>
                <w:sz w:val="24"/>
                <w:szCs w:val="24"/>
                <w:lang w:eastAsia="hr-HR"/>
              </w:rPr>
            </w:pPr>
            <w:r w:rsidRPr="001B44FC">
              <w:rPr>
                <w:rFonts w:eastAsia="Times New Roman" w:hAnsi="Times New Roman" w:ascii="Times New Roman"/>
                <w:color w:val="000000"/>
                <w:sz w:val="24"/>
                <w:szCs w:val="24"/>
                <w:lang w:eastAsia="hr-HR"/>
              </w:rPr>
              <w:t>Ukupno ostvaren</w:t>
            </w:r>
            <w:r>
              <w:rPr>
                <w:rFonts w:eastAsia="Times New Roman" w:hAnsi="Times New Roman" w:ascii="Times New Roman"/>
                <w:color w:val="000000"/>
                <w:sz w:val="24"/>
                <w:szCs w:val="24"/>
                <w:lang w:eastAsia="hr-HR"/>
              </w:rPr>
              <w:t xml:space="preserve"> rashod</w:t>
            </w:r>
          </w:p>
        </w:tc>
        <w:tc>
          <w:tcPr>
            <w:tcW w:type="dxa" w:w="1420"/>
            <w:tcBorders>
              <w:top w:val="nil"/>
              <w:left w:val="nil"/>
              <w:bottom w:space="0" w:sz="8" w:color="auto" w:val="single"/>
              <w:right w:space="0" w:sz="8" w:color="auto" w:val="single"/>
            </w:tcBorders>
            <w:shd w:fill="auto" w:color="auto" w:val="clear"/>
            <w:noWrap/>
            <w:vAlign w:val="bottom"/>
            <w:hideMark/>
          </w:tcPr>
          <w:p w:rsidRDefault="00356559" w:rsidP="00DA6454" w:rsidR="00356559" w:rsidRPr="00D668DF">
            <w:pPr>
              <w:spacing w:after="0"/>
              <w:jc w:val="right"/>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2.550,00</w:t>
            </w:r>
          </w:p>
        </w:tc>
      </w:tr>
    </w:tbl>
    <w:p w:rsidRDefault="00750065" w:rsidP="00085277" w:rsidR="00750065">
      <w:pPr>
        <w:spacing w:after="120"/>
        <w:jc w:val="both"/>
        <w:rPr>
          <w:rFonts w:hAnsi="Times New Roman" w:ascii="Times New Roman"/>
          <w:sz w:val="24"/>
        </w:rPr>
      </w:pPr>
    </w:p>
    <w:p w:rsidRDefault="005F1ABE" w:rsidP="00750065" w:rsidR="00917463" w:rsidRPr="00750065">
      <w:pPr>
        <w:spacing w:after="120"/>
        <w:jc w:val="both"/>
        <w:rPr>
          <w:rFonts w:hAnsi="Times New Roman" w:ascii="Times New Roman"/>
          <w:sz w:val="24"/>
        </w:rPr>
      </w:pPr>
      <w:r w:rsidRPr="003726DD">
        <w:rPr>
          <w:rFonts w:hAnsi="Times New Roman" w:ascii="Times New Roman"/>
          <w:sz w:val="24"/>
        </w:rPr>
        <w:t xml:space="preserve">II. ZAVRŠNA BILANCA </w:t>
      </w:r>
    </w:p>
    <w:p w:rsidRDefault="00750065" w:rsidP="00750065" w:rsidR="00750065" w:rsidRPr="00750065">
      <w:pPr>
        <w:spacing w:after="0"/>
        <w:jc w:val="both"/>
        <w:rPr>
          <w:rFonts w:eastAsia="Times New Roman" w:hAnsi="Times New Roman" w:ascii="Times New Roman"/>
          <w:b/>
          <w:bCs/>
          <w:sz w:val="24"/>
          <w:szCs w:val="24"/>
          <w:u w:val="single"/>
        </w:rPr>
      </w:pPr>
      <w:r>
        <w:rPr>
          <w:rFonts w:eastAsia="Times New Roman" w:hAnsi="Times New Roman" w:ascii="Times New Roman"/>
          <w:sz w:val="24"/>
          <w:szCs w:val="24"/>
          <w:lang w:val="en-US"/>
        </w:rPr>
        <w:t>Stečajnu masu čine suvlasnički djelovi</w:t>
      </w:r>
      <w:r w:rsidRPr="00750065">
        <w:rPr>
          <w:rFonts w:eastAsia="Times New Roman" w:hAnsi="Times New Roman" w:ascii="Times New Roman"/>
          <w:sz w:val="24"/>
          <w:szCs w:val="24"/>
          <w:lang w:val="en-US"/>
        </w:rPr>
        <w:t xml:space="preserve"> </w:t>
      </w:r>
      <w:r w:rsidRPr="00750065">
        <w:rPr>
          <w:rFonts w:eastAsia="Times New Roman" w:hAnsi="Times New Roman" w:ascii="Times New Roman"/>
          <w:sz w:val="24"/>
          <w:szCs w:val="24"/>
        </w:rPr>
        <w:t xml:space="preserve">upisane u zemljišne knjige Općinskog građanskog suda u Zagrebu u </w:t>
      </w:r>
      <w:r w:rsidRPr="00750065">
        <w:rPr>
          <w:rFonts w:eastAsia="Times New Roman" w:hAnsi="Times New Roman" w:ascii="Times New Roman"/>
          <w:bCs/>
          <w:sz w:val="24"/>
          <w:szCs w:val="24"/>
        </w:rPr>
        <w:t>k.o. Grad Zagreb:</w:t>
      </w:r>
    </w:p>
    <w:p w:rsidRDefault="00750065" w:rsidP="00750065" w:rsidR="00750065" w:rsidRPr="00750065">
      <w:pPr>
        <w:spacing w:after="0"/>
        <w:ind w:left="720"/>
        <w:jc w:val="both"/>
        <w:rPr>
          <w:rFonts w:eastAsia="Times New Roman" w:hAnsi="Times New Roman" w:ascii="Times New Roman"/>
          <w:b/>
          <w:bCs/>
          <w:sz w:val="24"/>
          <w:szCs w:val="24"/>
          <w:u w:val="single"/>
        </w:rPr>
      </w:pP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24860, k.č.br. 7397/12 suvlasnički dio br. 8. 14/356</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24862, k.č.br. 7397/13 suvlasnički dio br. 9. 269/7768</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24863, k.č.br. 7397/17 suvlasnički dio br. 9. 120/3476</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24865, k.č.br. 7397/20 suvlasnički dio br. 8. 1/815</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24866, k.č.br. 7397/23 suvlasnički dio br. 8. 122/3502</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24867, k.č.br. 7397/28 suvlasnički dio br. 8. 23/561</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24868, k.č.br. 7397/32 suvlasnički dio br. 8. 2/39</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24869, k.č.br. 7397/37 suvlasnički dio br. 7. 2/53</w:t>
      </w:r>
    </w:p>
    <w:p w:rsidRDefault="00750065" w:rsidP="00750065" w:rsidR="00750065" w:rsidRPr="00750065">
      <w:pPr>
        <w:spacing w:after="0"/>
        <w:ind w:left="720"/>
        <w:jc w:val="both"/>
        <w:rPr>
          <w:rFonts w:eastAsia="Times New Roman" w:hAnsi="Times New Roman" w:ascii="Times New Roman"/>
          <w:sz w:val="24"/>
          <w:szCs w:val="24"/>
        </w:rPr>
      </w:pPr>
      <w:r w:rsidRPr="00750065">
        <w:rPr>
          <w:rFonts w:eastAsia="Times New Roman" w:hAnsi="Times New Roman" w:ascii="Times New Roman"/>
          <w:sz w:val="24"/>
          <w:szCs w:val="24"/>
        </w:rPr>
        <w:t>-z.k.ul. 24871, k.č.br. 7397/47 suvlasnički dio br. 8. 27/616</w:t>
      </w:r>
    </w:p>
    <w:p w:rsidRDefault="00750065" w:rsidP="00085277" w:rsidR="00750065">
      <w:pPr>
        <w:spacing w:after="0"/>
        <w:jc w:val="both"/>
        <w:rPr>
          <w:rFonts w:hAnsi="Times New Roman" w:ascii="Times New Roman"/>
          <w:sz w:val="24"/>
          <w:szCs w:val="24"/>
          <w:lang w:val="pl-PL"/>
        </w:rPr>
      </w:pPr>
    </w:p>
    <w:p w:rsidRDefault="00750065" w:rsidP="00085277" w:rsidR="00750065">
      <w:pPr>
        <w:spacing w:after="0"/>
        <w:jc w:val="both"/>
        <w:rPr>
          <w:rFonts w:hAnsi="Times New Roman" w:ascii="Times New Roman"/>
          <w:sz w:val="24"/>
          <w:szCs w:val="24"/>
          <w:lang w:val="pl-PL"/>
        </w:rPr>
      </w:pPr>
      <w:r>
        <w:rPr>
          <w:rFonts w:hAnsi="Times New Roman" w:ascii="Times New Roman"/>
          <w:sz w:val="24"/>
          <w:szCs w:val="24"/>
          <w:lang w:val="pl-PL"/>
        </w:rPr>
        <w:t xml:space="preserve">Skupština vjerovnika koja je oglašena i sazvana za dan </w:t>
      </w:r>
      <w:r w:rsidRPr="00750065">
        <w:rPr>
          <w:rFonts w:hAnsi="Times New Roman" w:ascii="Times New Roman"/>
          <w:sz w:val="24"/>
          <w:szCs w:val="24"/>
          <w:lang w:val="pl-PL"/>
        </w:rPr>
        <w:t>17. siječnja 2018. godine u 10,10 sati</w:t>
      </w:r>
      <w:r>
        <w:rPr>
          <w:rFonts w:hAnsi="Times New Roman" w:ascii="Times New Roman"/>
          <w:sz w:val="24"/>
          <w:szCs w:val="24"/>
          <w:lang w:val="pl-PL"/>
        </w:rPr>
        <w:t xml:space="preserve"> nije održana jer nije pristupio niti jedan vjerovnik. Dakle, odluka o načinu unovčenja nije donijeta, te su nekretnine očito neunovčive.</w:t>
      </w:r>
    </w:p>
    <w:p w:rsidRDefault="00750065" w:rsidP="00085277" w:rsidR="00750065">
      <w:pPr>
        <w:spacing w:after="0"/>
        <w:jc w:val="both"/>
        <w:rPr>
          <w:rFonts w:hAnsi="Times New Roman" w:ascii="Times New Roman"/>
          <w:sz w:val="24"/>
          <w:szCs w:val="24"/>
          <w:lang w:val="pl-PL"/>
        </w:rPr>
      </w:pPr>
    </w:p>
    <w:p w:rsidRDefault="005F1ABE" w:rsidP="00085277" w:rsidR="005F1ABE" w:rsidRPr="00085277">
      <w:pPr>
        <w:spacing w:after="0"/>
        <w:jc w:val="both"/>
        <w:rPr>
          <w:rFonts w:hAnsi="Times New Roman" w:ascii="Times New Roman"/>
          <w:sz w:val="24"/>
          <w:szCs w:val="24"/>
        </w:rPr>
      </w:pPr>
      <w:r w:rsidRPr="00071365">
        <w:rPr>
          <w:rFonts w:hAnsi="Times New Roman" w:ascii="Times New Roman"/>
          <w:sz w:val="24"/>
          <w:szCs w:val="24"/>
          <w:lang w:val="pl-PL"/>
        </w:rPr>
        <w:t>III. ZAVRŠNI I</w:t>
      </w:r>
      <w:r w:rsidR="00A23407" w:rsidRPr="00071365">
        <w:rPr>
          <w:rFonts w:hAnsi="Times New Roman" w:ascii="Times New Roman"/>
          <w:sz w:val="24"/>
          <w:szCs w:val="24"/>
          <w:lang w:val="pl-PL"/>
        </w:rPr>
        <w:t>ZVJEŠTAJ STEČAJNOGA UPRAVITELJA</w:t>
      </w:r>
    </w:p>
    <w:p w:rsidRDefault="007657AA" w:rsidP="00D817DC" w:rsidR="007657AA" w:rsidRPr="00071365">
      <w:pPr>
        <w:spacing w:after="0"/>
        <w:jc w:val="both"/>
        <w:rPr>
          <w:rFonts w:hAnsi="Times New Roman" w:ascii="Times New Roman"/>
          <w:sz w:val="24"/>
          <w:szCs w:val="24"/>
          <w:lang w:val="pl-PL"/>
        </w:rPr>
      </w:pPr>
    </w:p>
    <w:p w:rsidRDefault="00BF489D" w:rsidP="007657AA" w:rsidR="00BF489D" w:rsidRPr="00750065">
      <w:pPr>
        <w:spacing w:after="0"/>
        <w:jc w:val="both"/>
        <w:rPr>
          <w:rFonts w:hAnsi="Times New Roman" w:ascii="Times New Roman"/>
          <w:sz w:val="24"/>
          <w:szCs w:val="24"/>
          <w:lang w:val="pl-PL"/>
        </w:rPr>
      </w:pPr>
      <w:r w:rsidRPr="00071365">
        <w:rPr>
          <w:rFonts w:hAnsi="Times New Roman" w:ascii="Times New Roman"/>
          <w:sz w:val="24"/>
          <w:szCs w:val="24"/>
          <w:lang w:val="pl-PL"/>
        </w:rPr>
        <w:t>Tijekom stečajnog postupka poduzete su sljedeće radnje.</w:t>
      </w:r>
    </w:p>
    <w:p w:rsidRDefault="00553D51" w:rsidP="00071365" w:rsidR="00553D51" w:rsidRPr="00071365">
      <w:pPr>
        <w:spacing w:after="0"/>
        <w:jc w:val="both"/>
        <w:rPr>
          <w:rFonts w:eastAsia="Times New Roman" w:hAnsi="Times New Roman" w:ascii="Times New Roman"/>
          <w:sz w:val="24"/>
          <w:szCs w:val="24"/>
          <w:lang w:val="en-US"/>
        </w:rPr>
      </w:pPr>
    </w:p>
    <w:p w:rsidRDefault="00750065" w:rsidP="00071365" w:rsidR="00356559">
      <w:pPr>
        <w:pStyle w:val="Odlomakpopisa"/>
        <w:numPr>
          <w:ilvl w:val="0"/>
          <w:numId w:val="24"/>
        </w:numPr>
        <w:spacing w:after="0"/>
        <w:jc w:val="both"/>
        <w:rPr>
          <w:rFonts w:eastAsia="Times New Roman" w:hAnsi="Times New Roman" w:ascii="Times New Roman"/>
          <w:sz w:val="24"/>
          <w:szCs w:val="24"/>
          <w:lang w:val="en-US"/>
        </w:rPr>
      </w:pPr>
      <w:r w:rsidRPr="00356559">
        <w:rPr>
          <w:rFonts w:eastAsia="Times New Roman" w:hAnsi="Times New Roman" w:ascii="Times New Roman"/>
          <w:sz w:val="24"/>
          <w:szCs w:val="24"/>
          <w:lang w:val="en-US"/>
        </w:rPr>
        <w:t>U zemljišne knji</w:t>
      </w:r>
      <w:r w:rsidR="00356559" w:rsidRPr="00356559">
        <w:rPr>
          <w:rFonts w:eastAsia="Times New Roman" w:hAnsi="Times New Roman" w:ascii="Times New Roman"/>
          <w:sz w:val="24"/>
          <w:szCs w:val="24"/>
          <w:lang w:val="en-US"/>
        </w:rPr>
        <w:t>ge je upisana STEČAJNA MASA iza TPK-PIRUS</w:t>
      </w:r>
      <w:r w:rsidR="00356559">
        <w:rPr>
          <w:rFonts w:eastAsia="Times New Roman" w:hAnsi="Times New Roman" w:ascii="Times New Roman"/>
          <w:sz w:val="24"/>
          <w:szCs w:val="24"/>
          <w:lang w:val="en-US"/>
        </w:rPr>
        <w:t xml:space="preserve"> u z.k. postupku Z-62129/17.</w:t>
      </w:r>
    </w:p>
    <w:p w:rsidRDefault="00356559" w:rsidP="00071365" w:rsidR="00750065">
      <w:pPr>
        <w:pStyle w:val="Odlomakpopisa"/>
        <w:numPr>
          <w:ilvl w:val="0"/>
          <w:numId w:val="24"/>
        </w:numPr>
        <w:spacing w:after="0"/>
        <w:jc w:val="both"/>
        <w:rPr>
          <w:rFonts w:eastAsia="Times New Roman" w:hAnsi="Times New Roman" w:ascii="Times New Roman"/>
          <w:sz w:val="24"/>
          <w:szCs w:val="24"/>
          <w:lang w:val="en-US"/>
        </w:rPr>
      </w:pPr>
      <w:r w:rsidRPr="00356559">
        <w:rPr>
          <w:rFonts w:eastAsia="Times New Roman" w:hAnsi="Times New Roman" w:ascii="Times New Roman"/>
          <w:sz w:val="24"/>
          <w:szCs w:val="24"/>
          <w:lang w:val="en-US"/>
        </w:rPr>
        <w:t>Pribavljeno je miš</w:t>
      </w:r>
      <w:r>
        <w:rPr>
          <w:rFonts w:eastAsia="Times New Roman" w:hAnsi="Times New Roman" w:ascii="Times New Roman"/>
          <w:sz w:val="24"/>
          <w:szCs w:val="24"/>
          <w:lang w:val="en-US"/>
        </w:rPr>
        <w:t>ljenje o vrijednosti nekretnina od sudskog vještaka Bojane Sajko.</w:t>
      </w:r>
    </w:p>
    <w:p w:rsidRDefault="00283960" w:rsidP="00283960" w:rsidR="00283960" w:rsidRPr="00283960">
      <w:pPr>
        <w:pStyle w:val="Odlomakpopisa"/>
        <w:numPr>
          <w:ilvl w:val="0"/>
          <w:numId w:val="24"/>
        </w:numPr>
        <w:spacing w:after="0"/>
        <w:jc w:val="both"/>
        <w:rPr>
          <w:rFonts w:eastAsia="Times New Roman" w:hAnsi="Times New Roman" w:ascii="Times New Roman"/>
          <w:sz w:val="24"/>
          <w:szCs w:val="24"/>
          <w:lang w:val="en-US"/>
        </w:rPr>
      </w:pPr>
      <w:r>
        <w:rPr>
          <w:rFonts w:eastAsia="Times New Roman" w:hAnsi="Times New Roman" w:ascii="Times New Roman"/>
          <w:sz w:val="24"/>
          <w:szCs w:val="24"/>
          <w:lang w:val="en-US"/>
        </w:rPr>
        <w:t>Sazvana je skupština vjerovnika na kojoj je trebalo odlučiti o načinu prodaje.</w:t>
      </w:r>
    </w:p>
    <w:p w:rsidRDefault="00FC7608" w:rsidP="00071365" w:rsidR="00FC7608" w:rsidRPr="00071365">
      <w:pPr>
        <w:spacing w:after="0"/>
        <w:jc w:val="both"/>
        <w:rPr>
          <w:rFonts w:eastAsia="Times New Roman" w:hAnsi="Times New Roman" w:ascii="Times New Roman"/>
          <w:sz w:val="24"/>
          <w:szCs w:val="24"/>
          <w:lang w:val="en-US"/>
        </w:rPr>
      </w:pPr>
    </w:p>
    <w:p w:rsidRDefault="00283960" w:rsidP="0067632C" w:rsidR="00283960">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Dakle, sve radnje kako bi se imovina unovčila su poduzete. ali u ovom trenutku nije moguće pristupiti unovčenju, radi neispunjenja zakonom propisanih preduvjeta.</w:t>
      </w:r>
    </w:p>
    <w:p w:rsidRDefault="00283960" w:rsidP="0067632C" w:rsidR="00283960">
      <w:pPr>
        <w:jc w:val="both"/>
        <w:rPr>
          <w:rFonts w:eastAsia="Times New Roman" w:hAnsi="Times New Roman" w:ascii="Times New Roman"/>
          <w:sz w:val="24"/>
          <w:szCs w:val="24"/>
          <w:lang w:eastAsia="hr-HR"/>
        </w:rPr>
      </w:pPr>
    </w:p>
    <w:p w:rsidRDefault="0067632C" w:rsidP="0067632C" w:rsidR="00085277">
      <w:pPr>
        <w:jc w:val="both"/>
        <w:rPr>
          <w:rFonts w:eastAsia="Times New Roman" w:hAnsi="Times New Roman" w:ascii="Times New Roman"/>
          <w:sz w:val="24"/>
          <w:szCs w:val="24"/>
          <w:lang w:eastAsia="hr-HR"/>
        </w:rPr>
      </w:pPr>
      <w:r w:rsidRPr="00070E87">
        <w:rPr>
          <w:rFonts w:eastAsia="Times New Roman" w:hAnsi="Times New Roman" w:ascii="Times New Roman"/>
          <w:sz w:val="24"/>
          <w:szCs w:val="24"/>
          <w:lang w:eastAsia="hr-HR"/>
        </w:rPr>
        <w:t>IV</w:t>
      </w:r>
      <w:r w:rsidRPr="00070E87">
        <w:rPr>
          <w:rFonts w:eastAsia="Times New Roman" w:hAnsi="Times New Roman" w:ascii="Times New Roman"/>
          <w:sz w:val="24"/>
          <w:szCs w:val="24"/>
          <w:lang w:eastAsia="hr-HR"/>
        </w:rPr>
        <w:tab/>
      </w:r>
      <w:r w:rsidR="00070E87">
        <w:rPr>
          <w:rFonts w:eastAsia="Times New Roman" w:hAnsi="Times New Roman" w:ascii="Times New Roman"/>
          <w:sz w:val="24"/>
          <w:szCs w:val="24"/>
          <w:lang w:eastAsia="hr-HR"/>
        </w:rPr>
        <w:t>PRIJEDLOG ZA OBUSTAVU STEČAJNOG POSTUPKA</w:t>
      </w:r>
    </w:p>
    <w:p w:rsidRDefault="0004682E" w:rsidP="0067632C" w:rsidR="0067632C" w:rsidRPr="00070E87">
      <w:pPr>
        <w:jc w:val="both"/>
        <w:rPr>
          <w:rFonts w:eastAsia="Times New Roman" w:hAnsi="Times New Roman" w:ascii="Times New Roman"/>
          <w:sz w:val="24"/>
          <w:szCs w:val="24"/>
          <w:lang w:eastAsia="hr-HR"/>
        </w:rPr>
      </w:pPr>
      <w:r w:rsidRPr="007316EA">
        <w:rPr>
          <w:rFonts w:eastAsia="Times New Roman" w:hAnsi="Times New Roman" w:ascii="Times New Roman"/>
          <w:sz w:val="24"/>
          <w:szCs w:val="24"/>
          <w:lang w:eastAsia="hr-HR"/>
        </w:rPr>
        <w:t>z</w:t>
      </w:r>
      <w:r w:rsidR="00070E87" w:rsidRPr="007316EA">
        <w:rPr>
          <w:rFonts w:eastAsia="Times New Roman" w:hAnsi="Times New Roman" w:ascii="Times New Roman"/>
          <w:sz w:val="24"/>
          <w:szCs w:val="24"/>
          <w:lang w:eastAsia="hr-HR"/>
        </w:rPr>
        <w:t>bog</w:t>
      </w:r>
      <w:r w:rsidR="00070E87">
        <w:rPr>
          <w:rFonts w:eastAsia="Times New Roman" w:hAnsi="Times New Roman" w:ascii="Times New Roman"/>
          <w:sz w:val="24"/>
          <w:szCs w:val="24"/>
          <w:lang w:eastAsia="hr-HR"/>
        </w:rPr>
        <w:t xml:space="preserve"> nedostatnosti stečajne mase</w:t>
      </w:r>
      <w:r w:rsidR="00A15992">
        <w:rPr>
          <w:rFonts w:eastAsia="Times New Roman" w:hAnsi="Times New Roman" w:ascii="Times New Roman"/>
          <w:sz w:val="24"/>
          <w:szCs w:val="24"/>
          <w:lang w:eastAsia="hr-HR"/>
        </w:rPr>
        <w:t xml:space="preserve"> </w:t>
      </w:r>
      <w:r w:rsidR="0067632C" w:rsidRPr="00070E87">
        <w:rPr>
          <w:rFonts w:eastAsia="Times New Roman" w:hAnsi="Times New Roman" w:ascii="Times New Roman"/>
          <w:sz w:val="24"/>
          <w:szCs w:val="24"/>
          <w:lang w:eastAsia="hr-HR"/>
        </w:rPr>
        <w:t>za pokriće troškova stečajnoga postupka sukladno čl. 203. Stečajnog zakona</w:t>
      </w:r>
    </w:p>
    <w:p w:rsidRDefault="0067632C" w:rsidP="001B44FC" w:rsidR="001B44FC">
      <w:pPr>
        <w:spacing w:before="240"/>
        <w:jc w:val="both"/>
        <w:rPr>
          <w:rFonts w:hAnsi="Times New Roman" w:ascii="Times New Roman"/>
          <w:sz w:val="24"/>
          <w:szCs w:val="24"/>
        </w:rPr>
      </w:pPr>
      <w:r w:rsidRPr="00070E87">
        <w:rPr>
          <w:rFonts w:hAnsi="Times New Roman" w:ascii="Times New Roman"/>
          <w:sz w:val="24"/>
          <w:szCs w:val="24"/>
        </w:rPr>
        <w:t>1</w:t>
      </w:r>
      <w:r w:rsidR="001B44FC">
        <w:rPr>
          <w:rFonts w:hAnsi="Times New Roman" w:ascii="Times New Roman"/>
          <w:sz w:val="24"/>
          <w:szCs w:val="24"/>
        </w:rPr>
        <w:t>.</w:t>
      </w:r>
      <w:r w:rsidRPr="00070E87">
        <w:rPr>
          <w:rFonts w:hAnsi="Times New Roman" w:ascii="Times New Roman"/>
          <w:sz w:val="24"/>
          <w:szCs w:val="24"/>
        </w:rPr>
        <w:tab/>
        <w:t>Sukladno članku 203. Stečajnog zakona (dalje u tekstu SZ) stečajni upravitelj predlaže Naslovnom sudu obustav</w:t>
      </w:r>
      <w:r w:rsidR="00A15992">
        <w:rPr>
          <w:rFonts w:hAnsi="Times New Roman" w:ascii="Times New Roman"/>
          <w:sz w:val="24"/>
          <w:szCs w:val="24"/>
        </w:rPr>
        <w:t>i</w:t>
      </w:r>
      <w:r w:rsidRPr="00070E87">
        <w:rPr>
          <w:rFonts w:hAnsi="Times New Roman" w:ascii="Times New Roman"/>
          <w:sz w:val="24"/>
          <w:szCs w:val="24"/>
        </w:rPr>
        <w:t xml:space="preserve">ti i zaključiti stečajni postupak broj </w:t>
      </w:r>
      <w:r w:rsidR="00283960" w:rsidRPr="00283960">
        <w:rPr>
          <w:rFonts w:hAnsi="Times New Roman" w:ascii="Times New Roman"/>
          <w:bCs/>
          <w:sz w:val="24"/>
          <w:szCs w:val="24"/>
        </w:rPr>
        <w:t>St-2741/17</w:t>
      </w:r>
      <w:r w:rsidRPr="00070E87">
        <w:rPr>
          <w:rFonts w:hAnsi="Times New Roman" w:ascii="Times New Roman"/>
          <w:sz w:val="24"/>
          <w:szCs w:val="24"/>
        </w:rPr>
        <w:t xml:space="preserve"> nad stečajnim dužnikom </w:t>
      </w:r>
      <w:r w:rsidR="00283960">
        <w:rPr>
          <w:rFonts w:eastAsia="Times New Roman" w:hAnsi="Times New Roman" w:ascii="Times New Roman"/>
          <w:sz w:val="24"/>
          <w:szCs w:val="24"/>
          <w:lang w:eastAsia="hr-HR"/>
        </w:rPr>
        <w:t>STEČAJNA MASA</w:t>
      </w:r>
      <w:r w:rsidR="00283960" w:rsidRPr="00750065">
        <w:rPr>
          <w:rFonts w:eastAsia="Times New Roman" w:hAnsi="Times New Roman" w:ascii="Times New Roman"/>
          <w:sz w:val="24"/>
          <w:szCs w:val="24"/>
          <w:lang w:eastAsia="hr-HR"/>
        </w:rPr>
        <w:t xml:space="preserve"> iza TPK-PIRUS, Poduzeće za poslovne, istraživačko-razvojen i ugostiteljske usluge d.o.o., </w:t>
      </w:r>
      <w:r w:rsidR="00283960" w:rsidRPr="008B56E5">
        <w:rPr>
          <w:rFonts w:hAnsi="Times New Roman" w:ascii="Times New Roman"/>
          <w:sz w:val="24"/>
          <w:szCs w:val="24"/>
          <w:lang w:val="pl-PL"/>
        </w:rPr>
        <w:t xml:space="preserve">sa sjedištem u Zagrebu (Grad Zagreb), </w:t>
      </w:r>
      <w:r w:rsidR="00283960" w:rsidRPr="00750065">
        <w:rPr>
          <w:rFonts w:eastAsia="Times New Roman" w:hAnsi="Times New Roman" w:ascii="Times New Roman"/>
          <w:sz w:val="24"/>
          <w:szCs w:val="24"/>
          <w:lang w:eastAsia="hr-HR"/>
        </w:rPr>
        <w:t>Zadarska 77, OIB 49835246191</w:t>
      </w:r>
      <w:r w:rsidR="001B44FC">
        <w:rPr>
          <w:rFonts w:hAnsi="Times New Roman" w:ascii="Times New Roman"/>
          <w:sz w:val="24"/>
          <w:szCs w:val="24"/>
        </w:rPr>
        <w:t>.</w:t>
      </w:r>
    </w:p>
    <w:p w:rsidRDefault="001B44FC" w:rsidP="001B44FC" w:rsidR="0067632C" w:rsidRPr="001B44FC">
      <w:pPr>
        <w:spacing w:before="240"/>
        <w:jc w:val="both"/>
        <w:rPr>
          <w:rFonts w:hAnsi="Times New Roman" w:ascii="Times New Roman"/>
          <w:sz w:val="24"/>
          <w:szCs w:val="24"/>
          <w:lang w:val="pl-PL"/>
        </w:rPr>
      </w:pPr>
      <w:r>
        <w:rPr>
          <w:rFonts w:hAnsi="Times New Roman" w:ascii="Times New Roman"/>
          <w:sz w:val="24"/>
          <w:szCs w:val="24"/>
        </w:rPr>
        <w:t>2.</w:t>
      </w:r>
      <w:r>
        <w:rPr>
          <w:rFonts w:hAnsi="Times New Roman" w:ascii="Times New Roman"/>
          <w:sz w:val="24"/>
          <w:szCs w:val="24"/>
        </w:rPr>
        <w:tab/>
      </w:r>
      <w:r w:rsidR="0067632C" w:rsidRPr="00070E87">
        <w:rPr>
          <w:rFonts w:hAnsi="Times New Roman" w:ascii="Times New Roman"/>
          <w:sz w:val="24"/>
          <w:szCs w:val="24"/>
        </w:rPr>
        <w:t>Nakon otvaranja stečajnog postupka unovčena je cjelokupna evidentirana imovina stečajnog dužnika. P</w:t>
      </w:r>
      <w:r w:rsidR="0067632C" w:rsidRPr="00070E87">
        <w:rPr>
          <w:rFonts w:hAnsi="Times New Roman" w:ascii="Times New Roman"/>
          <w:bCs/>
          <w:sz w:val="24"/>
          <w:szCs w:val="24"/>
          <w:lang w:val="pt-BR"/>
        </w:rPr>
        <w:t xml:space="preserve">okazalo se da stečajna masa nije </w:t>
      </w:r>
      <w:r w:rsidR="00283960">
        <w:rPr>
          <w:rFonts w:hAnsi="Times New Roman" w:ascii="Times New Roman"/>
          <w:bCs/>
          <w:sz w:val="24"/>
          <w:szCs w:val="24"/>
          <w:lang w:val="pt-BR"/>
        </w:rPr>
        <w:t>unovčiva.</w:t>
      </w:r>
    </w:p>
    <w:p w:rsidRDefault="0067632C" w:rsidP="00CC6901" w:rsidR="0067632C">
      <w:pPr>
        <w:spacing w:after="0" w:before="240"/>
        <w:jc w:val="both"/>
        <w:rPr>
          <w:rFonts w:eastAsia="Times New Roman" w:hAnsi="Times New Roman" w:ascii="Times New Roman"/>
          <w:color w:val="000000"/>
          <w:sz w:val="24"/>
          <w:szCs w:val="24"/>
          <w:lang w:eastAsia="hr-HR"/>
        </w:rPr>
      </w:pPr>
      <w:r w:rsidRPr="00070E87">
        <w:rPr>
          <w:rFonts w:hAnsi="Times New Roman" w:ascii="Times New Roman"/>
          <w:sz w:val="24"/>
          <w:szCs w:val="24"/>
        </w:rPr>
        <w:t>3.</w:t>
      </w:r>
      <w:r w:rsidRPr="00070E87">
        <w:rPr>
          <w:rFonts w:hAnsi="Times New Roman" w:ascii="Times New Roman"/>
          <w:sz w:val="24"/>
          <w:szCs w:val="24"/>
        </w:rPr>
        <w:tab/>
        <w:t>Kao dostatan iznos novca za pokriće troškova nastavka postupka vjerovnici, koji će se eventualno protiviti obustavi postupka</w:t>
      </w:r>
      <w:r w:rsidR="00A15992">
        <w:rPr>
          <w:rFonts w:hAnsi="Times New Roman" w:ascii="Times New Roman"/>
          <w:sz w:val="24"/>
          <w:szCs w:val="24"/>
        </w:rPr>
        <w:t>,</w:t>
      </w:r>
      <w:r w:rsidRPr="00070E87">
        <w:rPr>
          <w:rFonts w:hAnsi="Times New Roman" w:ascii="Times New Roman"/>
          <w:sz w:val="24"/>
          <w:szCs w:val="24"/>
        </w:rPr>
        <w:t xml:space="preserve"> trebaju solidarno predujmiti </w:t>
      </w:r>
      <w:r w:rsidR="00283960">
        <w:rPr>
          <w:rFonts w:eastAsia="Times New Roman" w:hAnsi="Times New Roman" w:ascii="Times New Roman"/>
          <w:color w:val="000000"/>
          <w:sz w:val="24"/>
          <w:szCs w:val="24"/>
          <w:lang w:eastAsia="hr-HR"/>
        </w:rPr>
        <w:t xml:space="preserve">2.550,00 </w:t>
      </w:r>
      <w:r w:rsidRPr="00070E87">
        <w:rPr>
          <w:rFonts w:eastAsia="Times New Roman" w:hAnsi="Times New Roman" w:ascii="Times New Roman"/>
          <w:color w:val="000000"/>
          <w:sz w:val="24"/>
          <w:szCs w:val="24"/>
          <w:lang w:eastAsia="hr-HR"/>
        </w:rPr>
        <w:t>kuna.</w:t>
      </w:r>
    </w:p>
    <w:p w:rsidRDefault="00903ABE" w:rsidP="00D817DC" w:rsidR="00903ABE">
      <w:pPr>
        <w:jc w:val="both"/>
        <w:rPr>
          <w:rFonts w:hAnsi="Times New Roman" w:ascii="Times New Roman"/>
          <w:sz w:val="24"/>
          <w:szCs w:val="24"/>
          <w:lang w:val="pl-PL"/>
        </w:rPr>
      </w:pPr>
    </w:p>
    <w:p w:rsidRDefault="0067632C" w:rsidP="008E12AC" w:rsidR="0067632C" w:rsidRPr="008E12AC">
      <w:pPr>
        <w:jc w:val="center"/>
        <w:rPr>
          <w:rFonts w:hAnsi="Times New Roman" w:ascii="Times New Roman"/>
          <w:b/>
          <w:sz w:val="24"/>
          <w:szCs w:val="24"/>
        </w:rPr>
      </w:pPr>
      <w:r w:rsidRPr="0067632C">
        <w:rPr>
          <w:rFonts w:hAnsi="Times New Roman" w:ascii="Times New Roman"/>
          <w:b/>
          <w:sz w:val="24"/>
          <w:szCs w:val="24"/>
        </w:rPr>
        <w:t>ZAVRŠNI DIOBNI POPIS</w:t>
      </w:r>
    </w:p>
    <w:p w:rsidRDefault="0067632C" w:rsidP="002A5C23" w:rsidR="00903ABE" w:rsidRPr="00070E87">
      <w:pPr>
        <w:spacing w:after="0"/>
        <w:jc w:val="both"/>
        <w:rPr>
          <w:rFonts w:hAnsi="Times New Roman" w:ascii="Times New Roman"/>
          <w:color w:val="000000"/>
          <w:sz w:val="24"/>
          <w:szCs w:val="24"/>
        </w:rPr>
      </w:pPr>
      <w:r w:rsidRPr="0070729F">
        <w:rPr>
          <w:rFonts w:hAnsi="Times New Roman" w:ascii="Times New Roman"/>
          <w:color w:val="000000"/>
          <w:sz w:val="24"/>
          <w:szCs w:val="24"/>
        </w:rPr>
        <w:t xml:space="preserve">I </w:t>
      </w:r>
      <w:r w:rsidR="008E12AC">
        <w:rPr>
          <w:rFonts w:hAnsi="Times New Roman" w:ascii="Times New Roman"/>
          <w:color w:val="000000"/>
          <w:sz w:val="24"/>
          <w:szCs w:val="24"/>
        </w:rPr>
        <w:t>niži</w:t>
      </w:r>
      <w:r w:rsidRPr="0070729F">
        <w:rPr>
          <w:rFonts w:hAnsi="Times New Roman" w:ascii="Times New Roman"/>
          <w:color w:val="000000"/>
          <w:sz w:val="24"/>
          <w:szCs w:val="24"/>
        </w:rPr>
        <w:t xml:space="preserve"> isplatni </w:t>
      </w:r>
      <w:r w:rsidR="008E12AC">
        <w:rPr>
          <w:rFonts w:hAnsi="Times New Roman" w:ascii="Times New Roman"/>
          <w:color w:val="000000"/>
          <w:sz w:val="24"/>
          <w:szCs w:val="24"/>
        </w:rPr>
        <w:t>temelje čl. 72. st. 1. t. 1. Stečajnog zakona</w:t>
      </w:r>
    </w:p>
    <w:p w:rsidRDefault="008E12AC" w:rsidP="008E12AC" w:rsidR="008E12AC" w:rsidRPr="008E12AC">
      <w:pPr>
        <w:spacing w:after="200"/>
        <w:textAlignment w:val="baseline"/>
        <w:rPr>
          <w:rFonts w:eastAsia="Times New Roman" w:hAnsi="Minion Pro" w:ascii="Minion Pro"/>
          <w:sz w:val="24"/>
          <w:szCs w:val="24"/>
          <w:lang w:eastAsia="hr-HR"/>
        </w:rPr>
      </w:pPr>
    </w:p>
    <w:tbl>
      <w:tblPr>
        <w:tblStyle w:val="Reetkatablice"/>
        <w:tblW w:type="dxa" w:w="9356"/>
        <w:tblInd w:type="dxa" w:w="-34"/>
        <w:tblLayout w:type="fixed"/>
        <w:tblLook w:val="04A0" w:noVBand="1" w:noHBand="0" w:lastColumn="0" w:firstColumn="1" w:lastRow="0" w:firstRow="1"/>
      </w:tblPr>
      <w:tblGrid>
        <w:gridCol w:w="709"/>
        <w:gridCol w:w="4111"/>
        <w:gridCol w:w="1134"/>
        <w:gridCol w:w="1559"/>
        <w:gridCol w:w="1843"/>
      </w:tblGrid>
      <w:tr w:rsidTr="00454291" w:rsidR="008E12AC" w:rsidRPr="008E12AC">
        <w:trPr>
          <w:trHeight w:val="553"/>
        </w:trPr>
        <w:tc>
          <w:tcPr>
            <w:tcW w:type="dxa" w:w="70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R.br.</w:t>
            </w:r>
          </w:p>
        </w:tc>
        <w:tc>
          <w:tcPr>
            <w:tcW w:type="dxa" w:w="4111"/>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Naziv vjerovnika, adresa i OIB</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Utrvrđena tražbina (kn)</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Iznos namiren po prethodnim diobama</w:t>
            </w:r>
          </w:p>
        </w:tc>
        <w:tc>
          <w:tcPr>
            <w:tcW w:type="dxa" w:w="1843"/>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Iznos preostao za</w:t>
            </w:r>
          </w:p>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namirenje (kn)</w:t>
            </w:r>
          </w:p>
        </w:tc>
      </w:tr>
      <w:tr w:rsidTr="00454291" w:rsidR="008E12AC" w:rsidRPr="008E12AC">
        <w:trPr>
          <w:trHeight w:val="556"/>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Mikelić Anđa, Zagreb, II Kanarski put</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24.170,36</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15.710,73</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8.459,63</w:t>
            </w:r>
          </w:p>
        </w:tc>
      </w:tr>
      <w:tr w:rsidTr="00454291" w:rsidR="008E12AC" w:rsidRPr="008E12AC">
        <w:trPr>
          <w:trHeight w:val="52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2.</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Volić Marija, Zagreb, Kozari bok, Radnički put II</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24.170,36</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15.710,73</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8.459,63</w:t>
            </w:r>
          </w:p>
        </w:tc>
      </w:tr>
      <w:tr w:rsidTr="00454291" w:rsidR="008E12AC" w:rsidRPr="008E12AC">
        <w:trPr>
          <w:trHeight w:val="50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3.</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Čičić Dragica, Zagreb, Sv. Matija 19</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28.504,28</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18.527,78</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9.976,50</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4.</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Vrabec Katica, Zagreb, Dubečka 87</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28.504,28</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18.527,78</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9.976,50</w:t>
            </w:r>
          </w:p>
        </w:tc>
      </w:tr>
      <w:tr w:rsidTr="00454291" w:rsidR="008E12AC" w:rsidRPr="008E12AC">
        <w:trPr>
          <w:trHeight w:val="590"/>
        </w:trPr>
        <w:tc>
          <w:tcPr>
            <w:tcW w:type="dxa" w:w="70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5.</w:t>
            </w:r>
          </w:p>
        </w:tc>
        <w:tc>
          <w:tcPr>
            <w:tcW w:type="dxa" w:w="4111"/>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Gaščić Goran, Zagreb, Kuševačka 45</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24.885,71</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16.175,71</w:t>
            </w:r>
          </w:p>
        </w:tc>
        <w:tc>
          <w:tcPr>
            <w:tcW w:type="dxa" w:w="1843"/>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8.710,00</w:t>
            </w:r>
          </w:p>
        </w:tc>
      </w:tr>
      <w:tr w:rsidTr="00454291" w:rsidR="008E12AC" w:rsidRPr="008E12AC">
        <w:trPr>
          <w:trHeight w:val="556"/>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6.</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Butorac Ivan, Velika Gorica, K. Porina 89</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24.885,71</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16.175,71</w:t>
            </w:r>
          </w:p>
        </w:tc>
        <w:tc>
          <w:tcPr>
            <w:tcW w:type="dxa" w:w="1843"/>
          </w:tcPr>
          <w:p w:rsidRDefault="008E12AC" w:rsidP="008E12AC" w:rsidR="008E12AC" w:rsidRPr="008E12AC">
            <w:pPr>
              <w:jc w:val="center"/>
              <w:rPr>
                <w:rFonts w:hAnsi="Times New Roman" w:ascii="Times New Roman"/>
              </w:rPr>
            </w:pPr>
            <w:r w:rsidRPr="008E12AC">
              <w:rPr>
                <w:rFonts w:eastAsia="Times New Roman" w:hAnsi="Times New Roman" w:ascii="Times New Roman"/>
                <w:lang w:eastAsia="hr-HR"/>
              </w:rPr>
              <w:t>8.710,00</w:t>
            </w:r>
          </w:p>
        </w:tc>
      </w:tr>
      <w:tr w:rsidTr="00454291" w:rsidR="008E12AC" w:rsidRPr="008E12AC">
        <w:trPr>
          <w:trHeight w:val="52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7.</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Štrban Subhija Zagreb, Ilica 289/1</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24.885,71</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16.175,71</w:t>
            </w:r>
          </w:p>
        </w:tc>
        <w:tc>
          <w:tcPr>
            <w:tcW w:type="dxa" w:w="1843"/>
          </w:tcPr>
          <w:p w:rsidRDefault="008E12AC" w:rsidP="008E12AC" w:rsidR="008E12AC" w:rsidRPr="008E12AC">
            <w:pPr>
              <w:jc w:val="center"/>
              <w:rPr>
                <w:rFonts w:hAnsi="Times New Roman" w:ascii="Times New Roman"/>
              </w:rPr>
            </w:pPr>
            <w:r w:rsidRPr="008E12AC">
              <w:rPr>
                <w:rFonts w:eastAsia="Times New Roman" w:hAnsi="Times New Roman" w:ascii="Times New Roman"/>
                <w:lang w:eastAsia="hr-HR"/>
              </w:rPr>
              <w:t>8.710,00</w:t>
            </w:r>
          </w:p>
        </w:tc>
      </w:tr>
      <w:tr w:rsidTr="00454291" w:rsidR="008E12AC" w:rsidRPr="008E12AC">
        <w:trPr>
          <w:trHeight w:val="50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8.</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Glogoški Verica Zagreb, Trg Stjepana Konzula 3</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23.575,50</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15.324,07</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8.251,43</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9.</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Šola Mirjana Zagreb, Lojenov prilaz 2</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27.780,58</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18.057,38</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9.723,20</w:t>
            </w:r>
          </w:p>
        </w:tc>
      </w:tr>
      <w:tr w:rsidTr="00454291" w:rsidR="008E12AC" w:rsidRPr="008E12AC">
        <w:trPr>
          <w:trHeight w:val="50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10.</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Benko Slavko, Zagreb, I. Vrbik</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4.417,36</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2.871,28</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1.546,08</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11.</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Bukal Petar, Visoko, Visočki vrh 2</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24.170,36</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15.710,73</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8.459,63</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12.</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CROATIA OSIGURANJE, Zagreb, Trg bana J. Jelačića 1</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4.198,39</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2.728,95</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1.469,44</w:t>
            </w:r>
          </w:p>
        </w:tc>
      </w:tr>
    </w:tbl>
    <w:p w:rsidRDefault="008E12AC" w:rsidP="008E12AC" w:rsidR="008E12AC" w:rsidRPr="008E12AC">
      <w:pPr>
        <w:rPr>
          <w:rFonts w:hAnsi="Times New Roman" w:ascii="Times New Roman"/>
          <w:color w:val="000000"/>
        </w:rPr>
      </w:pPr>
    </w:p>
    <w:p w:rsidRDefault="008E12AC" w:rsidP="008E12AC" w:rsidR="008E12AC" w:rsidRPr="008E12AC">
      <w:pPr>
        <w:rPr>
          <w:rFonts w:hAnsi="Times New Roman" w:ascii="Times New Roman"/>
          <w:color w:val="000000"/>
        </w:rPr>
      </w:pPr>
    </w:p>
    <w:p w:rsidRDefault="00DD5DDA" w:rsidP="008E12AC" w:rsidR="00DD5DDA">
      <w:pPr>
        <w:rPr>
          <w:rFonts w:hAnsi="Times New Roman" w:ascii="Times New Roman"/>
          <w:color w:val="000000"/>
          <w:sz w:val="24"/>
          <w:szCs w:val="24"/>
        </w:rPr>
      </w:pPr>
    </w:p>
    <w:p w:rsidRDefault="008E12AC" w:rsidP="008E12AC" w:rsidR="008E12AC">
      <w:pPr>
        <w:rPr>
          <w:rFonts w:hAnsi="Times New Roman" w:ascii="Times New Roman"/>
          <w:color w:val="000000"/>
          <w:sz w:val="24"/>
          <w:szCs w:val="24"/>
        </w:rPr>
      </w:pPr>
      <w:r w:rsidRPr="0070729F">
        <w:rPr>
          <w:rFonts w:hAnsi="Times New Roman" w:ascii="Times New Roman"/>
          <w:color w:val="000000"/>
          <w:sz w:val="24"/>
          <w:szCs w:val="24"/>
        </w:rPr>
        <w:lastRenderedPageBreak/>
        <w:t>I</w:t>
      </w:r>
      <w:r>
        <w:rPr>
          <w:rFonts w:hAnsi="Times New Roman" w:ascii="Times New Roman"/>
          <w:color w:val="000000"/>
          <w:sz w:val="24"/>
          <w:szCs w:val="24"/>
        </w:rPr>
        <w:t>I</w:t>
      </w:r>
      <w:r w:rsidRPr="0070729F">
        <w:rPr>
          <w:rFonts w:hAnsi="Times New Roman" w:ascii="Times New Roman"/>
          <w:color w:val="000000"/>
          <w:sz w:val="24"/>
          <w:szCs w:val="24"/>
        </w:rPr>
        <w:t xml:space="preserve"> </w:t>
      </w:r>
      <w:r>
        <w:rPr>
          <w:rFonts w:hAnsi="Times New Roman" w:ascii="Times New Roman"/>
          <w:color w:val="000000"/>
          <w:sz w:val="24"/>
          <w:szCs w:val="24"/>
        </w:rPr>
        <w:t>niži</w:t>
      </w:r>
      <w:r w:rsidRPr="0070729F">
        <w:rPr>
          <w:rFonts w:hAnsi="Times New Roman" w:ascii="Times New Roman"/>
          <w:color w:val="000000"/>
          <w:sz w:val="24"/>
          <w:szCs w:val="24"/>
        </w:rPr>
        <w:t xml:space="preserve"> isplatni </w:t>
      </w:r>
      <w:r>
        <w:rPr>
          <w:rFonts w:hAnsi="Times New Roman" w:ascii="Times New Roman"/>
          <w:color w:val="000000"/>
          <w:sz w:val="24"/>
          <w:szCs w:val="24"/>
        </w:rPr>
        <w:t>temelje čl. 72. st. 1. t. 2. Stečajnog zakona</w:t>
      </w:r>
    </w:p>
    <w:p w:rsidRDefault="008E12AC" w:rsidP="008E12AC" w:rsidR="008E12AC" w:rsidRPr="008E12AC">
      <w:pPr>
        <w:rPr>
          <w:rFonts w:hAnsi="Bookman Old Style" w:ascii="Bookman Old Style"/>
          <w:b/>
          <w:color w:val="000000"/>
          <w:sz w:val="24"/>
          <w:szCs w:val="24"/>
        </w:rPr>
      </w:pPr>
    </w:p>
    <w:tbl>
      <w:tblPr>
        <w:tblStyle w:val="Reetkatablice"/>
        <w:tblW w:type="dxa" w:w="9356"/>
        <w:tblInd w:type="dxa" w:w="-34"/>
        <w:tblLayout w:type="fixed"/>
        <w:tblLook w:val="04A0" w:noVBand="1" w:noHBand="0" w:lastColumn="0" w:firstColumn="1" w:lastRow="0" w:firstRow="1"/>
      </w:tblPr>
      <w:tblGrid>
        <w:gridCol w:w="709"/>
        <w:gridCol w:w="4111"/>
        <w:gridCol w:w="1134"/>
        <w:gridCol w:w="1559"/>
        <w:gridCol w:w="1843"/>
      </w:tblGrid>
      <w:tr w:rsidTr="00454291" w:rsidR="008E12AC" w:rsidRPr="008E12AC">
        <w:trPr>
          <w:trHeight w:val="553"/>
        </w:trPr>
        <w:tc>
          <w:tcPr>
            <w:tcW w:type="dxa" w:w="70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R.br.</w:t>
            </w:r>
          </w:p>
        </w:tc>
        <w:tc>
          <w:tcPr>
            <w:tcW w:type="dxa" w:w="4111"/>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Naziv vjerovnika, adresa i OIB</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Utrvrđena tražbina (kn)</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Iznos namiren po prethodnim diobama</w:t>
            </w:r>
          </w:p>
        </w:tc>
        <w:tc>
          <w:tcPr>
            <w:tcW w:type="dxa" w:w="1843"/>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Iznos preostao za</w:t>
            </w:r>
          </w:p>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namirenje (kn)</w:t>
            </w:r>
          </w:p>
        </w:tc>
      </w:tr>
      <w:tr w:rsidTr="00454291" w:rsidR="008E12AC" w:rsidRPr="008E12AC">
        <w:trPr>
          <w:trHeight w:val="556"/>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Mikelić Anđa, Zagreb, II Kanarski put</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483,40</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314,21</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169,19</w:t>
            </w:r>
          </w:p>
        </w:tc>
      </w:tr>
      <w:tr w:rsidTr="00454291" w:rsidR="008E12AC" w:rsidRPr="008E12AC">
        <w:trPr>
          <w:trHeight w:val="52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2.</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Volić Marija, Zagreb, Kozari bok, Radnički put II</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483,40</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314,21</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169,19</w:t>
            </w:r>
          </w:p>
        </w:tc>
      </w:tr>
      <w:tr w:rsidTr="00454291" w:rsidR="008E12AC" w:rsidRPr="008E12AC">
        <w:trPr>
          <w:trHeight w:val="50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3.</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Čičić Dragica, Zagreb, Sv. Matija 19</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500,00</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325,00</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175,00</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4.</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Vrabec Katica, Zagreb, Dubečka 87</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500,00</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325,00</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175,00</w:t>
            </w:r>
          </w:p>
        </w:tc>
      </w:tr>
      <w:tr w:rsidTr="00454291" w:rsidR="008E12AC" w:rsidRPr="008E12AC">
        <w:trPr>
          <w:trHeight w:val="590"/>
        </w:trPr>
        <w:tc>
          <w:tcPr>
            <w:tcW w:type="dxa" w:w="70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5.</w:t>
            </w:r>
          </w:p>
        </w:tc>
        <w:tc>
          <w:tcPr>
            <w:tcW w:type="dxa" w:w="4111"/>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Gaščić Goran, Zagreb, Kuševačka 45</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497,71</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323,51</w:t>
            </w:r>
          </w:p>
        </w:tc>
        <w:tc>
          <w:tcPr>
            <w:tcW w:type="dxa" w:w="1843"/>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174,20</w:t>
            </w:r>
          </w:p>
        </w:tc>
      </w:tr>
      <w:tr w:rsidTr="00454291" w:rsidR="008E12AC" w:rsidRPr="008E12AC">
        <w:trPr>
          <w:trHeight w:val="556"/>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6.</w:t>
            </w:r>
          </w:p>
        </w:tc>
        <w:tc>
          <w:tcPr>
            <w:tcW w:type="dxa" w:w="4111"/>
          </w:tcPr>
          <w:p w:rsidRDefault="008E12AC" w:rsidP="008E12AC" w:rsidR="008E12AC" w:rsidRPr="008E12AC">
            <w:pPr>
              <w:jc w:val="center"/>
              <w:rPr>
                <w:rFonts w:hAnsi="Times New Roman" w:ascii="Times New Roman"/>
              </w:rPr>
            </w:pPr>
            <w:r w:rsidRPr="008E12AC">
              <w:rPr>
                <w:rFonts w:hAnsi="Times New Roman" w:ascii="Times New Roman"/>
              </w:rPr>
              <w:t>Butorac Ivan, Velika Gorica, K. Porina 89</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497,71</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323,51</w:t>
            </w:r>
          </w:p>
        </w:tc>
        <w:tc>
          <w:tcPr>
            <w:tcW w:type="dxa" w:w="1843"/>
          </w:tcPr>
          <w:p w:rsidRDefault="008E12AC" w:rsidP="008E12AC" w:rsidR="008E12AC" w:rsidRPr="008E12AC">
            <w:pPr>
              <w:jc w:val="center"/>
              <w:rPr>
                <w:rFonts w:hAnsi="Times New Roman" w:ascii="Times New Roman"/>
              </w:rPr>
            </w:pPr>
            <w:r w:rsidRPr="008E12AC">
              <w:rPr>
                <w:rFonts w:eastAsia="Times New Roman" w:hAnsi="Times New Roman" w:ascii="Times New Roman"/>
                <w:lang w:eastAsia="hr-HR"/>
              </w:rPr>
              <w:t>174,20</w:t>
            </w:r>
          </w:p>
        </w:tc>
      </w:tr>
      <w:tr w:rsidTr="00454291" w:rsidR="008E12AC" w:rsidRPr="008E12AC">
        <w:trPr>
          <w:trHeight w:val="52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7.</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Štrban Subhija Zagreb, Ilica 289/1</w:t>
            </w:r>
          </w:p>
        </w:tc>
        <w:tc>
          <w:tcPr>
            <w:tcW w:type="dxa" w:w="1134"/>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497,71</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323,51</w:t>
            </w:r>
          </w:p>
        </w:tc>
        <w:tc>
          <w:tcPr>
            <w:tcW w:type="dxa" w:w="1843"/>
          </w:tcPr>
          <w:p w:rsidRDefault="008E12AC" w:rsidP="008E12AC" w:rsidR="008E12AC" w:rsidRPr="008E12AC">
            <w:pPr>
              <w:jc w:val="center"/>
              <w:rPr>
                <w:rFonts w:hAnsi="Times New Roman" w:ascii="Times New Roman"/>
              </w:rPr>
            </w:pPr>
            <w:r w:rsidRPr="008E12AC">
              <w:rPr>
                <w:rFonts w:eastAsia="Times New Roman" w:hAnsi="Times New Roman" w:ascii="Times New Roman"/>
                <w:lang w:eastAsia="hr-HR"/>
              </w:rPr>
              <w:t>174,20</w:t>
            </w:r>
          </w:p>
        </w:tc>
      </w:tr>
      <w:tr w:rsidTr="00454291" w:rsidR="008E12AC" w:rsidRPr="008E12AC">
        <w:trPr>
          <w:trHeight w:val="50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8.</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Glogoški Verica Zagreb, Trg Stjepana Konzula 3</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471,51</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306,48</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165,03</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9.</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Šola Mirjana Zagreb, Lojenov prilaz 2</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500,00</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325,00</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175,00</w:t>
            </w:r>
          </w:p>
        </w:tc>
      </w:tr>
      <w:tr w:rsidTr="00454291" w:rsidR="008E12AC" w:rsidRPr="008E12AC">
        <w:trPr>
          <w:trHeight w:val="502"/>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10.</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Benko Slavko, Zagreb, I. Vrbik</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88,34</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57,42</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30,92</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11.</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Bukal Petar, Visoko, Visočki vrh 2</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483,40</w:t>
            </w:r>
          </w:p>
        </w:tc>
        <w:tc>
          <w:tcPr>
            <w:tcW w:type="dxa" w:w="1559"/>
          </w:tcPr>
          <w:p w:rsidRDefault="008E12AC" w:rsidP="008E12AC" w:rsidR="008E12AC" w:rsidRPr="008E12AC">
            <w:pPr>
              <w:spacing w:after="0"/>
              <w:jc w:val="center"/>
              <w:rPr>
                <w:rFonts w:eastAsia="Times New Roman" w:hAnsi="Times New Roman" w:ascii="Times New Roman"/>
                <w:lang w:eastAsia="hr-HR"/>
              </w:rPr>
            </w:pPr>
            <w:r w:rsidRPr="008E12AC">
              <w:rPr>
                <w:rFonts w:eastAsia="Times New Roman" w:hAnsi="Times New Roman" w:ascii="Times New Roman"/>
                <w:lang w:eastAsia="hr-HR"/>
              </w:rPr>
              <w:t>314,21</w:t>
            </w:r>
          </w:p>
        </w:tc>
        <w:tc>
          <w:tcPr>
            <w:tcW w:type="dxa" w:w="1843"/>
          </w:tcPr>
          <w:p w:rsidRDefault="008E12AC" w:rsidP="008E12AC" w:rsidR="008E12AC" w:rsidRPr="008E12AC">
            <w:pPr>
              <w:jc w:val="center"/>
              <w:rPr>
                <w:rFonts w:hAnsi="Times New Roman" w:ascii="Times New Roman"/>
              </w:rPr>
            </w:pPr>
            <w:r w:rsidRPr="008E12AC">
              <w:rPr>
                <w:rFonts w:hAnsi="Times New Roman" w:ascii="Times New Roman"/>
              </w:rPr>
              <w:t>169,19</w:t>
            </w:r>
          </w:p>
        </w:tc>
      </w:tr>
      <w:tr w:rsidTr="00454291" w:rsidR="008E12AC" w:rsidRPr="008E12AC">
        <w:trPr>
          <w:trHeight w:val="619"/>
        </w:trPr>
        <w:tc>
          <w:tcPr>
            <w:tcW w:type="dxa" w:w="709"/>
          </w:tcPr>
          <w:p w:rsidRDefault="008E12AC" w:rsidP="008E12AC" w:rsidR="008E12AC" w:rsidRPr="008E12AC">
            <w:pPr>
              <w:jc w:val="center"/>
              <w:rPr>
                <w:rFonts w:hAnsi="Times New Roman" w:ascii="Times New Roman"/>
              </w:rPr>
            </w:pPr>
            <w:r w:rsidRPr="008E12AC">
              <w:rPr>
                <w:rFonts w:hAnsi="Times New Roman" w:ascii="Times New Roman"/>
              </w:rPr>
              <w:t>12.</w:t>
            </w:r>
          </w:p>
        </w:tc>
        <w:tc>
          <w:tcPr>
            <w:tcW w:type="dxa" w:w="4111"/>
          </w:tcPr>
          <w:p w:rsidRDefault="008E12AC" w:rsidP="008E12AC" w:rsidR="008E12AC" w:rsidRPr="008E12AC">
            <w:pPr>
              <w:jc w:val="center"/>
              <w:rPr>
                <w:rFonts w:hAnsi="Times New Roman" w:ascii="Times New Roman"/>
              </w:rPr>
            </w:pPr>
            <w:r w:rsidRPr="008E12AC">
              <w:rPr>
                <w:rFonts w:cs="Courier New" w:eastAsia="Times New Roman" w:hAnsi="Minion Pro" w:ascii="Minion Pro"/>
                <w:sz w:val="24"/>
                <w:szCs w:val="24"/>
                <w:lang w:eastAsia="hr-HR"/>
              </w:rPr>
              <w:t>CROATIA OSIGURANJE, Zagreb, Trg bana J. Jelačića 1</w:t>
            </w:r>
          </w:p>
        </w:tc>
        <w:tc>
          <w:tcPr>
            <w:tcW w:type="dxa" w:w="1134"/>
          </w:tcPr>
          <w:p w:rsidRDefault="008E12AC" w:rsidP="008E12AC" w:rsidR="008E12AC" w:rsidRPr="008E12AC">
            <w:pPr>
              <w:jc w:val="center"/>
              <w:rPr>
                <w:rFonts w:hAnsi="Times New Roman" w:ascii="Times New Roman"/>
              </w:rPr>
            </w:pPr>
            <w:r w:rsidRPr="008E12AC">
              <w:rPr>
                <w:rFonts w:hAnsi="Times New Roman" w:ascii="Times New Roman"/>
              </w:rPr>
              <w:t>147,52</w:t>
            </w:r>
          </w:p>
        </w:tc>
        <w:tc>
          <w:tcPr>
            <w:tcW w:type="dxa" w:w="1559"/>
          </w:tcPr>
          <w:p w:rsidRDefault="008E12AC" w:rsidP="008E12AC" w:rsidR="008E12AC" w:rsidRPr="008E12AC">
            <w:pPr>
              <w:spacing w:after="0"/>
              <w:jc w:val="center"/>
              <w:rPr>
                <w:rFonts w:eastAsia="Times New Roman" w:hAnsi="Times New Roman" w:ascii="Times New Roman"/>
                <w:lang w:eastAsia="hr-HR"/>
              </w:rPr>
            </w:pPr>
            <w:r>
              <w:rPr>
                <w:rFonts w:eastAsia="Times New Roman" w:hAnsi="Times New Roman" w:ascii="Times New Roman"/>
                <w:lang w:eastAsia="hr-HR"/>
              </w:rPr>
              <w:t>95,81</w:t>
            </w:r>
          </w:p>
        </w:tc>
        <w:tc>
          <w:tcPr>
            <w:tcW w:type="dxa" w:w="1843"/>
          </w:tcPr>
          <w:p w:rsidRDefault="008E12AC" w:rsidP="008E12AC" w:rsidR="008E12AC" w:rsidRPr="008E12AC">
            <w:pPr>
              <w:jc w:val="center"/>
              <w:rPr>
                <w:rFonts w:hAnsi="Times New Roman" w:ascii="Times New Roman"/>
              </w:rPr>
            </w:pPr>
            <w:r>
              <w:rPr>
                <w:rFonts w:hAnsi="Times New Roman" w:ascii="Times New Roman"/>
              </w:rPr>
              <w:t>51,7</w:t>
            </w:r>
            <w:r w:rsidRPr="008E12AC">
              <w:rPr>
                <w:rFonts w:hAnsi="Times New Roman" w:ascii="Times New Roman"/>
              </w:rPr>
              <w:t>3</w:t>
            </w:r>
          </w:p>
        </w:tc>
      </w:tr>
    </w:tbl>
    <w:p w:rsidRDefault="008E12AC" w:rsidP="008E12AC" w:rsidR="008E12AC" w:rsidRPr="008E12AC">
      <w:pPr>
        <w:rPr>
          <w:rFonts w:hAnsi="Times New Roman" w:ascii="Times New Roman"/>
          <w:color w:val="000000"/>
        </w:rPr>
      </w:pPr>
    </w:p>
    <w:p w:rsidRDefault="008E12AC" w:rsidP="008E12AC" w:rsidR="008E12AC" w:rsidRPr="008E12AC">
      <w:pPr>
        <w:rPr>
          <w:rFonts w:hAnsi="Times New Roman" w:ascii="Times New Roman"/>
          <w:color w:val="000000"/>
        </w:rPr>
      </w:pPr>
    </w:p>
    <w:p w:rsidRDefault="0067632C" w:rsidP="00CC6901" w:rsidR="0067632C" w:rsidRPr="0067632C">
      <w:pPr>
        <w:spacing w:after="0" w:before="240"/>
        <w:jc w:val="both"/>
        <w:rPr>
          <w:rFonts w:hAnsi="Times New Roman" w:ascii="Times New Roman"/>
          <w:sz w:val="24"/>
          <w:szCs w:val="24"/>
          <w:lang w:val="pl-PL"/>
        </w:rPr>
      </w:pPr>
      <w:r w:rsidRPr="0067632C">
        <w:rPr>
          <w:rFonts w:hAnsi="Times New Roman" w:ascii="Times New Roman"/>
          <w:sz w:val="24"/>
          <w:szCs w:val="24"/>
          <w:lang w:val="pl-PL"/>
        </w:rPr>
        <w:t>Mjesto i datum</w:t>
      </w:r>
      <w:r w:rsidRPr="0067632C">
        <w:rPr>
          <w:rFonts w:hAnsi="Times New Roman" w:ascii="Times New Roman"/>
          <w:sz w:val="24"/>
          <w:szCs w:val="24"/>
          <w:lang w:val="pl-PL"/>
        </w:rPr>
        <w:tab/>
      </w:r>
      <w:r w:rsidRPr="0067632C">
        <w:rPr>
          <w:rFonts w:hAnsi="Times New Roman" w:ascii="Times New Roman"/>
          <w:sz w:val="24"/>
          <w:szCs w:val="24"/>
          <w:lang w:val="pl-PL"/>
        </w:rPr>
        <w:tab/>
      </w:r>
      <w:r w:rsidRPr="0067632C">
        <w:rPr>
          <w:rFonts w:hAnsi="Times New Roman" w:ascii="Times New Roman"/>
          <w:sz w:val="24"/>
          <w:szCs w:val="24"/>
          <w:lang w:val="pl-PL"/>
        </w:rPr>
        <w:tab/>
      </w:r>
      <w:r w:rsidRPr="0067632C">
        <w:rPr>
          <w:rFonts w:hAnsi="Times New Roman" w:ascii="Times New Roman"/>
          <w:sz w:val="24"/>
          <w:szCs w:val="24"/>
          <w:lang w:val="pl-PL"/>
        </w:rPr>
        <w:tab/>
      </w:r>
      <w:r w:rsidRPr="0067632C">
        <w:rPr>
          <w:rFonts w:hAnsi="Times New Roman" w:ascii="Times New Roman"/>
          <w:sz w:val="24"/>
          <w:szCs w:val="24"/>
          <w:lang w:val="pl-PL"/>
        </w:rPr>
        <w:tab/>
      </w:r>
      <w:r w:rsidRPr="0067632C">
        <w:rPr>
          <w:rFonts w:hAnsi="Times New Roman" w:ascii="Times New Roman"/>
          <w:sz w:val="24"/>
          <w:szCs w:val="24"/>
          <w:lang w:val="pl-PL"/>
        </w:rPr>
        <w:tab/>
        <w:t>Stečajni upravitelj</w:t>
      </w:r>
    </w:p>
    <w:p w:rsidRDefault="00070E87" w:rsidP="0067632C" w:rsidR="0067632C" w:rsidRPr="0067632C">
      <w:r>
        <w:rPr>
          <w:rFonts w:hAnsi="Times New Roman" w:ascii="Times New Roman"/>
          <w:sz w:val="24"/>
          <w:szCs w:val="24"/>
          <w:lang w:val="pl-PL"/>
        </w:rPr>
        <w:t xml:space="preserve">Zagreb, </w:t>
      </w:r>
      <w:r w:rsidR="008E12AC">
        <w:rPr>
          <w:rFonts w:hAnsi="Times New Roman" w:ascii="Times New Roman"/>
          <w:sz w:val="24"/>
          <w:szCs w:val="24"/>
          <w:lang w:val="pl-PL"/>
        </w:rPr>
        <w:t>18.01.2018</w:t>
      </w:r>
      <w:r w:rsidR="0067632C" w:rsidRPr="0067632C">
        <w:rPr>
          <w:rFonts w:hAnsi="Times New Roman" w:ascii="Times New Roman"/>
          <w:sz w:val="24"/>
          <w:szCs w:val="24"/>
          <w:lang w:val="pl-PL"/>
        </w:rPr>
        <w:t>. godine</w:t>
      </w:r>
      <w:r w:rsidR="0067632C" w:rsidRPr="0067632C">
        <w:rPr>
          <w:rFonts w:hAnsi="Times New Roman" w:ascii="Times New Roman"/>
          <w:sz w:val="24"/>
          <w:szCs w:val="24"/>
          <w:lang w:val="pl-PL"/>
        </w:rPr>
        <w:tab/>
      </w:r>
      <w:r w:rsidR="0067632C" w:rsidRPr="0067632C">
        <w:rPr>
          <w:rFonts w:hAnsi="Times New Roman" w:ascii="Times New Roman"/>
          <w:sz w:val="24"/>
          <w:szCs w:val="24"/>
          <w:lang w:val="pl-PL"/>
        </w:rPr>
        <w:tab/>
      </w:r>
      <w:r w:rsidR="0067632C" w:rsidRPr="0067632C">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Ante Dragičević</w:t>
      </w:r>
    </w:p>
    <w:p w:rsidRDefault="000D0044" w:rsidP="00D817DC" w:rsidR="000D0044">
      <w:pPr>
        <w:spacing w:after="0"/>
        <w:jc w:val="both"/>
        <w:rPr>
          <w:rFonts w:hAnsi="Times New Roman" w:ascii="Times New Roman"/>
          <w:sz w:val="24"/>
          <w:szCs w:val="24"/>
          <w:lang w:val="pl-PL"/>
        </w:rPr>
      </w:pPr>
    </w:p>
    <w:p w:rsidRDefault="00C61F72" w:rsidP="00AA4B3E" w:rsidR="00C61F72" w:rsidRPr="00AA4B3E">
      <w:pPr>
        <w:spacing w:after="0"/>
        <w:jc w:val="both"/>
        <w:rPr>
          <w:rFonts w:hAnsi="Times New Roman" w:ascii="Times New Roman"/>
          <w:sz w:val="24"/>
          <w:szCs w:val="24"/>
          <w:lang w:val="pl-PL"/>
        </w:rPr>
      </w:pPr>
    </w:p>
    <w:sectPr w:rsidSect="00750065" w:rsidR="00C61F72" w:rsidRPr="00AA4B3E">
      <w:pgSz w:h="16838" w:w="11906"/>
      <w:pgMar w:gutter="0" w:footer="708" w:header="708" w:left="1417" w:bottom="567" w:right="1700"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2B2C" w:rsidR="00D82B2C">
      <w:pPr>
        <w:spacing w:after="0"/>
      </w:pPr>
      <w:r>
        <w:separator/>
      </w:r>
    </w:p>
  </w:endnote>
  <w:endnote w:id="0" w:type="continuationSeparator">
    <w:p w:rsidRDefault="00D82B2C" w:rsidR="00D82B2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inion Pro">
    <w:altName w:val="Times New Roman"/>
    <w:panose1 w:val="00000000000000000000"/>
    <w:charset w:val="00"/>
    <w:family w:val="roman"/>
    <w:notTrueType/>
    <w:pitch w:val="default"/>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2B2C" w:rsidR="00D82B2C">
      <w:pPr>
        <w:spacing w:after="0"/>
      </w:pPr>
      <w:r>
        <w:separator/>
      </w:r>
    </w:p>
  </w:footnote>
  <w:footnote w:id="0" w:type="continuationSeparator">
    <w:p w:rsidRDefault="00D82B2C" w:rsidR="00D82B2C">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77BA2"/>
    <w:multiLevelType w:val="hybridMultilevel"/>
    <w:tmpl w:val="B08C96BC"/>
    <w:lvl w:tplc="041A0017" w:ilvl="0">
      <w:start w:val="1"/>
      <w:numFmt w:val="lowerLetter"/>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
    <w:nsid w:val="02785CDA"/>
    <w:multiLevelType w:val="hybridMultilevel"/>
    <w:tmpl w:val="EAEE5BE8"/>
    <w:lvl w:tplc="82F6BAA6" w:ilvl="0">
      <w:start w:val="1"/>
      <w:numFmt w:val="lowerLetter"/>
      <w:lvlText w:val="%1)"/>
      <w:lvlJc w:val="left"/>
      <w:pPr>
        <w:ind w:hanging="360" w:left="337"/>
      </w:pPr>
      <w:rPr>
        <w:rFonts w:hint="default"/>
      </w:rPr>
    </w:lvl>
    <w:lvl w:tentative="true" w:tplc="041A0019" w:ilvl="1">
      <w:start w:val="1"/>
      <w:numFmt w:val="lowerLetter"/>
      <w:lvlText w:val="%2."/>
      <w:lvlJc w:val="left"/>
      <w:pPr>
        <w:ind w:hanging="360" w:left="1057"/>
      </w:pPr>
    </w:lvl>
    <w:lvl w:tentative="true" w:tplc="041A001B" w:ilvl="2">
      <w:start w:val="1"/>
      <w:numFmt w:val="lowerRoman"/>
      <w:lvlText w:val="%3."/>
      <w:lvlJc w:val="right"/>
      <w:pPr>
        <w:ind w:hanging="180" w:left="1777"/>
      </w:pPr>
    </w:lvl>
    <w:lvl w:tentative="true" w:tplc="041A000F" w:ilvl="3">
      <w:start w:val="1"/>
      <w:numFmt w:val="decimal"/>
      <w:lvlText w:val="%4."/>
      <w:lvlJc w:val="left"/>
      <w:pPr>
        <w:ind w:hanging="360" w:left="2497"/>
      </w:pPr>
    </w:lvl>
    <w:lvl w:tentative="true" w:tplc="041A0019" w:ilvl="4">
      <w:start w:val="1"/>
      <w:numFmt w:val="lowerLetter"/>
      <w:lvlText w:val="%5."/>
      <w:lvlJc w:val="left"/>
      <w:pPr>
        <w:ind w:hanging="360" w:left="3217"/>
      </w:pPr>
    </w:lvl>
    <w:lvl w:tentative="true" w:tplc="041A001B" w:ilvl="5">
      <w:start w:val="1"/>
      <w:numFmt w:val="lowerRoman"/>
      <w:lvlText w:val="%6."/>
      <w:lvlJc w:val="right"/>
      <w:pPr>
        <w:ind w:hanging="180" w:left="3937"/>
      </w:pPr>
    </w:lvl>
    <w:lvl w:tentative="true" w:tplc="041A000F" w:ilvl="6">
      <w:start w:val="1"/>
      <w:numFmt w:val="decimal"/>
      <w:lvlText w:val="%7."/>
      <w:lvlJc w:val="left"/>
      <w:pPr>
        <w:ind w:hanging="360" w:left="4657"/>
      </w:pPr>
    </w:lvl>
    <w:lvl w:tentative="true" w:tplc="041A0019" w:ilvl="7">
      <w:start w:val="1"/>
      <w:numFmt w:val="lowerLetter"/>
      <w:lvlText w:val="%8."/>
      <w:lvlJc w:val="left"/>
      <w:pPr>
        <w:ind w:hanging="360" w:left="5377"/>
      </w:pPr>
    </w:lvl>
    <w:lvl w:tentative="true" w:tplc="041A001B" w:ilvl="8">
      <w:start w:val="1"/>
      <w:numFmt w:val="lowerRoman"/>
      <w:lvlText w:val="%9."/>
      <w:lvlJc w:val="right"/>
      <w:pPr>
        <w:ind w:hanging="180" w:left="6097"/>
      </w:pPr>
    </w:lvl>
  </w:abstractNum>
  <w:abstractNum w:abstractNumId="2">
    <w:nsid w:val="02C87032"/>
    <w:multiLevelType w:val="hybridMultilevel"/>
    <w:tmpl w:val="FF3E88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37415A8"/>
    <w:multiLevelType w:val="hybridMultilevel"/>
    <w:tmpl w:val="AF364F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F365BD"/>
    <w:multiLevelType w:val="hybridMultilevel"/>
    <w:tmpl w:val="637868D6"/>
    <w:lvl w:tplc="2A545856"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D31B87"/>
    <w:multiLevelType w:val="hybridMultilevel"/>
    <w:tmpl w:val="CF9AC30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69A4014"/>
    <w:multiLevelType w:val="hybridMultilevel"/>
    <w:tmpl w:val="42204BE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8372793"/>
    <w:multiLevelType w:val="hybridMultilevel"/>
    <w:tmpl w:val="F614272A"/>
    <w:lvl w:tplc="2A545856"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48367C5"/>
    <w:multiLevelType w:val="hybridMultilevel"/>
    <w:tmpl w:val="828EFDFC"/>
    <w:lvl w:tplc="12A467B8" w:ilvl="0">
      <w:start w:val="1"/>
      <w:numFmt w:val="lowerLetter"/>
      <w:lvlText w:val="%1)"/>
      <w:lvlJc w:val="left"/>
      <w:pPr>
        <w:ind w:hanging="360" w:left="337"/>
      </w:pPr>
      <w:rPr>
        <w:rFonts w:hint="default"/>
      </w:rPr>
    </w:lvl>
    <w:lvl w:tentative="true" w:tplc="041A0019" w:ilvl="1">
      <w:start w:val="1"/>
      <w:numFmt w:val="lowerLetter"/>
      <w:lvlText w:val="%2."/>
      <w:lvlJc w:val="left"/>
      <w:pPr>
        <w:ind w:hanging="360" w:left="1057"/>
      </w:pPr>
    </w:lvl>
    <w:lvl w:tentative="true" w:tplc="041A001B" w:ilvl="2">
      <w:start w:val="1"/>
      <w:numFmt w:val="lowerRoman"/>
      <w:lvlText w:val="%3."/>
      <w:lvlJc w:val="right"/>
      <w:pPr>
        <w:ind w:hanging="180" w:left="1777"/>
      </w:pPr>
    </w:lvl>
    <w:lvl w:tentative="true" w:tplc="041A000F" w:ilvl="3">
      <w:start w:val="1"/>
      <w:numFmt w:val="decimal"/>
      <w:lvlText w:val="%4."/>
      <w:lvlJc w:val="left"/>
      <w:pPr>
        <w:ind w:hanging="360" w:left="2497"/>
      </w:pPr>
    </w:lvl>
    <w:lvl w:tentative="true" w:tplc="041A0019" w:ilvl="4">
      <w:start w:val="1"/>
      <w:numFmt w:val="lowerLetter"/>
      <w:lvlText w:val="%5."/>
      <w:lvlJc w:val="left"/>
      <w:pPr>
        <w:ind w:hanging="360" w:left="3217"/>
      </w:pPr>
    </w:lvl>
    <w:lvl w:tentative="true" w:tplc="041A001B" w:ilvl="5">
      <w:start w:val="1"/>
      <w:numFmt w:val="lowerRoman"/>
      <w:lvlText w:val="%6."/>
      <w:lvlJc w:val="right"/>
      <w:pPr>
        <w:ind w:hanging="180" w:left="3937"/>
      </w:pPr>
    </w:lvl>
    <w:lvl w:tentative="true" w:tplc="041A000F" w:ilvl="6">
      <w:start w:val="1"/>
      <w:numFmt w:val="decimal"/>
      <w:lvlText w:val="%7."/>
      <w:lvlJc w:val="left"/>
      <w:pPr>
        <w:ind w:hanging="360" w:left="4657"/>
      </w:pPr>
    </w:lvl>
    <w:lvl w:tentative="true" w:tplc="041A0019" w:ilvl="7">
      <w:start w:val="1"/>
      <w:numFmt w:val="lowerLetter"/>
      <w:lvlText w:val="%8."/>
      <w:lvlJc w:val="left"/>
      <w:pPr>
        <w:ind w:hanging="360" w:left="5377"/>
      </w:pPr>
    </w:lvl>
    <w:lvl w:tentative="true" w:tplc="041A001B" w:ilvl="8">
      <w:start w:val="1"/>
      <w:numFmt w:val="lowerRoman"/>
      <w:lvlText w:val="%9."/>
      <w:lvlJc w:val="right"/>
      <w:pPr>
        <w:ind w:hanging="180" w:left="6097"/>
      </w:pPr>
    </w:lvl>
  </w:abstractNum>
  <w:abstractNum w:abstractNumId="9">
    <w:nsid w:val="272B60B3"/>
    <w:multiLevelType w:val="hybridMultilevel"/>
    <w:tmpl w:val="119CD468"/>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2DC51CBD"/>
    <w:multiLevelType w:val="hybridMultilevel"/>
    <w:tmpl w:val="637868D6"/>
    <w:lvl w:tplc="2A545856"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3224C2"/>
    <w:multiLevelType w:val="hybridMultilevel"/>
    <w:tmpl w:val="8E665576"/>
    <w:lvl w:tplc="041A0017" w:ilvl="0">
      <w:start w:val="1"/>
      <w:numFmt w:val="lowerLetter"/>
      <w:lvlText w:val="%1)"/>
      <w:lvlJc w:val="left"/>
      <w:pPr>
        <w:ind w:hanging="360" w:left="1146"/>
      </w:pPr>
    </w:lvl>
    <w:lvl w:tentative="true" w:tplc="041A0019" w:ilvl="1">
      <w:start w:val="1"/>
      <w:numFmt w:val="lowerLetter"/>
      <w:lvlText w:val="%2."/>
      <w:lvlJc w:val="left"/>
      <w:pPr>
        <w:ind w:hanging="360" w:left="1866"/>
      </w:pPr>
    </w:lvl>
    <w:lvl w:tentative="true" w:tplc="041A001B" w:ilvl="2">
      <w:start w:val="1"/>
      <w:numFmt w:val="lowerRoman"/>
      <w:lvlText w:val="%3."/>
      <w:lvlJc w:val="right"/>
      <w:pPr>
        <w:ind w:hanging="180" w:left="2586"/>
      </w:pPr>
    </w:lvl>
    <w:lvl w:tentative="true" w:tplc="041A000F" w:ilvl="3">
      <w:start w:val="1"/>
      <w:numFmt w:val="decimal"/>
      <w:lvlText w:val="%4."/>
      <w:lvlJc w:val="left"/>
      <w:pPr>
        <w:ind w:hanging="360" w:left="3306"/>
      </w:pPr>
    </w:lvl>
    <w:lvl w:tentative="true" w:tplc="041A0019" w:ilvl="4">
      <w:start w:val="1"/>
      <w:numFmt w:val="lowerLetter"/>
      <w:lvlText w:val="%5."/>
      <w:lvlJc w:val="left"/>
      <w:pPr>
        <w:ind w:hanging="360" w:left="4026"/>
      </w:pPr>
    </w:lvl>
    <w:lvl w:tentative="true" w:tplc="041A001B" w:ilvl="5">
      <w:start w:val="1"/>
      <w:numFmt w:val="lowerRoman"/>
      <w:lvlText w:val="%6."/>
      <w:lvlJc w:val="right"/>
      <w:pPr>
        <w:ind w:hanging="180" w:left="4746"/>
      </w:pPr>
    </w:lvl>
    <w:lvl w:tentative="true" w:tplc="041A000F" w:ilvl="6">
      <w:start w:val="1"/>
      <w:numFmt w:val="decimal"/>
      <w:lvlText w:val="%7."/>
      <w:lvlJc w:val="left"/>
      <w:pPr>
        <w:ind w:hanging="360" w:left="5466"/>
      </w:pPr>
    </w:lvl>
    <w:lvl w:tentative="true" w:tplc="041A0019" w:ilvl="7">
      <w:start w:val="1"/>
      <w:numFmt w:val="lowerLetter"/>
      <w:lvlText w:val="%8."/>
      <w:lvlJc w:val="left"/>
      <w:pPr>
        <w:ind w:hanging="360" w:left="6186"/>
      </w:pPr>
    </w:lvl>
    <w:lvl w:tentative="true" w:tplc="041A001B" w:ilvl="8">
      <w:start w:val="1"/>
      <w:numFmt w:val="lowerRoman"/>
      <w:lvlText w:val="%9."/>
      <w:lvlJc w:val="right"/>
      <w:pPr>
        <w:ind w:hanging="180" w:left="6906"/>
      </w:pPr>
    </w:lvl>
  </w:abstractNum>
  <w:abstractNum w:abstractNumId="12">
    <w:nsid w:val="383466A0"/>
    <w:multiLevelType w:val="hybridMultilevel"/>
    <w:tmpl w:val="637868D6"/>
    <w:lvl w:tplc="2A545856"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4104F22"/>
    <w:multiLevelType w:val="hybridMultilevel"/>
    <w:tmpl w:val="5818EF0C"/>
    <w:lvl w:tplc="041A000F" w:ilvl="0">
      <w:start w:val="1"/>
      <w:numFmt w:val="decimal"/>
      <w:lvlText w:val="%1."/>
      <w:lvlJc w:val="left"/>
      <w:pPr>
        <w:tabs>
          <w:tab w:pos="720" w:val="num"/>
        </w:tabs>
        <w:ind w:hanging="360" w:left="720"/>
      </w:pPr>
      <w:rPr>
        <w:b w:val="false"/>
      </w:rPr>
    </w:lvl>
    <w:lvl w:tplc="60BA30E0" w:ilvl="1">
      <w:start w:val="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021294"/>
    <w:multiLevelType w:val="hybridMultilevel"/>
    <w:tmpl w:val="B538ADF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30A54C6"/>
    <w:multiLevelType w:val="hybridMultilevel"/>
    <w:tmpl w:val="F61421C0"/>
    <w:lvl w:tplc="75FA60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41A757E"/>
    <w:multiLevelType w:val="hybridMultilevel"/>
    <w:tmpl w:val="5232CD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41137E"/>
    <w:multiLevelType w:val="hybridMultilevel"/>
    <w:tmpl w:val="F500B92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7A439E3"/>
    <w:multiLevelType w:val="hybridMultilevel"/>
    <w:tmpl w:val="0CDA44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10225C"/>
    <w:multiLevelType w:val="hybridMultilevel"/>
    <w:tmpl w:val="CCC2D3E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C941250"/>
    <w:multiLevelType w:val="hybridMultilevel"/>
    <w:tmpl w:val="3064E92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F483538"/>
    <w:multiLevelType w:val="hybridMultilevel"/>
    <w:tmpl w:val="AF364F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2"/>
  </w:num>
  <w:num w:numId="3">
    <w:abstractNumId w:val="16"/>
  </w:num>
  <w:num w:numId="4">
    <w:abstractNumId w:val="1"/>
  </w:num>
  <w:num w:numId="5">
    <w:abstractNumId w:val="6"/>
  </w:num>
  <w:num w:numId="6">
    <w:abstractNumId w:val="2"/>
  </w:num>
  <w:num w:numId="7">
    <w:abstractNumId w:val="5"/>
  </w:num>
  <w:num w:numId="8">
    <w:abstractNumId w:val="8"/>
  </w:num>
  <w:num w:numId="9">
    <w:abstractNumId w:val="21"/>
  </w:num>
  <w:num w:numId="10">
    <w:abstractNumId w:val="20"/>
  </w:num>
  <w:num w:numId="11">
    <w:abstractNumId w:val="9"/>
  </w:num>
  <w:num w:numId="12">
    <w:abstractNumId w:val="4"/>
  </w:num>
  <w:num w:numId="13">
    <w:abstractNumId w:val="7"/>
  </w:num>
  <w:num w:numId="14">
    <w:abstractNumId w:val="10"/>
  </w:num>
  <w:num w:numId="15">
    <w:abstractNumId w:val="15"/>
  </w:num>
  <w:num w:numId="16">
    <w:abstractNumId w:val="18"/>
  </w:num>
  <w:num w:numId="17">
    <w:abstractNumId w:val="3"/>
  </w:num>
  <w:num w:numId="18">
    <w:abstractNumId w:val="11"/>
  </w:num>
  <w:num w:numId="19">
    <w:abstractNumId w:val="17"/>
  </w:num>
  <w:num w:numId="20">
    <w:abstractNumId w:val="13"/>
  </w:num>
  <w:num w:numId="21">
    <w:abstractNumId w:val="22"/>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52DF"/>
    <w:rsid w:val="00014E19"/>
    <w:rsid w:val="00020AFE"/>
    <w:rsid w:val="00022F10"/>
    <w:rsid w:val="00025B5C"/>
    <w:rsid w:val="000317C9"/>
    <w:rsid w:val="00037DCE"/>
    <w:rsid w:val="0004682E"/>
    <w:rsid w:val="000476EC"/>
    <w:rsid w:val="0005759F"/>
    <w:rsid w:val="00070E87"/>
    <w:rsid w:val="00071365"/>
    <w:rsid w:val="00085277"/>
    <w:rsid w:val="000D0044"/>
    <w:rsid w:val="000D2085"/>
    <w:rsid w:val="000F749D"/>
    <w:rsid w:val="00110152"/>
    <w:rsid w:val="00116BA6"/>
    <w:rsid w:val="00123980"/>
    <w:rsid w:val="00133F62"/>
    <w:rsid w:val="00145A62"/>
    <w:rsid w:val="001503A7"/>
    <w:rsid w:val="00174979"/>
    <w:rsid w:val="00175516"/>
    <w:rsid w:val="0018762B"/>
    <w:rsid w:val="00191181"/>
    <w:rsid w:val="001A21B9"/>
    <w:rsid w:val="001B44FC"/>
    <w:rsid w:val="001C22CD"/>
    <w:rsid w:val="001D1A3E"/>
    <w:rsid w:val="001D2D0A"/>
    <w:rsid w:val="001F434C"/>
    <w:rsid w:val="002036B2"/>
    <w:rsid w:val="00226F6F"/>
    <w:rsid w:val="00227EF4"/>
    <w:rsid w:val="00231C3A"/>
    <w:rsid w:val="00234C18"/>
    <w:rsid w:val="002611FF"/>
    <w:rsid w:val="00282A02"/>
    <w:rsid w:val="00283960"/>
    <w:rsid w:val="00295A53"/>
    <w:rsid w:val="002A46E7"/>
    <w:rsid w:val="002A5C23"/>
    <w:rsid w:val="002A6996"/>
    <w:rsid w:val="002C03D4"/>
    <w:rsid w:val="002D3459"/>
    <w:rsid w:val="002D36EE"/>
    <w:rsid w:val="002F3ECE"/>
    <w:rsid w:val="002F4E4C"/>
    <w:rsid w:val="003045F6"/>
    <w:rsid w:val="00310D4A"/>
    <w:rsid w:val="003342C7"/>
    <w:rsid w:val="00336965"/>
    <w:rsid w:val="00356559"/>
    <w:rsid w:val="00367461"/>
    <w:rsid w:val="00392F9D"/>
    <w:rsid w:val="003A459D"/>
    <w:rsid w:val="003B6CD1"/>
    <w:rsid w:val="003B73FE"/>
    <w:rsid w:val="003B7F08"/>
    <w:rsid w:val="003D22A7"/>
    <w:rsid w:val="003D41A9"/>
    <w:rsid w:val="003E74AD"/>
    <w:rsid w:val="0040575F"/>
    <w:rsid w:val="00412339"/>
    <w:rsid w:val="00416DD7"/>
    <w:rsid w:val="00416DDB"/>
    <w:rsid w:val="004208B8"/>
    <w:rsid w:val="004336AB"/>
    <w:rsid w:val="00433E55"/>
    <w:rsid w:val="004618F5"/>
    <w:rsid w:val="0047604A"/>
    <w:rsid w:val="00485E93"/>
    <w:rsid w:val="004B239E"/>
    <w:rsid w:val="004E267B"/>
    <w:rsid w:val="004E371F"/>
    <w:rsid w:val="004E39DE"/>
    <w:rsid w:val="004F4F29"/>
    <w:rsid w:val="00553D51"/>
    <w:rsid w:val="00570675"/>
    <w:rsid w:val="00581369"/>
    <w:rsid w:val="00585582"/>
    <w:rsid w:val="005A5ACA"/>
    <w:rsid w:val="005B3491"/>
    <w:rsid w:val="005F1ABE"/>
    <w:rsid w:val="005F212E"/>
    <w:rsid w:val="005F5F48"/>
    <w:rsid w:val="00626094"/>
    <w:rsid w:val="00632FEA"/>
    <w:rsid w:val="00665727"/>
    <w:rsid w:val="00667A34"/>
    <w:rsid w:val="0067129D"/>
    <w:rsid w:val="0067187D"/>
    <w:rsid w:val="0067632C"/>
    <w:rsid w:val="006A3A70"/>
    <w:rsid w:val="006B0BC2"/>
    <w:rsid w:val="006B772B"/>
    <w:rsid w:val="006C0773"/>
    <w:rsid w:val="006D16E2"/>
    <w:rsid w:val="006E4938"/>
    <w:rsid w:val="006F7079"/>
    <w:rsid w:val="0070729F"/>
    <w:rsid w:val="007226F2"/>
    <w:rsid w:val="00727C46"/>
    <w:rsid w:val="007316EA"/>
    <w:rsid w:val="00750065"/>
    <w:rsid w:val="007575FC"/>
    <w:rsid w:val="007657AA"/>
    <w:rsid w:val="00772F26"/>
    <w:rsid w:val="00790574"/>
    <w:rsid w:val="007B0524"/>
    <w:rsid w:val="007E1351"/>
    <w:rsid w:val="007E6F5F"/>
    <w:rsid w:val="00802D69"/>
    <w:rsid w:val="00814E17"/>
    <w:rsid w:val="00821D14"/>
    <w:rsid w:val="00826CBE"/>
    <w:rsid w:val="00827E4A"/>
    <w:rsid w:val="0084131F"/>
    <w:rsid w:val="008512FB"/>
    <w:rsid w:val="00881511"/>
    <w:rsid w:val="00887123"/>
    <w:rsid w:val="00893ADC"/>
    <w:rsid w:val="008A2435"/>
    <w:rsid w:val="008B4499"/>
    <w:rsid w:val="008B56E5"/>
    <w:rsid w:val="008B6723"/>
    <w:rsid w:val="008D51A8"/>
    <w:rsid w:val="008D730A"/>
    <w:rsid w:val="008E12AC"/>
    <w:rsid w:val="008F5973"/>
    <w:rsid w:val="00903ABE"/>
    <w:rsid w:val="00917463"/>
    <w:rsid w:val="00942488"/>
    <w:rsid w:val="009574CC"/>
    <w:rsid w:val="0096746E"/>
    <w:rsid w:val="009817F2"/>
    <w:rsid w:val="00985EDC"/>
    <w:rsid w:val="00987202"/>
    <w:rsid w:val="009A1630"/>
    <w:rsid w:val="009B7B4F"/>
    <w:rsid w:val="009E710C"/>
    <w:rsid w:val="009F6DB4"/>
    <w:rsid w:val="00A15992"/>
    <w:rsid w:val="00A23407"/>
    <w:rsid w:val="00A77BCB"/>
    <w:rsid w:val="00A83186"/>
    <w:rsid w:val="00AA4B3E"/>
    <w:rsid w:val="00AD1014"/>
    <w:rsid w:val="00AF2FA1"/>
    <w:rsid w:val="00B012E7"/>
    <w:rsid w:val="00B266F0"/>
    <w:rsid w:val="00B75914"/>
    <w:rsid w:val="00B83B01"/>
    <w:rsid w:val="00BB4CFF"/>
    <w:rsid w:val="00BF489D"/>
    <w:rsid w:val="00BF6A2B"/>
    <w:rsid w:val="00C22F04"/>
    <w:rsid w:val="00C253A5"/>
    <w:rsid w:val="00C30C88"/>
    <w:rsid w:val="00C33D5E"/>
    <w:rsid w:val="00C529A6"/>
    <w:rsid w:val="00C61F72"/>
    <w:rsid w:val="00C82E6A"/>
    <w:rsid w:val="00CC6901"/>
    <w:rsid w:val="00CF6A79"/>
    <w:rsid w:val="00D4182B"/>
    <w:rsid w:val="00D43628"/>
    <w:rsid w:val="00D73DC0"/>
    <w:rsid w:val="00D763EE"/>
    <w:rsid w:val="00D817DC"/>
    <w:rsid w:val="00D82B2C"/>
    <w:rsid w:val="00DB535E"/>
    <w:rsid w:val="00DD5DDA"/>
    <w:rsid w:val="00DE0441"/>
    <w:rsid w:val="00DF1970"/>
    <w:rsid w:val="00E25145"/>
    <w:rsid w:val="00E2550A"/>
    <w:rsid w:val="00E7385D"/>
    <w:rsid w:val="00E802D3"/>
    <w:rsid w:val="00E85A2C"/>
    <w:rsid w:val="00E975F6"/>
    <w:rsid w:val="00EA49F8"/>
    <w:rsid w:val="00EC5A27"/>
    <w:rsid w:val="00EE051E"/>
    <w:rsid w:val="00F043A0"/>
    <w:rsid w:val="00F2348B"/>
    <w:rsid w:val="00F23755"/>
    <w:rsid w:val="00F264C4"/>
    <w:rsid w:val="00F30E44"/>
    <w:rsid w:val="00F6626F"/>
    <w:rsid w:val="00F94611"/>
    <w:rsid w:val="00FC7608"/>
    <w:rsid w:val="00FD3A39"/>
    <w:rsid w:val="00FF0D7C"/>
    <w:rsid w:val="00FF4D7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4CFF"/>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Odlomakpopisa" w:type="paragraph">
    <w:name w:val="List Paragraph"/>
    <w:basedOn w:val="Normal"/>
    <w:uiPriority w:val="34"/>
    <w:qFormat/>
    <w:rsid w:val="00D817DC"/>
    <w:pPr>
      <w:ind w:left="720"/>
      <w:contextualSpacing/>
    </w:pPr>
  </w:style>
  <w:style w:styleId="Reetkatablice" w:type="table">
    <w:name w:val="Table Grid"/>
    <w:basedOn w:val="Obinatablica"/>
    <w:uiPriority w:val="59"/>
    <w:rsid w:val="0047604A"/>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7604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604A"/>
    <w:rPr>
      <w:rFonts w:cs="Tahoma" w:eastAsia="Calibri" w:hAnsi="Tahoma" w:ascii="Tahoma"/>
      <w:sz w:val="16"/>
      <w:szCs w:val="16"/>
      <w:lang w:eastAsia="en-US"/>
    </w:rPr>
  </w:style>
  <w:style w:styleId="Tekstrezerviranogmjesta" w:type="character">
    <w:name w:val="Placeholder Text"/>
    <w:basedOn w:val="Zadanifontodlomka"/>
    <w:uiPriority w:val="99"/>
    <w:semiHidden/>
    <w:rsid w:val="005A5ACA"/>
    <w:rPr>
      <w:color w:val="808080"/>
      <w:bdr w:space="0" w:sz="0" w:color="auto" w:val="none"/>
      <w:shd w:fill="auto" w:color="auto" w:val="clear"/>
    </w:rPr>
  </w:style>
  <w:style w:customStyle="true" w:styleId="eSPISCCParagraphDefaultFont" w:type="character">
    <w:name w:val="eSPIS_CC_Paragraph Default Font"/>
    <w:basedOn w:val="Zadanifontodlomka"/>
    <w:rsid w:val="005A5A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5AC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A5AC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A5AC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4CFF"/>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Odlomakpopisa" w:type="paragraph">
    <w:name w:val="List Paragraph"/>
    <w:basedOn w:val="Normal"/>
    <w:uiPriority w:val="34"/>
    <w:qFormat/>
    <w:rsid w:val="00D817DC"/>
    <w:pPr>
      <w:ind w:left="720"/>
      <w:contextualSpacing/>
    </w:pPr>
  </w:style>
  <w:style w:styleId="Reetkatablice" w:type="table">
    <w:name w:val="Table Grid"/>
    <w:basedOn w:val="Obinatablica"/>
    <w:uiPriority w:val="59"/>
    <w:rsid w:val="0047604A"/>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7604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7604A"/>
    <w:rPr>
      <w:rFonts w:ascii="Tahoma" w:cs="Tahoma" w:eastAsia="Calibri" w:hAnsi="Tahoma"/>
      <w:sz w:val="16"/>
      <w:szCs w:val="16"/>
      <w:lang w:eastAsia="en-US"/>
    </w:rPr>
  </w:style>
  <w:style w:styleId="Tekstrezerviranogmjesta" w:type="character">
    <w:name w:val="Placeholder Text"/>
    <w:basedOn w:val="Zadanifontodlomka"/>
    <w:uiPriority w:val="99"/>
    <w:semiHidden/>
    <w:rsid w:val="005A5ACA"/>
    <w:rPr>
      <w:color w:val="808080"/>
      <w:bdr w:color="auto" w:space="0" w:sz="0" w:val="none"/>
      <w:shd w:color="auto" w:fill="auto" w:val="clear"/>
    </w:rPr>
  </w:style>
  <w:style w:customStyle="1" w:styleId="eSPISCCParagraphDefaultFont" w:type="character">
    <w:name w:val="eSPIS_CC_Paragraph Default Font"/>
    <w:basedOn w:val="Zadanifontodlomka"/>
    <w:rsid w:val="005A5A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5AC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A5AC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A5AC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846302">
      <w:bodyDiv w:val="true"/>
      <w:marLeft w:val="0"/>
      <w:marRight w:val="0"/>
      <w:marTop w:val="0"/>
      <w:marBottom w:val="0"/>
      <w:divBdr>
        <w:top w:space="0" w:sz="0" w:color="auto" w:val="none"/>
        <w:left w:space="0" w:sz="0" w:color="auto" w:val="none"/>
        <w:bottom w:space="0" w:sz="0" w:color="auto" w:val="none"/>
        <w:right w:space="0" w:sz="0" w:color="auto" w:val="none"/>
      </w:divBdr>
    </w:div>
    <w:div w:id="145780513">
      <w:bodyDiv w:val="true"/>
      <w:marLeft w:val="0"/>
      <w:marRight w:val="0"/>
      <w:marTop w:val="0"/>
      <w:marBottom w:val="0"/>
      <w:divBdr>
        <w:top w:space="0" w:sz="0" w:color="auto" w:val="none"/>
        <w:left w:space="0" w:sz="0" w:color="auto" w:val="none"/>
        <w:bottom w:space="0" w:sz="0" w:color="auto" w:val="none"/>
        <w:right w:space="0" w:sz="0" w:color="auto" w:val="none"/>
      </w:divBdr>
    </w:div>
    <w:div w:id="409499463">
      <w:bodyDiv w:val="true"/>
      <w:marLeft w:val="0"/>
      <w:marRight w:val="0"/>
      <w:marTop w:val="0"/>
      <w:marBottom w:val="0"/>
      <w:divBdr>
        <w:top w:space="0" w:sz="0" w:color="auto" w:val="none"/>
        <w:left w:space="0" w:sz="0" w:color="auto" w:val="none"/>
        <w:bottom w:space="0" w:sz="0" w:color="auto" w:val="none"/>
        <w:right w:space="0" w:sz="0" w:color="auto" w:val="none"/>
      </w:divBdr>
    </w:div>
    <w:div w:id="440539675">
      <w:bodyDiv w:val="true"/>
      <w:marLeft w:val="0"/>
      <w:marRight w:val="0"/>
      <w:marTop w:val="0"/>
      <w:marBottom w:val="0"/>
      <w:divBdr>
        <w:top w:space="0" w:sz="0" w:color="auto" w:val="none"/>
        <w:left w:space="0" w:sz="0" w:color="auto" w:val="none"/>
        <w:bottom w:space="0" w:sz="0" w:color="auto" w:val="none"/>
        <w:right w:space="0" w:sz="0" w:color="auto" w:val="none"/>
      </w:divBdr>
    </w:div>
    <w:div w:id="497112667">
      <w:bodyDiv w:val="true"/>
      <w:marLeft w:val="0"/>
      <w:marRight w:val="0"/>
      <w:marTop w:val="0"/>
      <w:marBottom w:val="0"/>
      <w:divBdr>
        <w:top w:space="0" w:sz="0" w:color="auto" w:val="none"/>
        <w:left w:space="0" w:sz="0" w:color="auto" w:val="none"/>
        <w:bottom w:space="0" w:sz="0" w:color="auto" w:val="none"/>
        <w:right w:space="0" w:sz="0" w:color="auto" w:val="none"/>
      </w:divBdr>
    </w:div>
    <w:div w:id="537395589">
      <w:bodyDiv w:val="true"/>
      <w:marLeft w:val="0"/>
      <w:marRight w:val="0"/>
      <w:marTop w:val="0"/>
      <w:marBottom w:val="0"/>
      <w:divBdr>
        <w:top w:space="0" w:sz="0" w:color="auto" w:val="none"/>
        <w:left w:space="0" w:sz="0" w:color="auto" w:val="none"/>
        <w:bottom w:space="0" w:sz="0" w:color="auto" w:val="none"/>
        <w:right w:space="0" w:sz="0" w:color="auto" w:val="none"/>
      </w:divBdr>
    </w:div>
    <w:div w:id="605963023">
      <w:bodyDiv w:val="true"/>
      <w:marLeft w:val="0"/>
      <w:marRight w:val="0"/>
      <w:marTop w:val="0"/>
      <w:marBottom w:val="0"/>
      <w:divBdr>
        <w:top w:space="0" w:sz="0" w:color="auto" w:val="none"/>
        <w:left w:space="0" w:sz="0" w:color="auto" w:val="none"/>
        <w:bottom w:space="0" w:sz="0" w:color="auto" w:val="none"/>
        <w:right w:space="0" w:sz="0" w:color="auto" w:val="none"/>
      </w:divBdr>
    </w:div>
    <w:div w:id="694579613">
      <w:bodyDiv w:val="true"/>
      <w:marLeft w:val="0"/>
      <w:marRight w:val="0"/>
      <w:marTop w:val="0"/>
      <w:marBottom w:val="0"/>
      <w:divBdr>
        <w:top w:space="0" w:sz="0" w:color="auto" w:val="none"/>
        <w:left w:space="0" w:sz="0" w:color="auto" w:val="none"/>
        <w:bottom w:space="0" w:sz="0" w:color="auto" w:val="none"/>
        <w:right w:space="0" w:sz="0" w:color="auto" w:val="none"/>
      </w:divBdr>
    </w:div>
    <w:div w:id="899435760">
      <w:bodyDiv w:val="true"/>
      <w:marLeft w:val="0"/>
      <w:marRight w:val="0"/>
      <w:marTop w:val="0"/>
      <w:marBottom w:val="0"/>
      <w:divBdr>
        <w:top w:space="0" w:sz="0" w:color="auto" w:val="none"/>
        <w:left w:space="0" w:sz="0" w:color="auto" w:val="none"/>
        <w:bottom w:space="0" w:sz="0" w:color="auto" w:val="none"/>
        <w:right w:space="0" w:sz="0" w:color="auto" w:val="none"/>
      </w:divBdr>
    </w:div>
    <w:div w:id="1009914805">
      <w:bodyDiv w:val="true"/>
      <w:marLeft w:val="0"/>
      <w:marRight w:val="0"/>
      <w:marTop w:val="0"/>
      <w:marBottom w:val="0"/>
      <w:divBdr>
        <w:top w:space="0" w:sz="0" w:color="auto" w:val="none"/>
        <w:left w:space="0" w:sz="0" w:color="auto" w:val="none"/>
        <w:bottom w:space="0" w:sz="0" w:color="auto" w:val="none"/>
        <w:right w:space="0" w:sz="0" w:color="auto" w:val="none"/>
      </w:divBdr>
    </w:div>
    <w:div w:id="1277372871">
      <w:bodyDiv w:val="true"/>
      <w:marLeft w:val="0"/>
      <w:marRight w:val="0"/>
      <w:marTop w:val="0"/>
      <w:marBottom w:val="0"/>
      <w:divBdr>
        <w:top w:space="0" w:sz="0" w:color="auto" w:val="none"/>
        <w:left w:space="0" w:sz="0" w:color="auto" w:val="none"/>
        <w:bottom w:space="0" w:sz="0" w:color="auto" w:val="none"/>
        <w:right w:space="0" w:sz="0" w:color="auto" w:val="none"/>
      </w:divBdr>
    </w:div>
    <w:div w:id="1362124664">
      <w:bodyDiv w:val="true"/>
      <w:marLeft w:val="0"/>
      <w:marRight w:val="0"/>
      <w:marTop w:val="0"/>
      <w:marBottom w:val="0"/>
      <w:divBdr>
        <w:top w:space="0" w:sz="0" w:color="auto" w:val="none"/>
        <w:left w:space="0" w:sz="0" w:color="auto" w:val="none"/>
        <w:bottom w:space="0" w:sz="0" w:color="auto" w:val="none"/>
        <w:right w:space="0" w:sz="0" w:color="auto" w:val="none"/>
      </w:divBdr>
    </w:div>
    <w:div w:id="1572156804">
      <w:bodyDiv w:val="true"/>
      <w:marLeft w:val="0"/>
      <w:marRight w:val="0"/>
      <w:marTop w:val="0"/>
      <w:marBottom w:val="0"/>
      <w:divBdr>
        <w:top w:space="0" w:sz="0" w:color="auto" w:val="none"/>
        <w:left w:space="0" w:sz="0" w:color="auto" w:val="none"/>
        <w:bottom w:space="0" w:sz="0" w:color="auto" w:val="none"/>
        <w:right w:space="0" w:sz="0" w:color="auto" w:val="none"/>
      </w:divBdr>
    </w:div>
    <w:div w:id="1581403613">
      <w:bodyDiv w:val="true"/>
      <w:marLeft w:val="0"/>
      <w:marRight w:val="0"/>
      <w:marTop w:val="0"/>
      <w:marBottom w:val="0"/>
      <w:divBdr>
        <w:top w:space="0" w:sz="0" w:color="auto" w:val="none"/>
        <w:left w:space="0" w:sz="0" w:color="auto" w:val="none"/>
        <w:bottom w:space="0" w:sz="0" w:color="auto" w:val="none"/>
        <w:right w:space="0" w:sz="0" w:color="auto" w:val="none"/>
      </w:divBdr>
    </w:div>
    <w:div w:id="1614051336">
      <w:bodyDiv w:val="true"/>
      <w:marLeft w:val="0"/>
      <w:marRight w:val="0"/>
      <w:marTop w:val="0"/>
      <w:marBottom w:val="0"/>
      <w:divBdr>
        <w:top w:space="0" w:sz="0" w:color="auto" w:val="none"/>
        <w:left w:space="0" w:sz="0" w:color="auto" w:val="none"/>
        <w:bottom w:space="0" w:sz="0" w:color="auto" w:val="none"/>
        <w:right w:space="0" w:sz="0" w:color="auto" w:val="none"/>
      </w:divBdr>
    </w:div>
    <w:div w:id="1619490130">
      <w:bodyDiv w:val="true"/>
      <w:marLeft w:val="0"/>
      <w:marRight w:val="0"/>
      <w:marTop w:val="0"/>
      <w:marBottom w:val="0"/>
      <w:divBdr>
        <w:top w:space="0" w:sz="0" w:color="auto" w:val="none"/>
        <w:left w:space="0" w:sz="0" w:color="auto" w:val="none"/>
        <w:bottom w:space="0" w:sz="0" w:color="auto" w:val="none"/>
        <w:right w:space="0" w:sz="0" w:color="auto" w:val="none"/>
      </w:divBdr>
    </w:div>
    <w:div w:id="1772893744">
      <w:bodyDiv w:val="true"/>
      <w:marLeft w:val="0"/>
      <w:marRight w:val="0"/>
      <w:marTop w:val="0"/>
      <w:marBottom w:val="0"/>
      <w:divBdr>
        <w:top w:space="0" w:sz="0" w:color="auto" w:val="none"/>
        <w:left w:space="0" w:sz="0" w:color="auto" w:val="none"/>
        <w:bottom w:space="0" w:sz="0" w:color="auto" w:val="none"/>
        <w:right w:space="0" w:sz="0" w:color="auto" w:val="none"/>
      </w:divBdr>
    </w:div>
    <w:div w:id="1799031935">
      <w:bodyDiv w:val="true"/>
      <w:marLeft w:val="0"/>
      <w:marRight w:val="0"/>
      <w:marTop w:val="0"/>
      <w:marBottom w:val="0"/>
      <w:divBdr>
        <w:top w:space="0" w:sz="0" w:color="auto" w:val="none"/>
        <w:left w:space="0" w:sz="0" w:color="auto" w:val="none"/>
        <w:bottom w:space="0" w:sz="0" w:color="auto" w:val="none"/>
        <w:right w:space="0" w:sz="0" w:color="auto" w:val="none"/>
      </w:divBdr>
    </w:div>
    <w:div w:id="1814252058">
      <w:bodyDiv w:val="true"/>
      <w:marLeft w:val="0"/>
      <w:marRight w:val="0"/>
      <w:marTop w:val="0"/>
      <w:marBottom w:val="0"/>
      <w:divBdr>
        <w:top w:space="0" w:sz="0" w:color="auto" w:val="none"/>
        <w:left w:space="0" w:sz="0" w:color="auto" w:val="none"/>
        <w:bottom w:space="0" w:sz="0" w:color="auto" w:val="none"/>
        <w:right w:space="0" w:sz="0" w:color="auto" w:val="none"/>
      </w:divBdr>
    </w:div>
    <w:div w:id="1905994365">
      <w:bodyDiv w:val="true"/>
      <w:marLeft w:val="0"/>
      <w:marRight w:val="0"/>
      <w:marTop w:val="0"/>
      <w:marBottom w:val="0"/>
      <w:divBdr>
        <w:top w:space="0" w:sz="0" w:color="auto" w:val="none"/>
        <w:left w:space="0" w:sz="0" w:color="auto" w:val="none"/>
        <w:bottom w:space="0" w:sz="0" w:color="auto" w:val="none"/>
        <w:right w:space="0" w:sz="0" w:color="auto" w:val="none"/>
      </w:divBdr>
    </w:div>
    <w:div w:id="1913151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St-2741/2017-306</izvorni_sadrzaj>
    <derivirana_varijabla naziv="DomainObject.Oznaka_1">St-2741/2017-306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izvorni_sadrzaj>
    <derivirana_varijabla naziv="DomainObject.Predmet.Opis_1">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St-2741/2017</izvorni_sadrzaj>
    <derivirana_varijabla naziv="DomainObject.Predmet.OznakaBroj_1">St-2741/2017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TPK - PIRUS d.o.o. u stečaju</izvorni_sadrzaj>
    <derivirana_varijabla naziv="DomainObject.Predmet.ProtustrankaFormated_1">  Stečajna masa iza TPK - PIRUS d.o.o. u stečaju</derivirana_varijabla>
  </DomainObject.Predmet.ProtustrankaFormated>
  <DomainObject.Predmet.ProtustrankaFormatedOIB>
    <izvorni_sadrzaj>  Stečajna masa iza TPK - PIRUS d.o.o. u stečaju, OIB 00000000001</izvorni_sadrzaj>
    <derivirana_varijabla naziv="DomainObject.Predmet.ProtustrankaFormatedOIB_1">  Stečajna masa iza TPK - PIRUS d.o.o. u stečaju, OIB 00000000001</derivirana_varijabla>
  </DomainObject.Predmet.ProtustrankaFormatedOIB>
  <DomainObject.Predmet.ProtustrankaFormatedWithAdress>
    <izvorni_sadrzaj> Stečajna masa iza TPK - PIRUS d.o.o. u stečaju, ŽITNJAK B.B., 10000 Zagreb</izvorni_sadrzaj>
    <derivirana_varijabla naziv="DomainObject.Predmet.ProtustrankaFormatedWithAdress_1"> Stečajna masa iza TPK - PIRUS d.o.o. u stečaju, ŽITNJAK B.B., 10000 Zagreb</derivirana_varijabla>
  </DomainObject.Predmet.ProtustrankaFormatedWithAdress>
  <DomainObject.Predmet.ProtustrankaFormatedWithAdressOIB>
    <izvorni_sadrzaj> Stečajna masa iza TPK - PIRUS d.o.o. u stečaju, OIB 00000000001, ŽITNJAK B.B., 10000 Zagreb</izvorni_sadrzaj>
    <derivirana_varijabla naziv="DomainObject.Predmet.ProtustrankaFormatedWithAdressOIB_1"> Stečajna masa iza TPK - PIRUS d.o.o. u stečaju, OIB 00000000001, ŽITNJAK B.B., 10000 Zagreb</derivirana_varijabla>
  </DomainObject.Predmet.ProtustrankaFormatedWithAdressOIB>
  <DomainObject.Predmet.ProtustrankaWithAdress>
    <izvorni_sadrzaj>Stečajna masa iza TPK - PIRUS d.o.o. u stečaju ŽITNJAK B.B., 10000 Zagreb</izvorni_sadrzaj>
    <derivirana_varijabla naziv="DomainObject.Predmet.ProtustrankaWithAdress_1">Stečajna masa iza TPK - PIRUS d.o.o. u stečaju ŽITNJAK B.B., 10000 Zagreb</derivirana_varijabla>
  </DomainObject.Predmet.ProtustrankaWithAdress>
  <DomainObject.Predmet.ProtustrankaWithAdressOIB>
    <izvorni_sadrzaj>Stečajna masa iza TPK - PIRUS d.o.o. u stečaju, OIB 00000000001, ŽITNJAK B.B., 10000 Zagreb</izvorni_sadrzaj>
    <derivirana_varijabla naziv="DomainObject.Predmet.ProtustrankaWithAdressOIB_1">Stečajna masa iza TPK - PIRUS d.o.o. u stečaju, OIB 00000000001, ŽITNJAK B.B., 10000 Zagreb</derivirana_varijabla>
  </DomainObject.Predmet.ProtustrankaWithAdressOIB>
  <DomainObject.Predmet.ProtustrankaNazivFormated>
    <izvorni_sadrzaj>Stečajna masa iza TPK - PIRUS d.o.o. u stečaju</izvorni_sadrzaj>
    <derivirana_varijabla naziv="DomainObject.Predmet.ProtustrankaNazivFormated_1">Stečajna masa iza TPK - PIRUS d.o.o. u stečaju</derivirana_varijabla>
  </DomainObject.Predmet.ProtustrankaNazivFormated>
  <DomainObject.Predmet.ProtustrankaNazivFormatedOIB>
    <izvorni_sadrzaj>Stečajna masa iza TPK - PIRUS d.o.o. u stečaju, OIB 00000000001</izvorni_sadrzaj>
    <derivirana_varijabla naziv="DomainObject.Predmet.ProtustrankaNazivFormatedOIB_1">Stečajna masa iza TPK - PIRUS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Anđa Mikelić; Marija Volić; Subhija Štrban; Dragica Čičić; Goran Gaščić; Ivan Butorac; Verica Glogoški; Petar Bukal</izvorni_sadrzaj>
    <derivirana_varijabla naziv="DomainObject.Predmet.StrankaFormated_1">  Anđa Mikelić; Marija Volić; Subhija Štrban; Dragica Čičić; Goran Gaščić; Ivan Butorac; Verica Glogoški; Petar Bukal</derivirana_varijabla>
  </DomainObject.Predmet.StrankaFormated>
  <DomainObject.Predmet.StrankaFormatedOIB>
    <izvorni_sadrzaj>  Anđa Mikelić, OIB 90405453559; Marija Volić, OIB 87742894384; Subhija Štrban, OIB 26625178321; Dragica Čičić, OIB 45100213605; Goran Gaščić, OIB 72617407984; Ivan Butorac, OIB 25699397524; Verica Glogoški, OIB 89451746521; Petar Bukal</izvorni_sadrzaj>
    <derivirana_varijabla naziv="DomainObject.Predmet.StrankaFormatedOIB_1">  Anđa Mikelić, OIB 90405453559; Marija Volić, OIB 87742894384; Subhija Štrban, OIB 26625178321; Dragica Čičić, OIB 45100213605; Goran Gaščić, OIB 72617407984; Ivan Butorac, OIB 25699397524; Verica Glogoški, OIB 89451746521; Petar Bukal</derivirana_varijabla>
  </DomainObject.Predmet.StrankaFormatedOIB>
  <DomainObject.Predmet.StrankaFormatedWithAdress>
    <izvorni_sadrzaj>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izvorni_sadrzaj>
    <derivirana_varijabla naziv="DomainObject.Predmet.StrankaFormatedWithAdress_1">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derivirana_varijabla>
  </DomainObject.Predmet.StrankaFormatedWithAdress>
  <DomainObject.Predmet.StrankaFormatedWithAdressOIB>
    <izvorni_sadrzaj>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izvorni_sadrzaj>
    <derivirana_varijabla naziv="DomainObject.Predmet.StrankaFormatedWithAdressOIB_1">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derivirana_varijabla>
  </DomainObject.Predmet.StrankaFormatedWithAdressOIB>
  <DomainObject.Predmet.StrankaWithAdress>
    <izvorni_sadrzaj>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izvorni_sadrzaj>
    <derivirana_varijabla naziv="DomainObject.Predmet.StrankaWithAdress_1">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derivirana_varijabla>
  </DomainObject.Predmet.StrankaWithAdress>
  <DomainObject.Predmet.StrankaWithAdressOIB>
    <izvorni_sadrzaj>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izvorni_sadrzaj>
    <derivirana_varijabla naziv="DomainObject.Predmet.StrankaWithAdressOIB_1">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derivirana_varijabla>
  </DomainObject.Predmet.StrankaWithAdressOIB>
  <DomainObject.Predmet.StrankaNazivFormated>
    <izvorni_sadrzaj>Anđa Mikelić,Marija Volić,Subhija Štrban,Dragica Čičić,Goran Gaščić,Ivan Butorac,Verica Glogoški,Petar Bukal</izvorni_sadrzaj>
    <derivirana_varijabla naziv="DomainObject.Predmet.StrankaNazivFormated_1">Anđa Mikelić,Marija Volić,Subhija Štrban,Dragica Čičić,Goran Gaščić,Ivan Butorac,Verica Glogoški,Petar Bukal</derivirana_varijabla>
  </DomainObject.Predmet.StrankaNazivFormated>
  <DomainObject.Predmet.StrankaNazivFormatedOIB>
    <izvorni_sadrzaj>Anđa Mikelić, OIB 90405453559,Marija Volić, OIB 87742894384,Subhija Štrban, OIB 26625178321,Dragica Čičić, OIB 45100213605,Goran Gaščić, OIB 72617407984,Ivan Butorac, OIB 25699397524,Verica Glogoški, OIB 89451746521,Petar Bukal</izvorni_sadrzaj>
    <derivirana_varijabla naziv="DomainObject.Predmet.StrankaNazivFormatedOIB_1">Anđa Mikelić, OIB 90405453559,Marija Volić, OIB 87742894384,Subhija Štrban, OIB 26625178321,Dragica Čičić, OIB 45100213605,Goran Gaščić, OIB 72617407984,Ivan Butorac, OIB 25699397524,Verica Glogoški, OIB 89451746521,Petar Bukal</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Formated_1">
      <item>Anđa Mikelić</item>
      <item>Marija Volić</item>
      <item>Subhija Štrban</item>
      <item>Dragica Čičić</item>
      <item>Goran Gaščić</item>
      <item>Ivan Butorac</item>
      <item>Verica Glogoški</item>
      <item>Petar Bukal</item>
    </derivirana_varijabla>
  </DomainObject.Predmet.StrankaListFormated>
  <DomainObject.Predmet.StrankaList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FormatedOIB>
  <DomainObject.Predmet.StrankaListFormatedWithAdress>
    <izvorni_sadrzaj>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izvorni_sadrzaj>
    <derivirana_varijabla naziv="DomainObject.Predmet.StrankaListFormatedWithAdress_1">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derivirana_varijabla>
  </DomainObject.Predmet.StrankaListFormatedWithAdress>
  <DomainObject.Predmet.StrankaListFormatedWithAdressOIB>
    <izvorni_sadrzaj>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izvorni_sadrzaj>
    <derivirana_varijabla naziv="DomainObject.Predmet.StrankaListFormatedWithAdressOIB_1">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derivirana_varijabla>
  </DomainObject.Predmet.StrankaListFormatedWithAdressOIB>
  <DomainObject.Predmet.StrankaListNaziv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NazivFormated_1">
      <item>Anđa Mikelić</item>
      <item>Marija Volić</item>
      <item>Subhija Štrban</item>
      <item>Dragica Čičić</item>
      <item>Goran Gaščić</item>
      <item>Ivan Butorac</item>
      <item>Verica Glogoški</item>
      <item>Petar Bukal</item>
    </derivirana_varijabla>
  </DomainObject.Predmet.StrankaListNazivFormated>
  <DomainObject.Predmet.StrankaListNaziv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Naziv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NazivFormatedOIB>
  <DomainObject.Predmet.ProtuStrankaListFormated>
    <izvorni_sadrzaj>
      <item>Stečajna masa iza TPK - PIRUS d.o.o. u stečaju</item>
    </izvorni_sadrzaj>
    <derivirana_varijabla naziv="DomainObject.Predmet.ProtuStrankaListFormated_1">
      <item>Stečajna masa iza TPK - PIRUS d.o.o. u stečaju</item>
    </derivirana_varijabla>
  </DomainObject.Predmet.ProtuStrankaListFormated>
  <DomainObject.Predmet.ProtuStrankaListFormatedOIB>
    <izvorni_sadrzaj>
      <item>Stečajna masa iza TPK - PIRUS d.o.o. u stečaju, OIB 00000000001</item>
    </izvorni_sadrzaj>
    <derivirana_varijabla naziv="DomainObject.Predmet.ProtuStrankaListFormatedOIB_1">
      <item>Stečajna masa iza TPK - PIRUS d.o.o. u stečaju, OIB 00000000001</item>
    </derivirana_varijabla>
  </DomainObject.Predmet.ProtuStrankaListFormatedOIB>
  <DomainObject.Predmet.ProtuStrankaListFormatedWithAdress>
    <izvorni_sadrzaj>
      <item>Stečajna masa iza TPK - PIRUS d.o.o. u stečaju, ŽITNJAK B.B., 10000 Zagreb</item>
    </izvorni_sadrzaj>
    <derivirana_varijabla naziv="DomainObject.Predmet.ProtuStrankaListFormatedWithAdress_1">
      <item>Stečajna masa iza TPK - PIRUS d.o.o. u stečaju, ŽITNJAK B.B., 10000 Zagreb</item>
    </derivirana_varijabla>
  </DomainObject.Predmet.ProtuStrankaListFormatedWithAdress>
  <DomainObject.Predmet.ProtuStrankaListFormatedWithAdressOIB>
    <izvorni_sadrzaj>
      <item>Stečajna masa iza TPK - PIRUS d.o.o. u stečaju, OIB 00000000001, ŽITNJAK B.B., 10000 Zagreb</item>
    </izvorni_sadrzaj>
    <derivirana_varijabla naziv="DomainObject.Predmet.ProtuStrankaListFormatedWithAdressOIB_1">
      <item>Stečajna masa iza TPK - PIRUS d.o.o. u stečaju, OIB 00000000001, ŽITNJAK B.B., 10000 Zagreb</item>
    </derivirana_varijabla>
  </DomainObject.Predmet.ProtuStrankaListFormatedWithAdressOIB>
  <DomainObject.Predmet.ProtuStrankaListNazivFormated>
    <izvorni_sadrzaj>
      <item>Stečajna masa iza TPK - PIRUS d.o.o. u stečaju</item>
    </izvorni_sadrzaj>
    <derivirana_varijabla naziv="DomainObject.Predmet.ProtuStrankaListNazivFormated_1">
      <item>Stečajna masa iza TPK - PIRUS d.o.o. u stečaju</item>
    </derivirana_varijabla>
  </DomainObject.Predmet.ProtuStrankaListNazivFormated>
  <DomainObject.Predmet.ProtuStrankaListNazivFormatedOIB>
    <izvorni_sadrzaj>
      <item>Stečajna masa iza TPK - PIRUS d.o.o. u stečaju, OIB 00000000001</item>
    </izvorni_sadrzaj>
    <derivirana_varijabla naziv="DomainObject.Predmet.ProtuStrankaListNazivFormatedOIB_1">
      <item>Stečajna masa iza TPK - PIRUS d.o.o. u stečaju, OIB 00000000001</item>
    </derivirana_varijabla>
  </DomainObject.Predmet.ProtuStrankaListNazivFormatedOIB>
  <DomainObject.Predmet.OstaliListFormated>
    <izvorni_sadrzaj>
      <item>Ante Dragičević</item>
    </izvorni_sadrzaj>
    <derivirana_varijabla naziv="DomainObject.Predmet.OstaliListFormated_1">
      <item>Ante Dragičević</item>
    </derivirana_varijabla>
  </DomainObject.Predmet.OstaliListFormated>
  <DomainObject.Predmet.OstaliListFormatedOIB>
    <izvorni_sadrzaj>
      <item>Ante Dragičević, OIB 74126068971</item>
    </izvorni_sadrzaj>
    <derivirana_varijabla naziv="DomainObject.Predmet.OstaliListFormatedOIB_1">
      <item>Ante Dragičević, OIB 74126068971</item>
    </derivirana_varijabla>
  </DomainObject.Predmet.OstaliListFormatedOIB>
  <DomainObject.Predmet.OstaliListFormatedWithAdress>
    <izvorni_sadrzaj>
      <item>Ante Dragičević, Zadarska 77, 10000 Zagreb</item>
    </izvorni_sadrzaj>
    <derivirana_varijabla naziv="DomainObject.Predmet.OstaliListFormatedWithAdress_1">
      <item>Ante Dragičević, Zadarska 77, 10000 Zagreb</item>
    </derivirana_varijabla>
  </DomainObject.Predmet.OstaliListFormatedWithAdress>
  <DomainObject.Predmet.OstaliListFormatedWithAdressOIB>
    <izvorni_sadrzaj>
      <item>Ante Dragičević, OIB 74126068971, Zadarska 77, 10000 Zagreb</item>
    </izvorni_sadrzaj>
    <derivirana_varijabla naziv="DomainObject.Predmet.OstaliListFormatedWithAdressOIB_1">
      <item>Ante Dragičević, OIB 74126068971, Zadarska 77, 10000 Zagreb</item>
    </derivirana_varijabla>
  </DomainObject.Predmet.OstaliListFormatedWithAdressOIB>
  <DomainObject.Predmet.OstaliListNazivFormated>
    <izvorni_sadrzaj>
      <item>Ante Dragičević</item>
    </izvorni_sadrzaj>
    <derivirana_varijabla naziv="DomainObject.Predmet.OstaliListNazivFormated_1">
      <item>Ante Dragičević</item>
    </derivirana_varijabla>
  </DomainObject.Predmet.OstaliListNazivFormated>
  <DomainObject.Predmet.OstaliListNazivFormatedOIB>
    <izvorni_sadrzaj>
      <item>Ante Dragičević, OIB 74126068971</item>
    </izvorni_sadrzaj>
    <derivirana_varijabla naziv="DomainObject.Predmet.OstaliListNazivFormatedOIB_1">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Anđa Mikelić i dr.</izvorni_sadrzaj>
    <derivirana_varijabla naziv="DomainObject.Predmet.StrankaIDrugi_1">Anđa Mikelić i dr.</derivirana_varijabla>
  </DomainObject.Predmet.StrankaIDrugi>
  <DomainObject.Predmet.ProtustrankaIDrugi>
    <izvorni_sadrzaj>Stečajna masa iza TPK - PIRUS d.o.o. u stečaju</izvorni_sadrzaj>
    <derivirana_varijabla naziv="DomainObject.Predmet.ProtustrankaIDrugi_1">Stečajna masa iza TPK - PIRUS d.o.o. u stečaju</derivirana_varijabla>
  </DomainObject.Predmet.ProtustrankaIDrugi>
  <DomainObject.Predmet.StrankaIDrugiAdressOIB>
    <izvorni_sadrzaj>Anđa Mikelić, OIB 90405453559, Ii.kanalski Put 30, 10000 Zagreb i dr.</izvorni_sadrzaj>
    <derivirana_varijabla naziv="DomainObject.Predmet.StrankaIDrugiAdressOIB_1">Anđa Mikelić, OIB 90405453559, Ii.kanalski Put 30, 10000 Zagreb i dr.</derivirana_varijabla>
  </DomainObject.Predmet.StrankaIDrugiAdressOIB>
  <DomainObject.Predmet.ProtustrankaIDrugiAdressOIB>
    <izvorni_sadrzaj>Stečajna masa iza TPK - PIRUS d.o.o. u stečaju, OIB 00000000001, ŽITNJAK B.B., 10000 Zagreb</izvorni_sadrzaj>
    <derivirana_varijabla naziv="DomainObject.Predmet.ProtustrankaIDrugiAdressOIB_1">Stečajna masa iza TPK - PIRUS d.o.o. u stečaju, OIB 00000000001,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Anđa Mikelić</item>
      <item>Stečajna masa iza TPK - PIRUS d.o.o. u stečaju</item>
      <item>Marija Volić</item>
      <item>Subhija Štrban</item>
      <item>Dragica Čičić</item>
      <item>Goran Gaščić</item>
      <item>Ivan Butorac</item>
      <item>Verica Glogoški</item>
      <item>Petar Bukal</item>
      <item>Ante Dragičević</item>
    </izvorni_sadrzaj>
    <derivirana_varijabla naziv="DomainObject.Predmet.SudioniciListNaziv_1">
      <item>Anđa Mikelić</item>
      <item>Stečajna masa iza TPK - PIRUS d.o.o. u stečaju</item>
      <item>Marija Volić</item>
      <item>Subhija Štrban</item>
      <item>Dragica Čičić</item>
      <item>Goran Gaščić</item>
      <item>Ivan Butorac</item>
      <item>Verica Glogoški</item>
      <item>Petar Bukal</item>
      <item>Ante Dragičević</item>
    </derivirana_varijabla>
  </DomainObject.Predmet.SudioniciListNaziv>
  <DomainObject.Predmet.SudioniciListAdressOIB>
    <izvorni_sadrzaj>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izvorni_sadrzaj>
    <derivirana_varijabla naziv="DomainObject.Predmet.SudioniciListAdressOIB_1">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tem>Ante Dragičević, OIB 74126068971,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90405453559</item>
      <item>, OIB 00000000001</item>
      <item>, OIB 87742894384</item>
      <item>, OIB 26625178321</item>
      <item>, OIB 45100213605</item>
      <item>, OIB 72617407984</item>
      <item>, OIB 25699397524</item>
      <item>, OIB 89451746521</item>
      <item>, OIB null</item>
      <item>, OIB 74126068971</item>
    </izvorni_sadrzaj>
    <derivirana_varijabla naziv="DomainObject.Predmet.SudioniciListNazivOIB_1">
      <item>, OIB 90405453559</item>
      <item>, OIB 00000000001</item>
      <item>, OIB 87742894384</item>
      <item>, OIB 26625178321</item>
      <item>, OIB 45100213605</item>
      <item>, OIB 72617407984</item>
      <item>, OIB 25699397524</item>
      <item>, OIB 89451746521</item>
      <item>, OIB null</item>
      <item>, OIB 74126068971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4E89B4-2237-4062-ADD6-85128031BD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747</properties:Words>
  <properties:Characters>4361</properties:Characters>
  <properties:Lines>240</properties:Lines>
  <properties:Paragraphs>189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2018-01-25T10:03:00Z</dcterms:created>
  <dc:creator>ADMINIBM</dc:creator>
  <cp:lastModifiedBy>Kristina Švajger</cp:lastModifiedBy>
  <cp:lastPrinted>2018-01-18T15:38:00Z</cp:lastPrinted>
  <dcterms:modified xmlns:xsi="http://www.w3.org/2001/XMLSchema-instance" xsi:type="dcterms:W3CDTF">2018-01-25T10:04:00Z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St-2741/2017-306 / Podnesak - Podnesak</vt:lpwstr>
  </prop:property>
  <prop:property name="CC_coloring" pid="4" fmtid="{D5CDD505-2E9C-101B-9397-08002B2CF9AE}">
    <vt:bool>false</vt:bool>
  </prop:property>
  <prop:property name="BrojStranica" pid="5" fmtid="{D5CDD505-2E9C-101B-9397-08002B2CF9AE}">
    <vt:i4>3</vt:i4>
  </prop:property>
</prop:Properties>
</file>