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6be2" w14:paraId="ff56be2" w:rsidRDefault="00F42E1D" w:rsidP="00E60892" w:rsidR="00F42E1D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42E1D" w:rsidP="00E60892" w:rsidR="00F42E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2E1D" w:rsidP="00E60892" w:rsidR="00F42E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2E1D" w:rsidP="00E60892" w:rsidR="00F42E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52162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2162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60892" w:rsidP="00E60892" w:rsidR="00E60892" w:rsidRPr="0052162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21621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E60892" w:rsidP="00E60892" w:rsidR="00E60892" w:rsidRPr="0052162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21621">
        <w:rPr>
          <w:rFonts w:cs="Times New Roman" w:hAnsi="Times New Roman" w:ascii="Times New Roman"/>
          <w:b/>
          <w:sz w:val="24"/>
          <w:szCs w:val="24"/>
        </w:rPr>
        <w:t>STALNA SLUŽBA U ŠIBENIKU                                                                   7 St-</w:t>
      </w:r>
      <w:r w:rsidR="00E93273">
        <w:rPr>
          <w:rFonts w:cs="Times New Roman" w:hAnsi="Times New Roman" w:ascii="Times New Roman"/>
          <w:b/>
          <w:sz w:val="24"/>
          <w:szCs w:val="24"/>
        </w:rPr>
        <w:t>81/14</w:t>
      </w:r>
      <w:r w:rsidR="00204A11">
        <w:rPr>
          <w:rFonts w:cs="Times New Roman" w:hAnsi="Times New Roman" w:ascii="Times New Roman"/>
          <w:b/>
          <w:sz w:val="24"/>
          <w:szCs w:val="24"/>
        </w:rPr>
        <w:t>-25</w:t>
      </w:r>
    </w:p>
    <w:p w:rsidRDefault="00F42E1D" w:rsidP="00E60892" w:rsidR="00F42E1D" w:rsidRPr="0052162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21621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F42E1D" w:rsidP="00E60892" w:rsidR="00F42E1D" w:rsidRPr="00521621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21621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13795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7954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60892" w:rsidP="00E93273" w:rsidR="00E60892" w:rsidRPr="00E932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93273" w:rsidR="00E60892" w:rsidRPr="00E932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3273"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postupku nad stečajnim dužnikom</w:t>
      </w:r>
      <w:r w:rsidR="00F42E1D" w:rsidRPr="00E93273">
        <w:rPr>
          <w:rFonts w:cs="Times New Roman" w:hAnsi="Times New Roman" w:ascii="Times New Roman"/>
          <w:sz w:val="24"/>
          <w:szCs w:val="24"/>
        </w:rPr>
        <w:t xml:space="preserve"> </w:t>
      </w:r>
      <w:r w:rsidR="009E64B9">
        <w:rPr>
          <w:rFonts w:cs="Times New Roman" w:hAnsi="Times New Roman" w:ascii="Times New Roman"/>
          <w:sz w:val="24"/>
          <w:szCs w:val="24"/>
        </w:rPr>
        <w:t>SREĆKA ILJADICE</w:t>
      </w:r>
      <w:r w:rsidR="00E93273" w:rsidRPr="00E93273">
        <w:rPr>
          <w:rFonts w:cs="Times New Roman" w:hAnsi="Times New Roman" w:ascii="Times New Roman"/>
          <w:sz w:val="24"/>
          <w:szCs w:val="24"/>
        </w:rPr>
        <w:t xml:space="preserve"> iz Šibenika, Put gimnazije 10, OIB:43430603341, vlasnika obrta za usluge SIMARIS iz Šibenika, A. Mihanovića 13</w:t>
      </w:r>
      <w:r w:rsidRPr="00E60892">
        <w:rPr>
          <w:rFonts w:cs="Times New Roman" w:hAnsi="Times New Roman" w:ascii="Times New Roman"/>
          <w:sz w:val="24"/>
          <w:szCs w:val="24"/>
        </w:rPr>
        <w:t xml:space="preserve">, zastupanog po stečajnom upravitelju </w:t>
      </w:r>
      <w:r w:rsidR="00F42E1D">
        <w:rPr>
          <w:rFonts w:cs="Times New Roman" w:hAnsi="Times New Roman" w:ascii="Times New Roman"/>
          <w:sz w:val="24"/>
          <w:szCs w:val="24"/>
        </w:rPr>
        <w:t>Milanu Macuri, dipl.</w:t>
      </w:r>
      <w:r w:rsidR="009E64B9">
        <w:rPr>
          <w:rFonts w:cs="Times New Roman" w:hAnsi="Times New Roman" w:ascii="Times New Roman"/>
          <w:sz w:val="24"/>
          <w:szCs w:val="24"/>
        </w:rPr>
        <w:t xml:space="preserve"> </w:t>
      </w:r>
      <w:r w:rsidR="00F42E1D">
        <w:rPr>
          <w:rFonts w:cs="Times New Roman" w:hAnsi="Times New Roman" w:ascii="Times New Roman"/>
          <w:sz w:val="24"/>
          <w:szCs w:val="24"/>
        </w:rPr>
        <w:t>iur. iz Šibenika, Stjepana Radića 24</w:t>
      </w:r>
      <w:r w:rsidRPr="00E60892">
        <w:rPr>
          <w:rFonts w:cs="Times New Roman" w:hAnsi="Times New Roman" w:ascii="Times New Roman"/>
          <w:sz w:val="24"/>
          <w:szCs w:val="24"/>
        </w:rPr>
        <w:t>, odlučujući o tome u kojem su iznosu i kojem isplatnom redu utvrđene, odnosno osporene pojedine tražbine stečajnih vjerovnika, nakon</w:t>
      </w:r>
      <w:r w:rsidR="00137954">
        <w:rPr>
          <w:rFonts w:cs="Times New Roman" w:hAnsi="Times New Roman" w:ascii="Times New Roman"/>
          <w:sz w:val="24"/>
          <w:szCs w:val="24"/>
        </w:rPr>
        <w:t xml:space="preserve"> općeg</w:t>
      </w:r>
      <w:r w:rsidRPr="00E60892">
        <w:rPr>
          <w:rFonts w:cs="Times New Roman" w:hAnsi="Times New Roman" w:ascii="Times New Roman"/>
          <w:sz w:val="24"/>
          <w:szCs w:val="24"/>
        </w:rPr>
        <w:t xml:space="preserve"> ispitnog ročišta i na temelju posebne tablice ispitanih tražbina sastavljene prema st. 3. čl. 177. Stečajnog zakona ("Narodne novine" broj 44/96; 29/99; 129/00; 123/03; 82/06, 116/10,25/12 i 133/12, u daljnjem tekstu SZ-a), dana </w:t>
      </w:r>
      <w:r w:rsidR="009E64B9">
        <w:rPr>
          <w:rFonts w:cs="Times New Roman" w:hAnsi="Times New Roman" w:ascii="Times New Roman"/>
          <w:sz w:val="24"/>
          <w:szCs w:val="24"/>
        </w:rPr>
        <w:t>23. listopada</w:t>
      </w:r>
      <w:r w:rsidR="00F42E1D">
        <w:rPr>
          <w:rFonts w:cs="Times New Roman" w:hAnsi="Times New Roman" w:ascii="Times New Roman"/>
          <w:sz w:val="24"/>
          <w:szCs w:val="24"/>
        </w:rPr>
        <w:t xml:space="preserve"> 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godine, 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Konstatira se da su u stečajnom postupku nad stečajnim dužnikom </w:t>
      </w:r>
      <w:r w:rsidR="00E93273">
        <w:rPr>
          <w:rFonts w:cs="Times New Roman" w:hAnsi="Times New Roman" w:ascii="Times New Roman"/>
          <w:sz w:val="24"/>
          <w:szCs w:val="24"/>
        </w:rPr>
        <w:t>SREĆKO</w:t>
      </w:r>
      <w:r w:rsidR="009E64B9">
        <w:rPr>
          <w:rFonts w:cs="Times New Roman" w:hAnsi="Times New Roman" w:ascii="Times New Roman"/>
          <w:sz w:val="24"/>
          <w:szCs w:val="24"/>
        </w:rPr>
        <w:t>M</w:t>
      </w:r>
      <w:r w:rsidR="00E93273">
        <w:rPr>
          <w:rFonts w:cs="Times New Roman" w:hAnsi="Times New Roman" w:ascii="Times New Roman"/>
          <w:sz w:val="24"/>
          <w:szCs w:val="24"/>
        </w:rPr>
        <w:t xml:space="preserve"> ILJADICA</w:t>
      </w:r>
      <w:r w:rsidR="00E93273" w:rsidRPr="00E93273">
        <w:rPr>
          <w:rFonts w:cs="Times New Roman" w:hAnsi="Times New Roman" w:ascii="Times New Roman"/>
          <w:sz w:val="24"/>
          <w:szCs w:val="24"/>
        </w:rPr>
        <w:t xml:space="preserve"> iz Šibenika, Put gimnazije 10, OIB:43430603341, vlasnika obrta za usluge SIMARIS iz Šibenika, A. Mihanovića 13</w:t>
      </w:r>
      <w:r w:rsidR="00E93273" w:rsidRPr="00E60892">
        <w:rPr>
          <w:rFonts w:cs="Times New Roman" w:hAnsi="Times New Roman" w:ascii="Times New Roman"/>
          <w:sz w:val="24"/>
          <w:szCs w:val="24"/>
        </w:rPr>
        <w:t>,</w:t>
      </w:r>
      <w:r w:rsidR="00F42E1D">
        <w:rPr>
          <w:rFonts w:cs="Times New Roman" w:hAnsi="Times New Roman" w:ascii="Times New Roman"/>
          <w:sz w:val="24"/>
          <w:szCs w:val="24"/>
        </w:rPr>
        <w:t xml:space="preserve"> </w:t>
      </w:r>
      <w:r w:rsidRPr="00E60892">
        <w:rPr>
          <w:rFonts w:cs="Times New Roman" w:hAnsi="Times New Roman" w:ascii="Times New Roman"/>
          <w:sz w:val="24"/>
          <w:szCs w:val="24"/>
        </w:rPr>
        <w:t xml:space="preserve">na ispitnom ročištu održanom dana </w:t>
      </w:r>
      <w:r w:rsidR="00E93273">
        <w:rPr>
          <w:rFonts w:cs="Times New Roman" w:hAnsi="Times New Roman" w:ascii="Times New Roman"/>
          <w:sz w:val="24"/>
          <w:szCs w:val="24"/>
        </w:rPr>
        <w:t>23. listopada</w:t>
      </w:r>
      <w:r w:rsidR="00F42E1D">
        <w:rPr>
          <w:rFonts w:cs="Times New Roman" w:hAnsi="Times New Roman" w:ascii="Times New Roman"/>
          <w:sz w:val="24"/>
          <w:szCs w:val="24"/>
        </w:rPr>
        <w:t xml:space="preserve"> 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godine, utv</w:t>
      </w:r>
      <w:r w:rsidR="009E64B9">
        <w:rPr>
          <w:rFonts w:cs="Times New Roman" w:hAnsi="Times New Roman" w:ascii="Times New Roman"/>
          <w:sz w:val="24"/>
          <w:szCs w:val="24"/>
        </w:rPr>
        <w:t xml:space="preserve">rđene </w:t>
      </w:r>
      <w:r w:rsidRPr="00E60892">
        <w:rPr>
          <w:rFonts w:cs="Times New Roman" w:hAnsi="Times New Roman" w:ascii="Times New Roman"/>
          <w:sz w:val="24"/>
          <w:szCs w:val="24"/>
        </w:rPr>
        <w:t>tražbine stečajnih vjerovnika, prema svom iznosu i isplatnom redu i to: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7954" w:rsidP="00F42E1D" w:rsidR="00137954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</w:p>
    <w:p w:rsidRDefault="00F42E1D" w:rsidP="009E64B9" w:rsidR="00F42E1D" w:rsidRPr="00F42E1D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  <w:r w:rsidRPr="00F42E1D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Tražbine vjerovnika koje se namiruju kao tražbine drugog višeg isplatnog reda – općeg isplatnog reda (čl.71.st.2. SZ-a):</w:t>
      </w:r>
    </w:p>
    <w:p w:rsidRDefault="00F42E1D" w:rsidP="00F42E1D" w:rsidR="00F42E1D" w:rsidRPr="00F42E1D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</w:p>
    <w:p w:rsidRDefault="00F42E1D" w:rsidP="00F42E1D" w:rsidR="00F42E1D" w:rsidRPr="00F42E1D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</w:p>
    <w:p w:rsidRDefault="00E93273" w:rsidP="00E93273" w:rsidR="00E93273" w:rsidRPr="00E93273">
      <w:pPr>
        <w:autoSpaceDE w:val="false"/>
        <w:autoSpaceDN w:val="false"/>
        <w:adjustRightInd w:val="false"/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 w:val="en-US"/>
        </w:rPr>
      </w:pPr>
    </w:p>
    <w:tbl>
      <w:tblPr>
        <w:tblW w:type="dxa" w:w="9131"/>
        <w:tblInd w:type="dxa" w:w="672"/>
        <w:tblLayout w:type="fixed"/>
        <w:tblLook w:val="0000" w:noVBand="0" w:noHBand="0" w:lastColumn="0" w:firstColumn="0" w:lastRow="0" w:firstRow="0"/>
      </w:tblPr>
      <w:tblGrid>
        <w:gridCol w:w="570"/>
        <w:gridCol w:w="1815"/>
        <w:gridCol w:w="2288"/>
        <w:gridCol w:w="1335"/>
        <w:gridCol w:w="953"/>
        <w:gridCol w:w="1144"/>
        <w:gridCol w:w="1026"/>
      </w:tblGrid>
      <w:tr w:rsidTr="009E64B9" w:rsidR="00E93273" w:rsidRPr="00E93273">
        <w:trPr>
          <w:trHeight w:val="739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Rbr:</w:t>
            </w:r>
          </w:p>
        </w:tc>
        <w:tc>
          <w:tcPr>
            <w:tcW w:type="dxa" w:w="181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Vjerovnik</w:t>
            </w:r>
          </w:p>
        </w:tc>
        <w:tc>
          <w:tcPr>
            <w:tcW w:type="dxa" w:w="22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Osnova tražbine</w:t>
            </w:r>
          </w:p>
        </w:tc>
        <w:tc>
          <w:tcPr>
            <w:tcW w:type="dxa" w:w="133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Visina</w:t>
            </w:r>
          </w:p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tražbine</w:t>
            </w:r>
          </w:p>
        </w:tc>
        <w:tc>
          <w:tcPr>
            <w:tcW w:type="dxa" w:w="953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Osporeno</w:t>
            </w:r>
          </w:p>
        </w:tc>
        <w:tc>
          <w:tcPr>
            <w:tcW w:type="dxa" w:w="114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Priznato</w:t>
            </w:r>
          </w:p>
        </w:tc>
        <w:tc>
          <w:tcPr>
            <w:tcW w:type="dxa" w:w="102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jc w:val="center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Utvr</w:t>
            </w: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đeno</w:t>
            </w:r>
          </w:p>
        </w:tc>
      </w:tr>
      <w:tr w:rsidTr="009E64B9" w:rsidR="00E93273" w:rsidRPr="00E93273">
        <w:trPr>
          <w:trHeight w:val="989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ind w:left="7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1.</w:t>
            </w:r>
          </w:p>
        </w:tc>
        <w:tc>
          <w:tcPr>
            <w:tcW w:type="dxa" w:w="181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ind w:left="7"/>
              <w:rPr>
                <w:rFonts w:cs="Times New Roman" w:eastAsia="Times New Roman" w:hAnsi="Times New Roman" w:ascii="Times New Roman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 xml:space="preserve">Republika Hrvatska, Ministarstvo financija, Porezna uprava, Područni ured Dalmacija, zastupana po  Županijsko </w:t>
            </w: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lastRenderedPageBreak/>
              <w:t>državno odvjetništvo u Šibeniku, Građansko-upravni odjel</w:t>
            </w:r>
          </w:p>
        </w:tc>
        <w:tc>
          <w:tcPr>
            <w:tcW w:type="dxa" w:w="22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lastRenderedPageBreak/>
              <w:t>Vjerodostojna isprava – izlist stanja dugovanja iz informacijskog sustava Porezne uprave, specifikacija kamata</w:t>
            </w:r>
          </w:p>
        </w:tc>
        <w:tc>
          <w:tcPr>
            <w:tcW w:type="dxa" w:w="133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87.990,40</w:t>
            </w:r>
          </w:p>
        </w:tc>
        <w:tc>
          <w:tcPr>
            <w:tcW w:type="dxa" w:w="953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0,00</w:t>
            </w:r>
          </w:p>
        </w:tc>
        <w:tc>
          <w:tcPr>
            <w:tcW w:type="dxa" w:w="114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87.990,40</w:t>
            </w:r>
          </w:p>
        </w:tc>
        <w:tc>
          <w:tcPr>
            <w:tcW w:type="dxa" w:w="102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87.990,40</w:t>
            </w:r>
          </w:p>
        </w:tc>
      </w:tr>
      <w:tr w:rsidTr="009E64B9" w:rsidR="00E93273" w:rsidRPr="00E93273">
        <w:trPr>
          <w:trHeight w:val="1034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ind w:left="7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lastRenderedPageBreak/>
              <w:t>2.</w:t>
            </w:r>
          </w:p>
        </w:tc>
        <w:tc>
          <w:tcPr>
            <w:tcW w:type="dxa" w:w="181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ind w:left="7"/>
              <w:rPr>
                <w:rFonts w:cs="Times New Roman" w:eastAsia="Times New Roman" w:hAnsi="Times New Roman" w:ascii="Times New Roman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FINANCIJSKA AGENCIJA,Zagreb, Ulica grada Vukovara 70, OIB:85821130368</w:t>
            </w:r>
          </w:p>
        </w:tc>
        <w:tc>
          <w:tcPr>
            <w:tcW w:type="dxa" w:w="22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Vjerodostojna isprava Izvadak iz poslovnih knjiga, Računi, Ugvoor o obavljanju usluga certificiranja, Rješenje Klasa: UP/I110/07/13-01/89, Obračun kamata</w:t>
            </w:r>
          </w:p>
        </w:tc>
        <w:tc>
          <w:tcPr>
            <w:tcW w:type="dxa" w:w="133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2.644,31</w:t>
            </w:r>
          </w:p>
        </w:tc>
        <w:tc>
          <w:tcPr>
            <w:tcW w:type="dxa" w:w="953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0,00</w:t>
            </w:r>
          </w:p>
        </w:tc>
        <w:tc>
          <w:tcPr>
            <w:tcW w:type="dxa" w:w="114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2.644,31</w:t>
            </w:r>
          </w:p>
        </w:tc>
        <w:tc>
          <w:tcPr>
            <w:tcW w:type="dxa" w:w="102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2.644,31</w:t>
            </w:r>
          </w:p>
        </w:tc>
      </w:tr>
      <w:tr w:rsidTr="009E64B9" w:rsidR="00E93273" w:rsidRPr="00E93273">
        <w:trPr>
          <w:trHeight w:val="960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ind w:left="7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3.</w:t>
            </w:r>
          </w:p>
        </w:tc>
        <w:tc>
          <w:tcPr>
            <w:tcW w:type="dxa" w:w="181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ind w:left="7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GRADSKA ČISTOĆA d.o.o.</w:t>
            </w:r>
          </w:p>
          <w:p w:rsidRDefault="00E93273" w:rsidP="00E93273" w:rsidR="00E93273" w:rsidRPr="00E93273">
            <w:pPr>
              <w:suppressAutoHyphens/>
              <w:spacing w:lineRule="auto" w:line="240" w:after="0"/>
              <w:ind w:left="7"/>
              <w:rPr>
                <w:rFonts w:cs="Times New Roman" w:eastAsia="Times New Roman" w:hAnsi="Times New Roman" w:ascii="Times New Roman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Šibenik, S.Radića 100, OIB:54873130289</w:t>
            </w:r>
          </w:p>
        </w:tc>
        <w:tc>
          <w:tcPr>
            <w:tcW w:type="dxa" w:w="2288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autoSpaceDE w:val="false"/>
              <w:autoSpaceDN w:val="false"/>
              <w:adjustRightInd w:val="false"/>
              <w:spacing w:lineRule="auto" w:line="240" w:after="0"/>
              <w:ind w:left="7"/>
              <w:rPr>
                <w:rFonts w:cs="Calibri" w:eastAsia="Times New Roman" w:hAnsi="Calibri" w:ascii="Calibri"/>
                <w:lang w:eastAsia="hr-HR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hr-HR" w:val="en-US"/>
              </w:rPr>
              <w:t>Rješenje  o ovrsi Ovrv-1332/15, Obračun kamata, Ovjereni izvod otvorenih stavki</w:t>
            </w:r>
          </w:p>
        </w:tc>
        <w:tc>
          <w:tcPr>
            <w:tcW w:type="dxa" w:w="1335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1.619,94</w:t>
            </w:r>
          </w:p>
        </w:tc>
        <w:tc>
          <w:tcPr>
            <w:tcW w:type="dxa" w:w="953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0,00</w:t>
            </w:r>
          </w:p>
        </w:tc>
        <w:tc>
          <w:tcPr>
            <w:tcW w:type="dxa" w:w="1144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1.619,94</w:t>
            </w:r>
          </w:p>
        </w:tc>
        <w:tc>
          <w:tcPr>
            <w:tcW w:type="dxa" w:w="1026"/>
            <w:tcBorders>
              <w:top w:space="0" w:sz="3" w:color="000000" w:val="single"/>
              <w:left w:space="0" w:sz="3" w:color="000000" w:val="single"/>
              <w:bottom w:space="0" w:sz="3" w:color="000000" w:val="single"/>
              <w:right w:space="0" w:sz="3" w:color="000000" w:val="single"/>
            </w:tcBorders>
            <w:shd w:fill="FFFFFF" w:color="000000" w:val="clear"/>
          </w:tcPr>
          <w:p w:rsidRDefault="00E93273" w:rsidP="00E93273" w:rsidR="00E93273" w:rsidRPr="00E93273">
            <w:pPr>
              <w:suppressAutoHyphens/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</w:pPr>
            <w:r w:rsidRPr="00E93273">
              <w:rPr>
                <w:rFonts w:cs="Arial" w:eastAsia="Times New Roman" w:hAnsi="Arial" w:ascii="Arial"/>
                <w:sz w:val="24"/>
                <w:szCs w:val="24"/>
                <w:lang w:eastAsia="ar-SA" w:val="en-US"/>
              </w:rPr>
              <w:t>1.619,94</w:t>
            </w:r>
          </w:p>
        </w:tc>
      </w:tr>
    </w:tbl>
    <w:p w:rsidRDefault="00E93273" w:rsidP="00E93273" w:rsidR="00E93273" w:rsidRPr="00E93273">
      <w:pPr>
        <w:autoSpaceDE w:val="false"/>
        <w:autoSpaceDN w:val="false"/>
        <w:adjustRightInd w:val="false"/>
        <w:spacing w:lineRule="auto" w:line="240" w:after="0"/>
        <w:rPr>
          <w:rFonts w:cs="Arial" w:eastAsia="Times New Roman" w:hAnsi="Arial" w:ascii="Arial"/>
          <w:sz w:val="24"/>
          <w:szCs w:val="24"/>
          <w:lang w:eastAsia="hr-HR" w:val="en-US"/>
        </w:rPr>
      </w:pPr>
    </w:p>
    <w:p w:rsidRDefault="00E93273" w:rsidP="00E93273" w:rsidR="00E93273" w:rsidRPr="00E93273">
      <w:pPr>
        <w:autoSpaceDE w:val="false"/>
        <w:autoSpaceDN w:val="false"/>
        <w:adjustRightInd w:val="false"/>
        <w:spacing w:lineRule="auto" w:line="240" w:after="0"/>
        <w:rPr>
          <w:rFonts w:cs="Arial" w:eastAsia="Times New Roman" w:hAnsi="Arial" w:ascii="Arial"/>
          <w:sz w:val="24"/>
          <w:szCs w:val="24"/>
          <w:lang w:eastAsia="hr-HR" w:val="en-US"/>
        </w:rPr>
      </w:pPr>
    </w:p>
    <w:p w:rsidRDefault="009E64B9" w:rsidP="00AF7CFC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E60892" w:rsidRPr="00E60892">
        <w:rPr>
          <w:rFonts w:cs="Times New Roman" w:hAnsi="Times New Roman" w:ascii="Times New Roman"/>
          <w:sz w:val="24"/>
          <w:szCs w:val="24"/>
        </w:rPr>
        <w:t>. Ovo rješenje bit će objavljeno na oglasnoj ploči suda.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137954" w:rsidR="00E60892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Obrazloženje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Dana </w:t>
      </w:r>
      <w:r w:rsidR="00E93273">
        <w:rPr>
          <w:rFonts w:cs="Times New Roman" w:hAnsi="Times New Roman" w:ascii="Times New Roman"/>
          <w:sz w:val="24"/>
          <w:szCs w:val="24"/>
        </w:rPr>
        <w:t>23. listopada</w:t>
      </w:r>
      <w:r w:rsidR="00AF7CFC">
        <w:rPr>
          <w:rFonts w:cs="Times New Roman" w:hAnsi="Times New Roman" w:ascii="Times New Roman"/>
          <w:sz w:val="24"/>
          <w:szCs w:val="24"/>
        </w:rPr>
        <w:t xml:space="preserve"> 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 održano je ispitno ročište na kojem je stečajni upravitelj dao izjašnjenje o prispjelim tražbinama, prema njihovim iznosima i isplatnim redovima.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9E64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Stečajni upravitelj je, uz nadzor stečajnog suca, a suglasno odredbi čl. 177. st. 2. Stečajnog zakona sastavio tablicu ispitanih tražbina u koju je za svaku prijavljenu tražbinu unijet podatak o tome u kojoj je mjeri tražbina utvrđena p</w:t>
      </w:r>
      <w:r w:rsidR="00AF7CFC">
        <w:rPr>
          <w:rFonts w:cs="Times New Roman" w:hAnsi="Times New Roman" w:ascii="Times New Roman"/>
          <w:sz w:val="24"/>
          <w:szCs w:val="24"/>
        </w:rPr>
        <w:t xml:space="preserve">rema svom iznosu i redu, te koja je pravna </w:t>
      </w:r>
      <w:r w:rsidRPr="00E60892">
        <w:rPr>
          <w:rFonts w:cs="Times New Roman" w:hAnsi="Times New Roman" w:ascii="Times New Roman"/>
          <w:sz w:val="24"/>
          <w:szCs w:val="24"/>
        </w:rPr>
        <w:t>osnov</w:t>
      </w:r>
      <w:r w:rsidR="00AF7CFC">
        <w:rPr>
          <w:rFonts w:cs="Times New Roman" w:hAnsi="Times New Roman" w:ascii="Times New Roman"/>
          <w:sz w:val="24"/>
          <w:szCs w:val="24"/>
        </w:rPr>
        <w:t>a</w:t>
      </w:r>
      <w:r w:rsidR="009E64B9">
        <w:rPr>
          <w:rFonts w:cs="Times New Roman" w:hAnsi="Times New Roman" w:ascii="Times New Roman"/>
          <w:sz w:val="24"/>
          <w:szCs w:val="24"/>
        </w:rPr>
        <w:t xml:space="preserve"> prijavljene tražbine.</w:t>
      </w:r>
    </w:p>
    <w:p w:rsidRDefault="009E64B9" w:rsidP="00E60892" w:rsidR="009E64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9E64B9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Na ročištu se stečajni upravitelj izjašnjavao pojedinačno o svakoj prijavljenoj tražbini.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Tražbine koje je priznao stečajni upravitelj, a nije ih osporio niti jedan od vjerovnika nazočnih na ročištu, smatraju se prema članku 177. st. 1. Stečajnog zakona utvrđenim, kako je to navedeno u točki 1. izreke rješenja.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CFC" w:rsidP="00E60892" w:rsidR="00AF7CFC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9E64B9">
        <w:rPr>
          <w:rFonts w:cs="Times New Roman" w:hAnsi="Times New Roman" w:ascii="Times New Roman"/>
          <w:sz w:val="24"/>
          <w:szCs w:val="24"/>
        </w:rPr>
        <w:t>23. listopada</w:t>
      </w:r>
      <w:r w:rsidR="00E93273">
        <w:rPr>
          <w:rFonts w:cs="Times New Roman" w:hAnsi="Times New Roman" w:ascii="Times New Roman"/>
          <w:sz w:val="24"/>
          <w:szCs w:val="24"/>
        </w:rPr>
        <w:t xml:space="preserve"> </w:t>
      </w:r>
      <w:r w:rsidR="00AF7CFC">
        <w:rPr>
          <w:rFonts w:cs="Times New Roman" w:hAnsi="Times New Roman" w:ascii="Times New Roman"/>
          <w:sz w:val="24"/>
          <w:szCs w:val="24"/>
        </w:rPr>
        <w:t>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60892" w:rsidP="00AF7CFC" w:rsidR="00E60892" w:rsidRPr="00E608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60892" w:rsidP="00AF7CFC" w:rsidR="00E60892" w:rsidRPr="00E608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lastRenderedPageBreak/>
        <w:t>POUKA O PRAVNOM LIJEKU</w:t>
      </w:r>
    </w:p>
    <w:p w:rsidRDefault="00E60892" w:rsidP="00E93273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Protiv ovog rješenja pravo žalbe imaju stečajni upravitelj i svaki vjerovnik u dijelu koji se tiče njegove prijavljene tražbine, odnosno dijela tražbine koji je osporen (čl. 177. st. 4 i 5. SZ-a), u roku od 8 dana od dana primitka pismenog otpravka.</w:t>
      </w:r>
    </w:p>
    <w:p w:rsidRDefault="00E60892" w:rsidP="00E93273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Žalba se podnosi ovom sudu za Visoki trgovački sud RH u 4 (četiri) primjerka.</w:t>
      </w:r>
    </w:p>
    <w:p w:rsidRDefault="00E60892" w:rsidP="00E93273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DN-a:</w:t>
      </w:r>
    </w:p>
    <w:p w:rsidRDefault="00E60892" w:rsidP="00E60892" w:rsidR="00E60892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- stečajnom upravitelju</w:t>
      </w:r>
      <w:r w:rsidR="00AF7CFC">
        <w:rPr>
          <w:rFonts w:cs="Times New Roman" w:hAnsi="Times New Roman" w:ascii="Times New Roman"/>
          <w:sz w:val="24"/>
          <w:szCs w:val="24"/>
        </w:rPr>
        <w:t xml:space="preserve"> Milanu Macuri</w:t>
      </w:r>
    </w:p>
    <w:p w:rsidRDefault="00E60892" w:rsidP="00E60892" w:rsidR="00E97E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 xml:space="preserve">- posebna stečajna </w:t>
      </w:r>
      <w:r w:rsidR="00AF7CFC">
        <w:rPr>
          <w:rFonts w:cs="Times New Roman" w:hAnsi="Times New Roman" w:ascii="Times New Roman"/>
          <w:sz w:val="24"/>
          <w:szCs w:val="24"/>
        </w:rPr>
        <w:t>e-</w:t>
      </w:r>
      <w:r w:rsidRPr="00E60892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AF7CFC" w:rsidP="00E60892" w:rsidR="00AF7CFC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AF7CFC" w:rsidRPr="00E608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892"/>
    <w:rsid w:val="00137954"/>
    <w:rsid w:val="00204A11"/>
    <w:rsid w:val="00521621"/>
    <w:rsid w:val="00900EB1"/>
    <w:rsid w:val="009E64B9"/>
    <w:rsid w:val="00AF7CFC"/>
    <w:rsid w:val="00E60892"/>
    <w:rsid w:val="00E93273"/>
    <w:rsid w:val="00E97E34"/>
    <w:rsid w:val="00F4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0892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4A1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4A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0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E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E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E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E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0892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04A1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4A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0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E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E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E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E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2014.</izvorni_sadrzaj>
    <derivirana_varijabla naziv="DomainObject.Predmet.DatumOsnivanja_1">23.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spisu ovršni spis OSŠI</izvorni_sadrzaj>
    <derivirana_varijabla naziv="DomainObject.Predmet.PrimjedbaSuca_1">- u spisu ovršni spis OSŠI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Srećko Iljadica</izvorni_sadrzaj>
    <derivirana_varijabla naziv="DomainObject.Predmet.ProtustrankaFormated_1">  Srećko Iljadica</derivirana_varijabla>
  </DomainObject.Predmet.ProtustrankaFormated>
  <DomainObject.Predmet.ProtustrankaFormatedOIB>
    <izvorni_sadrzaj>  Srećko Iljadica, OIB 43430603341</izvorni_sadrzaj>
    <derivirana_varijabla naziv="DomainObject.Predmet.ProtustrankaFormatedOIB_1">  Srećko Iljadica, OIB 43430603341</derivirana_varijabla>
  </DomainObject.Predmet.ProtustrankaFormatedOIB>
  <DomainObject.Predmet.ProtustrankaFormatedWithAdress>
    <izvorni_sadrzaj> Srećko Iljadica, Antuna Mihanovića 13, 22000 Šibenik</izvorni_sadrzaj>
    <derivirana_varijabla naziv="DomainObject.Predmet.ProtustrankaFormatedWithAdress_1"> Srećko Iljadica, Antuna Mihanovića 13, 22000 Šibenik</derivirana_varijabla>
  </DomainObject.Predmet.ProtustrankaFormatedWithAdress>
  <DomainObject.Predmet.ProtustrankaFormatedWithAdressOIB>
    <izvorni_sadrzaj> Srećko Iljadica, OIB 43430603341, Antuna Mihanovića 13, 22000 Šibenik</izvorni_sadrzaj>
    <derivirana_varijabla naziv="DomainObject.Predmet.ProtustrankaFormatedWithAdressOIB_1"> Srećko Iljadica, OIB 43430603341, Antuna Mihanovića 13, 22000 Šibenik</derivirana_varijabla>
  </DomainObject.Predmet.ProtustrankaFormatedWithAdressOIB>
  <DomainObject.Predmet.ProtustrankaWithAdress>
    <izvorni_sadrzaj>Srećko Iljadica Antuna Mihanovića 13, 22000 Šibenik</izvorni_sadrzaj>
    <derivirana_varijabla naziv="DomainObject.Predmet.ProtustrankaWithAdress_1">Srećko Iljadica Antuna Mihanovića 13, 22000 Šibenik</derivirana_varijabla>
  </DomainObject.Predmet.ProtustrankaWithAdress>
  <DomainObject.Predmet.ProtustrankaWithAdressOIB>
    <izvorni_sadrzaj>Srećko Iljadica, OIB 43430603341, Antuna Mihanovića 13, 22000 Šibenik</izvorni_sadrzaj>
    <derivirana_varijabla naziv="DomainObject.Predmet.ProtustrankaWithAdressOIB_1">Srećko Iljadica, OIB 43430603341, Antuna Mihanovića 13, 22000 Šibenik</derivirana_varijabla>
  </DomainObject.Predmet.ProtustrankaWithAdressOIB>
  <DomainObject.Predmet.ProtustrankaNazivFormated>
    <izvorni_sadrzaj>Srećko Iljadica</izvorni_sadrzaj>
    <derivirana_varijabla naziv="DomainObject.Predmet.ProtustrankaNazivFormated_1">Srećko Iljadica</derivirana_varijabla>
  </DomainObject.Predmet.ProtustrankaNazivFormated>
  <DomainObject.Predmet.ProtustrankaNazivFormatedOIB>
    <izvorni_sadrzaj>Srećko Iljadica, OIB 43430603341</izvorni_sadrzaj>
    <derivirana_varijabla naziv="DomainObject.Predmet.ProtustrankaNazivFormatedOIB_1">Srećko Iljadica, OIB 43430603341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Srećko Iljadica</item>
    </izvorni_sadrzaj>
    <derivirana_varijabla naziv="DomainObject.Predmet.ProtuStrankaListFormated_1">
      <item>Srećko Iljadica</item>
    </derivirana_varijabla>
  </DomainObject.Predmet.ProtuStrankaListFormated>
  <DomainObject.Predmet.ProtuStrankaListFormatedOIB>
    <izvorni_sadrzaj>
      <item>Srećko Iljadica, OIB 43430603341</item>
    </izvorni_sadrzaj>
    <derivirana_varijabla naziv="DomainObject.Predmet.ProtuStrankaListFormatedOIB_1">
      <item>Srećko Iljadica, OIB 43430603341</item>
    </derivirana_varijabla>
  </DomainObject.Predmet.ProtuStrankaListFormatedOIB>
  <DomainObject.Predmet.ProtuStrankaListFormatedWithAdress>
    <izvorni_sadrzaj>
      <item>Srećko Iljadica, Antuna Mihanovića 13, 22000 Šibenik</item>
    </izvorni_sadrzaj>
    <derivirana_varijabla naziv="DomainObject.Predmet.ProtuStrankaListFormatedWithAdress_1">
      <item>Srećko Iljadica, Antuna Mihanovića 13, 22000 Šibenik</item>
    </derivirana_varijabla>
  </DomainObject.Predmet.ProtuStrankaListFormatedWithAdress>
  <DomainObject.Predmet.ProtuStrankaListFormatedWithAdressOIB>
    <izvorni_sadrzaj>
      <item>Srećko Iljadica, OIB 43430603341, Antuna Mihanovića 13, 22000 Šibenik</item>
    </izvorni_sadrzaj>
    <derivirana_varijabla naziv="DomainObject.Predmet.ProtuStrankaListFormatedWithAdressOIB_1">
      <item>Srećko Iljadica, OIB 43430603341, Antuna Mihanovića 13, 22000 Šibenik</item>
    </derivirana_varijabla>
  </DomainObject.Predmet.ProtuStrankaListFormatedWithAdressOIB>
  <DomainObject.Predmet.ProtuStrankaListNazivFormated>
    <izvorni_sadrzaj>
      <item>Srećko Iljadica</item>
    </izvorni_sadrzaj>
    <derivirana_varijabla naziv="DomainObject.Predmet.ProtuStrankaListNazivFormated_1">
      <item>Srećko Iljadica</item>
    </derivirana_varijabla>
  </DomainObject.Predmet.ProtuStrankaListNazivFormated>
  <DomainObject.Predmet.ProtuStrankaListNazivFormatedOIB>
    <izvorni_sadrzaj>
      <item>Srećko Iljadica, OIB 43430603341</item>
    </izvorni_sadrzaj>
    <derivirana_varijabla naziv="DomainObject.Predmet.ProtuStrankaListNazivFormatedOIB_1">
      <item>Srećko Iljadica, OIB 43430603341</item>
    </derivirana_varijabla>
  </DomainObject.Predmet.ProtuStrankaListNazivFormatedOIB>
  <DomainObject.Predmet.OstaliListFormated>
    <izvorni_sadrzaj>
      <item>Milan Macura</item>
    </izvorni_sadrzaj>
    <derivirana_varijabla naziv="DomainObject.Predmet.OstaliListFormated_1">
      <item>Milan Macura</item>
    </derivirana_varijabla>
  </DomainObject.Predmet.OstaliListFormated>
  <DomainObject.Predmet.OstaliListFormatedOIB>
    <izvorni_sadrzaj>
      <item>Milan Macura, OIB 25991506239</item>
    </izvorni_sadrzaj>
    <derivirana_varijabla naziv="DomainObject.Predmet.OstaliListFormatedOIB_1">
      <item>Milan Macura, OIB 25991506239</item>
    </derivirana_varijabla>
  </DomainObject.Predmet.OstaliListFormatedOIB>
  <DomainObject.Predmet.OstaliListFormatedWithAdress>
    <izvorni_sadrzaj>
      <item>Milan Macura, Nikole Tesle 159, 22000 Šibenik</item>
    </izvorni_sadrzaj>
    <derivirana_varijabla naziv="DomainObject.Predmet.OstaliListFormatedWithAdress_1">
      <item>Milan Macura, Nikole Tesle 159, 22000 Šibenik</item>
    </derivirana_varijabla>
  </DomainObject.Predmet.OstaliListFormatedWithAdress>
  <DomainObject.Predmet.OstaliListFormatedWithAdressOIB>
    <izvorni_sadrzaj>
      <item>Milan Macura, OIB 25991506239, Nikole Tesle 159, 22000 Šibenik</item>
    </izvorni_sadrzaj>
    <derivirana_varijabla naziv="DomainObject.Predmet.OstaliListFormatedWithAdressOIB_1">
      <item>Milan Macura, OIB 25991506239, Nikole Tesle 159, 22000 Šibenik</item>
    </derivirana_varijabla>
  </DomainObject.Predmet.OstaliListFormatedWithAdressOIB>
  <DomainObject.Predmet.OstaliListNazivFormated>
    <izvorni_sadrzaj>
      <item>Milan Macura</item>
    </izvorni_sadrzaj>
    <derivirana_varijabla naziv="DomainObject.Predmet.OstaliListNazivFormated_1">
      <item>Milan Macura</item>
    </derivirana_varijabla>
  </DomainObject.Predmet.OstaliListNazivFormated>
  <DomainObject.Predmet.OstaliListNazivFormatedOIB>
    <izvorni_sadrzaj>
      <item>Milan Macura, OIB 25991506239</item>
    </izvorni_sadrzaj>
    <derivirana_varijabla naziv="DomainObject.Predmet.OstaliListNazivFormatedOIB_1"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Srećko Iljadica</izvorni_sadrzaj>
    <derivirana_varijabla naziv="DomainObject.Predmet.ProtustrankaIDrugi_1">Srećko Iljadica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Srećko Iljadica, OIB 43430603341, Antuna Mihanovića 13, 22000 Šibenik</izvorni_sadrzaj>
    <derivirana_varijabla naziv="DomainObject.Predmet.ProtustrankaIDrugiAdressOIB_1">Srećko Iljadica, OIB 43430603341, Antuna Mihanovića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Srećko Iljadica</item>
      <item>Milan Macura</item>
    </izvorni_sadrzaj>
    <derivirana_varijabla naziv="DomainObject.Predmet.SudioniciListNaziv_1">
      <item>FINA - Regionalni centar Split</item>
      <item>Srećko Iljadica</item>
      <item>Milan Macura</item>
    </derivirana_varijabla>
  </DomainObject.Predmet.SudioniciListNaziv>
  <DomainObject.Predmet.SudioniciListAdressOIB>
    <izvorni_sadrzaj>
      <item>FINA - Regionalni centar Split, OIB 85821130368, Mažuranićevo šetalište 24 b,21000 Split</item>
      <item>Srećko Iljadica, OIB 43430603341, Antuna Mihanovića 13,22000 Šibenik</item>
      <item>Milan Macura, OIB 25991506239, Nikole Tesle 159,22000 Šibenik</item>
    </izvorni_sadrzaj>
    <derivirana_varijabla naziv="DomainObject.Predmet.SudioniciListAdressOIB_1">
      <item>FINA - Regionalni centar Split, OIB 85821130368, Mažuranićevo šetalište 24 b,21000 Split</item>
      <item>Srećko Iljadica, OIB 43430603341, Antuna Mihanovića 13,22000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43430603341</item>
      <item>, OIB 25991506239</item>
    </izvorni_sadrzaj>
    <derivirana_varijabla naziv="DomainObject.Predmet.SudioniciListNazivOIB_1">
      <item>, OIB 85821130368</item>
      <item>, OIB 43430603341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</item>
    </izvorni_sadrzaj>
    <derivirana_varijabla naziv="DomainObject.Predmet.StecajniUpraviteljiListAddressOIB_1">
      <item>MILAN MACURA, OIB 25991506239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3036</properties:Characters>
  <properties:Lines>159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2015-11-10T09:19:00Z</dcterms:created>
  <dc:creator>Joško Livaković</dc:creator>
  <cp:lastModifiedBy>Saša Roščić</cp:lastModifiedBy>
  <cp:lastPrinted>2015-11-10T09:24:00Z</cp:lastPrinted>
  <dcterms:modified xmlns:xsi="http://www.w3.org/2001/XMLSchema-instance" xsi:type="dcterms:W3CDTF">2015-11-10T13:19:00Z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