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1683" w14:paraId="0671683" w:rsidRDefault="00B401D0" w:rsidP="001A640A" w:rsidR="00A907C4" w:rsidRPr="001A640A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F3512D">
        <w:rPr>
          <w:rFonts w:cs="Times New Roman" w:hAnsi="Times New Roman" w:ascii="Times New Roman"/>
          <w:i w:val="false"/>
          <w:sz w:val="24"/>
          <w:szCs w:val="24"/>
        </w:rPr>
        <w:t>518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F3512D">
        <w:rPr>
          <w:rFonts w:cs="Times New Roman" w:hAnsi="Times New Roman" w:ascii="Times New Roman"/>
          <w:i w:val="false"/>
          <w:sz w:val="24"/>
          <w:szCs w:val="24"/>
        </w:rPr>
        <w:t>7</w:t>
      </w:r>
    </w:p>
    <w:p w:rsidRDefault="0084617D" w:rsidP="002275E2" w:rsidR="002275E2" w:rsidRPr="00AA650B">
      <w:pPr>
        <w:rPr>
          <w:b/>
        </w:rPr>
      </w:pPr>
      <w:r>
        <w:rPr>
          <w:b/>
        </w:rPr>
        <w:t xml:space="preserve"> 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907C4" w:rsidP="00A907C4" w:rsidR="00A907C4" w:rsidRPr="00A907C4"/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F3512D" w:rsidRPr="00F3512D">
        <w:t>Stečajna masa iza  MOHORKO d.o.o. u stečaju, OIB: 34426559036, zastupana po stečajnom upravitelju Ante Gabelica</w:t>
      </w:r>
      <w:r w:rsidR="00452088">
        <w:t xml:space="preserve">, dana </w:t>
      </w:r>
      <w:r w:rsidR="00F3512D">
        <w:t>30</w:t>
      </w:r>
      <w:r w:rsidR="00FF68CD" w:rsidRPr="00FF68CD">
        <w:t xml:space="preserve">. </w:t>
      </w:r>
      <w:r w:rsidR="00F3512D">
        <w:t>travnja</w:t>
      </w:r>
      <w:r w:rsidR="00FF68CD">
        <w:t xml:space="preserve"> 201</w:t>
      </w:r>
      <w:r w:rsidR="00B34094">
        <w:t>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27699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F3512D">
        <w:t>Ante Gabelica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33555C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F3512D" w:rsidP="00F076DC" w:rsidR="00F3512D">
      <w:pPr>
        <w:ind w:firstLine="708"/>
        <w:jc w:val="both"/>
      </w:pPr>
    </w:p>
    <w:p w:rsidRDefault="00F3512D" w:rsidP="00F076DC" w:rsidR="00F3512D">
      <w:pPr>
        <w:ind w:firstLine="708"/>
        <w:jc w:val="both"/>
      </w:pPr>
      <w:r>
        <w:t>Obzirom da je sud ukinuo zadnju odluku skupštine vjerovnika, a da postoje ranije odluke skupštine sa izvještajnog ročišta, stečajni upravitelj se upućuje izvijestiti sud o postupanju.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F3512D">
        <w:rPr>
          <w:b/>
        </w:rPr>
        <w:t>30</w:t>
      </w:r>
      <w:r w:rsidR="00B27699">
        <w:rPr>
          <w:b/>
        </w:rPr>
        <w:t xml:space="preserve">. </w:t>
      </w:r>
      <w:r w:rsidR="00F3512D">
        <w:rPr>
          <w:b/>
        </w:rPr>
        <w:t>travnja</w:t>
      </w:r>
      <w:r w:rsidR="001A640A">
        <w:rPr>
          <w:b/>
        </w:rPr>
        <w:t xml:space="preserve">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  <w:r w:rsidR="001A640A">
        <w:t xml:space="preserve"> putem e oglasna ploča suda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4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6DBF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D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D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D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D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D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D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D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D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06D0B-753A-4A81-B2F4-B767FC54B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260</properties:Words>
  <properties:Characters>1350</properties:Characters>
  <properties:Lines>43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2018-04-30T09:31:00Z</dcterms:created>
  <dc:creator>none</dc:creator>
  <cp:lastModifiedBy>Katarina Franković</cp:lastModifiedBy>
  <cp:lastPrinted>2016-12-01T13:05:00Z</cp:lastPrinted>
  <dcterms:modified xmlns:xsi="http://www.w3.org/2001/XMLSchema-instance" xsi:type="dcterms:W3CDTF">2018-04-30T09:32:00Z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518- 17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