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5e6ee" w14:paraId="225e6ee" w:rsidRDefault="009F7ED3" w:rsidP="009F7ED3" w:rsidR="009F7ED3">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9F7ED3" w:rsidP="009F7ED3" w:rsidR="009F7ED3">
      <w:pPr>
        <w:pStyle w:val="SudNaziv"/>
        <w:rPr>
          <w:rStyle w:val="PozadinaSvijetloZelena"/>
          <w:b w:val="false"/>
        </w:rPr>
      </w:pPr>
    </w:p>
    <w:p w:rsidRDefault="009F7ED3" w:rsidP="009F7ED3" w:rsidR="009F7ED3">
      <w:pPr>
        <w:pStyle w:val="SudNaziv"/>
        <w:rPr>
          <w:rStyle w:val="PozadinaSvijetloZelena"/>
          <w:b w:val="false"/>
        </w:rPr>
      </w:pPr>
    </w:p>
    <w:p w:rsidRDefault="009F7ED3" w:rsidP="009F7ED3" w:rsidR="009F7ED3">
      <w:pPr>
        <w:pStyle w:val="SudNaziv"/>
        <w:rPr>
          <w:rStyle w:val="PozadinaSvijetloZelena"/>
          <w:b w:val="false"/>
        </w:rPr>
      </w:pPr>
    </w:p>
    <w:p w:rsidRDefault="004C2ACC" w:rsidP="009F7ED3" w:rsidR="009F7ED3">
      <w:pPr>
        <w:pStyle w:val="SudNaziv"/>
        <w:ind w:firstLine="720"/>
        <w:rPr>
          <w:rStyle w:val="PozadinaSvijetloZelena"/>
        </w:rPr>
      </w:pPr>
      <w:sdt>
        <w:sdtPr>
          <w:rPr>
            <w:rStyle w:val="eSPISCCParagraphDefaultFont"/>
          </w:rPr>
          <w:alias w:val="Republika Hrvatska"/>
          <w:tag w:val="Republika Hrvatska"/>
          <w:id w:val="-40675261"/>
          <w:placeholder>
            <w:docPart w:val="F5AAFACB00C7435092FAD2EBBDD4DC2C"/>
          </w:placeholder>
          <w:text/>
        </w:sdtPr>
        <w:sdtEndPr>
          <w:rPr>
            <w:rStyle w:val="eSPISCCParagraphDefaultFont"/>
          </w:rPr>
        </w:sdtEndPr>
        <w:sdtContent>
          <w:r w:rsidR="009F7ED3" w:rsidRPr="004C2ACC">
            <w:rPr>
              <w:rStyle w:val="eSPISCCParagraphDefaultFont"/>
            </w:rPr>
            <w:t>REPUBLIKA HRVATSKA</w:t>
          </w:r>
        </w:sdtContent>
      </w:sdt>
    </w:p>
    <w:p w:rsidRDefault="004C2ACC" w:rsidP="009F7ED3" w:rsidR="009F7ED3">
      <w:pPr>
        <w:pStyle w:val="SudNaziv"/>
        <w:rPr>
          <w:b w:val="false"/>
        </w:rPr>
      </w:pPr>
      <w:sdt>
        <w:sdtPr>
          <w:rPr>
            <w:rStyle w:val="eSPISCCParagraphDefaultFont"/>
          </w:rPr>
          <w:alias w:val="Naziv suda (po potrebi naziv Stalne službe)"/>
          <w:tag w:val="DomainObject.Predmet.Sud.Naziv_1"/>
          <w:id w:val="-1602014739"/>
          <w:placeholder>
            <w:docPart w:val="FA227E970CF842D48DCD091ACF1277F5"/>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4C2ACC">
            <w:rPr>
              <w:rStyle w:val="eSPISCCParagraphDefaultFont"/>
            </w:rPr>
            <w:t>Visoki trgovački sud Republike Hrvatske</w:t>
          </w:r>
          <w:r w:rsidRPr="004C2ACC">
            <w:rPr>
              <w:rStyle w:val="eSPISCCParagraphDefaultFont"/>
            </w:rPr>
            <w:br/>
            <w:t>Berislavićeva 11, Zagreb</w:t>
          </w:r>
        </w:sdtContent>
      </w:sdt>
    </w:p>
    <w:p w:rsidRDefault="004C2ACC" w:rsidP="009F7ED3" w:rsidR="009F7ED3">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9BF099E544CB446C88A689BED1629742"/>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4C2ACC">
            <w:rPr>
              <w:rStyle w:val="Tekstrezerviranogmjesta"/>
            </w:rPr>
            <w:t>.._.._.._.._.._.._.._..</w:t>
          </w:r>
        </w:sdtContent>
      </w:sdt>
      <w:r w:rsidR="009F7ED3">
        <w:rPr>
          <w:rStyle w:val="PozadinaSvijetloZelena"/>
          <w:shd w:themeFill="background1" w:fill="FFFFFF" w:color="auto" w:val="clear"/>
        </w:rPr>
        <w:t>,</w:t>
      </w:r>
      <w:r w:rsidR="009F7ED3">
        <w:t xml:space="preserve"> </w:t>
      </w:r>
      <w:sdt>
        <w:sdtPr>
          <w:rPr>
            <w:rStyle w:val="eSPISCCParagraphDefaultFont"/>
          </w:rPr>
          <w:alias w:val="Adresa suda (naselje) po potrebi za Stalnu službu"/>
          <w:tag w:val="DomainObject.Predmet.Sud.Adresa.Naselje_1"/>
          <w:id w:val="949661400"/>
          <w:placeholder>
            <w:docPart w:val="97ABF7D5DE064409BB980BFB6A882BE3"/>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4C2ACC">
            <w:rPr>
              <w:rStyle w:val="Tekstrezerviranogmjesta"/>
            </w:rPr>
            <w:t>.._.._.._.._.._.._.._..</w:t>
          </w:r>
        </w:sdtContent>
      </w:sdt>
    </w:p>
    <w:p w:rsidRDefault="009F7ED3" w:rsidP="009F7ED3" w:rsidR="009F7ED3">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57CCC5CD89674433B73BA5DE25D024DA"/>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C2ACC" w:rsidRPr="004C2ACC">
            <w:rPr>
              <w:rStyle w:val="eSPISCCParagraphDefaultFont"/>
            </w:rPr>
            <w:t>61. Pž-1210/2019-3</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72E287079FF24B98A3382ACFF89C0C83"/>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4C2ACC" w:rsidRPr="004C2ACC">
            <w:rPr>
              <w:rStyle w:val="Tekstrezerviranogmjesta"/>
            </w:rPr>
            <w:t>.._.._.._.._.._.._.._..</w:t>
          </w:r>
        </w:sdtContent>
      </w:sdt>
    </w:p>
    <w:p w:rsidRDefault="009F7ED3" w:rsidP="009F7ED3" w:rsidR="009F7ED3">
      <w:pPr>
        <w:spacing w:after="0"/>
        <w:jc w:val="both"/>
      </w:pPr>
    </w:p>
    <w:p w:rsidRDefault="009F7ED3" w:rsidP="009F7ED3" w:rsidR="009F7ED3">
      <w:pPr>
        <w:spacing w:after="0"/>
        <w:jc w:val="both"/>
      </w:pPr>
    </w:p>
    <w:p w:rsidRDefault="009F7ED3" w:rsidP="009F7ED3" w:rsidR="009F7ED3">
      <w:pPr>
        <w:spacing w:after="0"/>
        <w:jc w:val="both"/>
      </w:pPr>
    </w:p>
    <w:p w:rsidRDefault="009F7ED3" w:rsidP="009F7ED3" w:rsidR="009F7ED3">
      <w:pPr>
        <w:spacing w:after="0"/>
        <w:jc w:val="center"/>
        <w:rPr>
          <w:rFonts w:cs="Times New Roman" w:eastAsia="Times New Roman"/>
          <w:lang w:eastAsia="hr-HR"/>
        </w:rPr>
      </w:pPr>
      <w:r>
        <w:rPr>
          <w:rFonts w:cs="Times New Roman" w:eastAsia="Times New Roman"/>
          <w:lang w:eastAsia="hr-HR"/>
        </w:rPr>
        <w:t>R E P U B L I K A   H R V A T S K A</w:t>
      </w:r>
    </w:p>
    <w:p w:rsidRDefault="009F7ED3" w:rsidP="009F7ED3" w:rsidR="009F7ED3">
      <w:pPr>
        <w:spacing w:after="0"/>
        <w:jc w:val="center"/>
        <w:rPr>
          <w:rFonts w:cs="Times New Roman" w:eastAsia="Times New Roman"/>
          <w:lang w:eastAsia="hr-HR"/>
        </w:rPr>
      </w:pPr>
    </w:p>
    <w:p w:rsidRDefault="009F7ED3" w:rsidP="009F7ED3" w:rsidR="009F7ED3">
      <w:pPr>
        <w:spacing w:after="0"/>
        <w:jc w:val="center"/>
        <w:rPr>
          <w:rFonts w:cs="Times New Roman" w:eastAsia="Times New Roman"/>
          <w:lang w:eastAsia="hr-HR"/>
        </w:rPr>
      </w:pPr>
      <w:r>
        <w:rPr>
          <w:rFonts w:cs="Times New Roman" w:eastAsia="Times New Roman"/>
          <w:lang w:eastAsia="hr-HR"/>
        </w:rPr>
        <w:t>R J E Š E NJ E</w:t>
      </w:r>
    </w:p>
    <w:p w:rsidRDefault="009F7ED3" w:rsidP="009F7ED3" w:rsidR="009F7ED3">
      <w:pPr>
        <w:spacing w:after="0"/>
        <w:jc w:val="center"/>
        <w:rPr>
          <w:rFonts w:cs="Times New Roman" w:eastAsia="Times New Roman"/>
          <w:lang w:eastAsia="hr-HR"/>
        </w:rPr>
      </w:pPr>
    </w:p>
    <w:p w:rsidRDefault="009F7ED3" w:rsidP="009F7ED3" w:rsidR="009F7ED3">
      <w:pPr>
        <w:tabs>
          <w:tab w:pos="993" w:val="left"/>
        </w:tabs>
        <w:spacing w:after="0"/>
        <w:jc w:val="both"/>
        <w:rPr>
          <w:rFonts w:cs="Times New Roman" w:eastAsia="Times New Roman"/>
          <w:lang w:eastAsia="hr-HR"/>
        </w:rPr>
      </w:pPr>
    </w:p>
    <w:p w:rsidRDefault="009F7ED3" w:rsidP="009F7ED3" w:rsidR="009F7ED3">
      <w:pPr>
        <w:tabs>
          <w:tab w:pos="0" w:val="left"/>
        </w:tabs>
        <w:spacing w:after="0"/>
        <w:jc w:val="both"/>
        <w:rPr>
          <w:rFonts w:cs="Times New Roman" w:eastAsia="Times New Roman"/>
          <w:lang w:eastAsia="hr-HR"/>
        </w:rPr>
      </w:pPr>
      <w:r>
        <w:rPr>
          <w:rFonts w:cs="Times New Roman" w:eastAsia="Times New Roman"/>
          <w:lang w:eastAsia="hr-HR"/>
        </w:rPr>
        <w:tab/>
        <w:t>Visoki trgovački sud Republike Hrvatske, u vijeću sastavljenom od sudaca Jagode Crnokrak, predsjednika vijeća, Ivane Mlinarić, suca izvjestitelja i dr. sc. Jelene Čuveljak, člana vijeća, u stečajnom postupku nad dužnikom MARVIN d.o.o. u stečaju, OIB 49589934994, Dugo Selo, Josipa Zorića 208, odlučujući o žalbi osobe ovlaštene za zastupanje dužnika po zakonu do dana nastupanja pravnih posljedica otvaranja stečajnoga postupka MARVINA DOMGJONAJA, OIB 34851594994, Dugo Selo, Ante Starčevića 10, protiv rješenja Trgovačkog suda u Zagrebu poslovni broj St-2557/2018-12 od 17. siječnja 2019. ispravljeno rješenjem poslovni broj St-2557/2018-16 od 31. siječnja 2019., u sjednici vijeća održanoj 27. veljače 2019.</w:t>
      </w:r>
    </w:p>
    <w:p w:rsidRDefault="009F7ED3" w:rsidP="009F7ED3" w:rsidR="009F7ED3">
      <w:pPr>
        <w:spacing w:after="0"/>
        <w:jc w:val="center"/>
        <w:rPr>
          <w:rFonts w:cs="Times New Roman" w:eastAsia="Times New Roman"/>
          <w:lang w:eastAsia="hr-HR"/>
        </w:rPr>
      </w:pPr>
    </w:p>
    <w:p w:rsidRDefault="009F7ED3" w:rsidP="009F7ED3" w:rsidR="009F7ED3">
      <w:pPr>
        <w:spacing w:after="0"/>
        <w:jc w:val="center"/>
        <w:rPr>
          <w:rFonts w:cs="Times New Roman" w:eastAsia="Times New Roman"/>
          <w:lang w:eastAsia="hr-HR"/>
        </w:rPr>
      </w:pPr>
    </w:p>
    <w:p w:rsidRDefault="009F7ED3" w:rsidP="009F7ED3" w:rsidR="009F7ED3">
      <w:pPr>
        <w:spacing w:after="0"/>
        <w:jc w:val="center"/>
        <w:rPr>
          <w:rFonts w:cs="Times New Roman" w:eastAsia="Times New Roman"/>
          <w:lang w:eastAsia="hr-HR"/>
        </w:rPr>
      </w:pPr>
      <w:r>
        <w:rPr>
          <w:rFonts w:cs="Times New Roman" w:eastAsia="Times New Roman"/>
          <w:lang w:eastAsia="hr-HR"/>
        </w:rPr>
        <w:t>r i j e š i o   j e</w:t>
      </w:r>
    </w:p>
    <w:p w:rsidRDefault="009F7ED3" w:rsidP="009F7ED3" w:rsidR="009F7ED3">
      <w:pPr>
        <w:spacing w:after="0"/>
        <w:ind w:firstLine="720"/>
        <w:jc w:val="both"/>
        <w:rPr>
          <w:rFonts w:cs="Times New Roman" w:eastAsia="Times New Roman"/>
          <w:lang w:eastAsia="hr-HR"/>
        </w:rPr>
      </w:pPr>
    </w:p>
    <w:p w:rsidRDefault="009F7ED3" w:rsidP="009F7ED3" w:rsidR="009F7ED3">
      <w:pPr>
        <w:spacing w:after="0"/>
        <w:ind w:firstLine="720"/>
        <w:jc w:val="both"/>
        <w:rPr>
          <w:rFonts w:cs="Times New Roman" w:eastAsia="Times New Roman"/>
          <w:lang w:eastAsia="hr-HR"/>
        </w:rPr>
      </w:pPr>
    </w:p>
    <w:p w:rsidRDefault="009F7ED3" w:rsidP="009F7ED3" w:rsidR="009F7ED3">
      <w:pPr>
        <w:spacing w:after="0"/>
        <w:ind w:firstLine="720"/>
        <w:jc w:val="both"/>
        <w:rPr>
          <w:rFonts w:cs="Times New Roman" w:eastAsia="Times New Roman"/>
          <w:lang w:eastAsia="hr-HR"/>
        </w:rPr>
      </w:pPr>
      <w:r>
        <w:rPr>
          <w:rFonts w:cs="Times New Roman" w:eastAsia="Times New Roman"/>
          <w:lang w:eastAsia="hr-HR"/>
        </w:rPr>
        <w:t>Uvažava se žalba osobe ovlaštene za zastupanje dužnika po zakonu do dana nastupanja pravnih posljedica otvaranja stečajnoga postupka Marvina Domgjonaja, Dugo Selo, ukida rješenje Trgovačkog suda u Zagrebu poslovni broj St-2557/2018-12 od 17. siječnja 2019. ispravljeno rješenjem poslovni broj St-2557/2018-16 od 31. siječnja 2019. i predmet vraća tom sudu na ponovan postupak.</w:t>
      </w:r>
    </w:p>
    <w:p w:rsidRDefault="009F7ED3" w:rsidP="009F7ED3" w:rsidR="009F7ED3">
      <w:pPr>
        <w:spacing w:after="0"/>
        <w:jc w:val="center"/>
        <w:rPr>
          <w:rFonts w:cs="Times New Roman" w:eastAsia="Times New Roman"/>
          <w:lang w:eastAsia="hr-HR"/>
        </w:rPr>
      </w:pPr>
    </w:p>
    <w:p w:rsidRDefault="009F7ED3" w:rsidP="009F7ED3" w:rsidR="009F7ED3">
      <w:pPr>
        <w:spacing w:after="0"/>
        <w:jc w:val="center"/>
        <w:rPr>
          <w:rFonts w:cs="Times New Roman" w:eastAsia="Times New Roman"/>
          <w:lang w:eastAsia="hr-HR"/>
        </w:rPr>
      </w:pPr>
    </w:p>
    <w:p w:rsidRDefault="009F7ED3" w:rsidP="009F7ED3" w:rsidR="009F7ED3">
      <w:pPr>
        <w:spacing w:after="0"/>
        <w:jc w:val="center"/>
        <w:rPr>
          <w:rFonts w:cs="Times New Roman" w:eastAsia="Times New Roman"/>
          <w:lang w:eastAsia="hr-HR"/>
        </w:rPr>
      </w:pPr>
      <w:r>
        <w:rPr>
          <w:rFonts w:cs="Times New Roman" w:eastAsia="Times New Roman"/>
          <w:lang w:eastAsia="hr-HR"/>
        </w:rPr>
        <w:t xml:space="preserve">Obrazloženje </w:t>
      </w:r>
    </w:p>
    <w:p w:rsidRDefault="009F7ED3" w:rsidP="009F7ED3" w:rsidR="009F7ED3">
      <w:pPr>
        <w:spacing w:after="0"/>
        <w:jc w:val="center"/>
        <w:rPr>
          <w:rFonts w:cs="Times New Roman" w:eastAsia="Times New Roman"/>
          <w:lang w:eastAsia="hr-HR"/>
        </w:rPr>
      </w:pPr>
    </w:p>
    <w:p w:rsidRDefault="009F7ED3" w:rsidP="009F7ED3" w:rsidR="009F7ED3">
      <w:pPr>
        <w:spacing w:after="0"/>
        <w:jc w:val="center"/>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 xml:space="preserve">Trgovački sud u Zagrebu je rješenjem poslovni broj St-2557/2018-12 od 17. siječnja 2019. otvorio stečajni postupak nad dužnikom Marvin d.o.o., OIB 49589934994, Dugo Selo, Josipa Zorića 208. (točka I. izreke); za stečajnog upravitelja imenovao je Martinu Pancer, Zagreb, Trnjanska 59a, OIB 09308771365 (točka II. izreke); utvrdio da je stečajni postupak otvoren 17. siječnja 2019., te da je rješenje o otvaranju stečajnog postupka nad dužnikom istaknuto na mrežnoj stranici e-Oglasna ploča Trgovačkog suda u Zagrebu 17. siječnja 2019. u 14:00 sati (točka III. izreke); pozvao vjerovnike viših isplatnih redova u roku od 60 dana od dana objave tog rješenja na mrežnoj stranici e-Oglasna ploča Trgovačkog suda u Zagrebu prijaviti svoje tražbine stečajnom upravitelju (točka IV. izreke); pozvao razlučne i izlučne </w:t>
      </w:r>
      <w:r>
        <w:rPr>
          <w:rFonts w:cs="Times New Roman" w:eastAsia="Times New Roman"/>
          <w:lang w:eastAsia="hr-HR"/>
        </w:rPr>
        <w:lastRenderedPageBreak/>
        <w:t>vjerovnike u roku od 60 dana od dana objave tog rješenja na mrežnoj stranici e-Oglasna ploča Trgovačkog suda u Zagrebu podneskom obavijestiti stečajnog upravitelja o postojanju svog razlučnog ili izlučnog prava (točka V. izreke); pozvao dužnikove dužnike da svoje obveze bez odgode ispunjavaju stečajnom upravitelju za stečajnog dužnika (točka VI. izreke); odredio ročište vjerovnika na kojem će se ispitati prijavljene tražbine (ispitno ročište) za 16. svibnja 2019. u 9:00 sati (točka VII. izreke); odredio ročište vjerovnika na kojem će se na temelju izvješća stečajnog upravitelja odlučivati o daljnjem tijeku stečajnog postupka (izvještajno ročište) određuje se 16. svibnja 2019. u 9:15 sati (točka VIII. izreke); utvrdio da će se rješenje o otvaranju stečajnog postupka upisati u sudskom registru toga suda i objaviti na mrežnoj stranici e-Oglasna ploča Trgovačkog suda u Zagrebu (točka IX. izreke) i odredio upis toga rješenja u zemljišnim knjigama u odnosu na nekretninu u vlasništvu stečajnog dužnika pobliže označenu u točki X. izreke rješenja.</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U obrazloženju navedenog rješenja se u bitnom navodi kako je uvidom u potvrdu Financijske agencije (dalje: FINA) od 18. listopada 2018. (list 14. spisa) utvrđeno kako je dužnikov račun blokiran neprekidno 120 dana. Zbog toga je prvostupanjski sud utvrdio kako dužnik ne može trajnije ispunjavati svoje dospjele obveze u smislu odredbe članka 6. stavka 1. Stečajnog zakona („Narodne novine“ broj 71/15 i 104/17; dalje: SZ). S obzirom na to da dužnik nije osporio činjenicu da mu je račun blokiran duže od 60 dana i da ne može trajnije ispunjavati svoje dospjele obveze, sud je na temelju odredbe članka 5. stavka 1. SZ-a utvrdio postojanje stečajnog razloga nesposobnosti za plaćanje.</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Protiv navedenog rješenja osoba ovlaštena za zastupanje dužnika po zakonu do dana nastupanja pravnih posljedica otvaranja stečajnoga postupka Marvin Domgjonaj, je izjavio žalbu bez navođenja zakonskih razloga. U žalbi navodi kako dostavlja sudu potvrdu FINA-e u svrhu uvjeravanja suda kako dužnikov račun nije blokiran.</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Žalba je osnovana.</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jc w:val="both"/>
        <w:rPr>
          <w:rFonts w:cs="Times New Roman" w:eastAsia="Times New Roman"/>
          <w:lang w:eastAsia="hr-HR"/>
        </w:rPr>
      </w:pPr>
      <w:r>
        <w:rPr>
          <w:rFonts w:cs="Times New Roman" w:eastAsia="Times New Roman"/>
          <w:lang w:eastAsia="hr-HR"/>
        </w:rPr>
        <w:tab/>
        <w:t xml:space="preserve">Ispitavši pobijano rješenje na temelju odredaba članka 365. Zakona o parničnom postupku („Narodne novine“ broj: 53/91, 91/92, 58/93, 112/99, 88/01, 117/03, 88/05, 2/07, 84/08, 96/08, 123/08, 57/11, 25/13, 28/13 i 89/14; dalje: ZPP) u vezi s odredbama članka 381. ZPP-a i članka 10. SZ-a, u granicama žalbenih razloga te pazeći po službenoj dužnosti na bitne povrede odredaba postupka iz članka 354. stavka 2. točaka 2., 4., 8., 9., 11., 13. i 14. ZPP-a i pravilnu primjenu materijalnog prava, ovaj sud je utvrdio da nije pravilno niti zakonito. </w:t>
      </w:r>
    </w:p>
    <w:p w:rsidRDefault="009F7ED3" w:rsidP="009F7ED3" w:rsidR="009F7ED3">
      <w:pPr>
        <w:spacing w:after="0"/>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Iz spisa u bitnom proizlazi sljedeće:</w:t>
      </w: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 da je 9. listopada 2018. FINA podnijela prijedlog za otvaranje stečajnog postupka nad dužnikom na temelju odredbe članka 110. stavka 1. SZ-a jer je 4. listopada 2018. dužnik u Očevidniku redoslijeda osnova za plaćanje imao evidentirane neizvršene osnove za plaćanje u neprekinutom razdoblju od 120 dana u ukupnom iznosu od 33.624,33 kn;</w:t>
      </w: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 da je rješenjem od 15. listopada 2018. prvostupanjski sud pokrenuo prethodni postupak radi utvrđivanja pretpostavki za otvaranje stečajnog postupka nad dužnikom;</w:t>
      </w: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 da je 12. prosinca 2018. održano ročište radi očitovanja o prijedlogu za otvaranje stečajnoga postupka nad dužnikom, a 17. siječnja 2019. ročište radi rasprave o pretpostavkama za otvaranje stečajnoga postupka nad dužnikom.</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 xml:space="preserve">Odredbom članka 5. stavka 1. SZ-a propisano je da se stečajni postupak može otvoriti ako sud utvrdi postojanje stečajnoga razloga. Stečajni razlozi su nesposobnost za plaćanje i </w:t>
      </w:r>
      <w:r>
        <w:rPr>
          <w:rFonts w:cs="Times New Roman" w:eastAsia="Times New Roman"/>
          <w:lang w:eastAsia="hr-HR"/>
        </w:rPr>
        <w:lastRenderedPageBreak/>
        <w:t>prezaduženost (članak 5. stavak 2. SZ-a).</w:t>
      </w:r>
      <w:r>
        <w:rPr>
          <w:rFonts w:cs="Times New Roman" w:eastAsia="Times New Roman" w:hAnsi="Arial" w:ascii="Arial"/>
          <w:szCs w:val="20"/>
          <w:lang w:eastAsia="hr-HR"/>
        </w:rPr>
        <w:t xml:space="preserve"> </w:t>
      </w:r>
      <w:r>
        <w:rPr>
          <w:rFonts w:cs="Times New Roman" w:eastAsia="Times New Roman"/>
          <w:lang w:eastAsia="hr-HR"/>
        </w:rPr>
        <w:t>Nesposobnost za plaćanje postoji ako dužnik ne može trajnije ispunjavati svoje dospjele novčane obveze. Okolnost da je dužnik namirio ili da može namiriti u cijelosti ili djelomično tražbine nekih vjerovnika ne znači da je sposoban za plaćanje (članak 6. stavak 1. SZ-a). Smatrat će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(članak 6. stavak 2. paragraf 1. SZ-a). Odredba članka 6. stavka 2. SZ-a neće se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FINA-e (članak 6. stavak 3. SZ-a).</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U konkretnom slučaju prvostupanjski sud je utvrdio kako postoji stečajni razlog nesposobnosti za plaćanje jer je na temelju</w:t>
      </w:r>
      <w:r>
        <w:rPr>
          <w:rFonts w:cs="Times New Roman" w:eastAsia="Times New Roman" w:hAnsi="Arial" w:ascii="Arial"/>
          <w:szCs w:val="20"/>
          <w:lang w:eastAsia="hr-HR"/>
        </w:rPr>
        <w:t xml:space="preserve"> </w:t>
      </w:r>
      <w:r>
        <w:rPr>
          <w:rFonts w:cs="Times New Roman" w:eastAsia="Times New Roman"/>
          <w:lang w:eastAsia="hr-HR"/>
        </w:rPr>
        <w:t>potvrde FINA-e od 18. listopada 2018. (list 14. spisa) u bitnom utvrdio kako je dužnikov račun blokiran duže od 60 dana. Iz navedene potvrde proizlazi kako je 4. listopada 2018. dužnik u Očevidniku redoslijeda osnova za plaćanje imao neizvršene osove za plaćanje u neprekinutom razdoblju od 120 dana u iznosu od 33.624,33 kn. Međutim, iz potvrde FINA-e od 12. veljače 2019. (list 36. spisa), koju je prvostupanjski naknadno pribavio na temelju odredbe članka 11. stavka 3. SZ-a, proizlazi kako je u Očevidniku o redoslijedu plaćanja dužnik bio u blokadi neprekidno u sljedećim razdobljima:</w:t>
      </w:r>
    </w:p>
    <w:p w:rsidRDefault="009F7ED3" w:rsidP="009F7ED3" w:rsidR="009F7ED3">
      <w:pPr>
        <w:numPr>
          <w:ilvl w:val="0"/>
          <w:numId w:val="1"/>
        </w:numPr>
        <w:spacing w:after="0"/>
        <w:contextualSpacing/>
        <w:jc w:val="both"/>
        <w:rPr>
          <w:rFonts w:cs="Times New Roman" w:eastAsia="Times New Roman"/>
          <w:lang w:eastAsia="hr-HR"/>
        </w:rPr>
      </w:pPr>
      <w:r>
        <w:rPr>
          <w:rFonts w:cs="Times New Roman" w:eastAsia="Times New Roman"/>
          <w:lang w:eastAsia="hr-HR"/>
        </w:rPr>
        <w:t>od 7. veljače 2018. do 18. veljače 2018.;</w:t>
      </w:r>
    </w:p>
    <w:p w:rsidRDefault="009F7ED3" w:rsidP="009F7ED3" w:rsidR="009F7ED3">
      <w:pPr>
        <w:numPr>
          <w:ilvl w:val="0"/>
          <w:numId w:val="1"/>
        </w:numPr>
        <w:spacing w:after="0"/>
        <w:contextualSpacing/>
        <w:jc w:val="both"/>
        <w:rPr>
          <w:rFonts w:cs="Times New Roman" w:eastAsia="Times New Roman"/>
          <w:lang w:eastAsia="hr-HR"/>
        </w:rPr>
      </w:pPr>
      <w:r>
        <w:rPr>
          <w:rFonts w:cs="Times New Roman" w:eastAsia="Times New Roman"/>
          <w:lang w:eastAsia="hr-HR"/>
        </w:rPr>
        <w:t>od 16. ožujka 2018. do 21. ožujka 2018.;</w:t>
      </w:r>
    </w:p>
    <w:p w:rsidRDefault="009F7ED3" w:rsidP="009F7ED3" w:rsidR="009F7ED3">
      <w:pPr>
        <w:numPr>
          <w:ilvl w:val="0"/>
          <w:numId w:val="1"/>
        </w:numPr>
        <w:spacing w:after="0"/>
        <w:contextualSpacing/>
        <w:jc w:val="both"/>
        <w:rPr>
          <w:rFonts w:cs="Times New Roman" w:eastAsia="Times New Roman"/>
          <w:lang w:eastAsia="hr-HR"/>
        </w:rPr>
      </w:pPr>
      <w:r>
        <w:rPr>
          <w:rFonts w:cs="Times New Roman" w:eastAsia="Times New Roman"/>
          <w:lang w:eastAsia="hr-HR"/>
        </w:rPr>
        <w:t>od 7. lipnja 2018. do 28. listopada 2018., te</w:t>
      </w:r>
    </w:p>
    <w:p w:rsidRDefault="009F7ED3" w:rsidP="009F7ED3" w:rsidR="009F7ED3">
      <w:pPr>
        <w:numPr>
          <w:ilvl w:val="0"/>
          <w:numId w:val="1"/>
        </w:numPr>
        <w:spacing w:after="0"/>
        <w:contextualSpacing/>
        <w:jc w:val="both"/>
        <w:rPr>
          <w:rFonts w:cs="Times New Roman" w:eastAsia="Times New Roman"/>
          <w:lang w:eastAsia="hr-HR"/>
        </w:rPr>
      </w:pPr>
      <w:r>
        <w:rPr>
          <w:rFonts w:cs="Times New Roman" w:eastAsia="Times New Roman"/>
          <w:lang w:eastAsia="hr-HR"/>
        </w:rPr>
        <w:t xml:space="preserve">od 28. prosinca 2018. do 17. siječnja 2019. </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Dakle, nakon što je 28. listopada 2018. prestala blokada dužnikovog računa, dužnikov račun je ponovno blokiran 28. prosinca 2018. i bio je blokiran i u trenutku donošenja pobijanog rješenja (17. siječnja 2019.). To je bio posljednji dan blokade koja je neprekidno trajala od 28. prosinca 2018., dakle samo 20 dana. Stoga, suprotno utvrđenju prvostupanjskog suda, u trenutku donošenja pobijanog rješenja (17. siječnja 2019.), dužnik u Očevidniku redoslijeda osnova za plaćanje koji vodi FINA nije imao evidentiranih neizvršenih osnova za plaćanje u razdoblju dužem od 60 dana, odnosno dužnikov račun nije bio blokiran duže od 60 dana u kojem slučaju se, u skladu s odredbom članka 6. stavka 2. paragrafa 1. SZ-a, presumira da je dužnik nesposoban za plaćanje. Zbog toga je prvostupanjski sud pogrešno utvrdio kako u konkretnom slučaju postoji stečajni razlog nesposobnosti za plaćanje iz članka 6. stavaka 1. i 2. SZ-a.</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Pravno je irelevantno pozivanje žalitelja na Potvrdu o neizvršenim osnovama za plaćanje od 12. veljače 2019. (list 37. spisa). To iz razloga što se ona odnosi na razdoblje nakon donošenja pobijanog rješenja (17. siječnja 2019.) jer sadrži podatke o Očevidniku redoslijeda osnova za plaćanje na dan 12. veljače 2019., a ne za razdoblje do donošenja pobijanog rješenja, uključujući i dan donošenja tog rješenja (17. siječnja 2019.).</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t>Uzevši u obzir navedeno valjalo je, na temelju odredbe članka 380. točke 3. ZPP-a u vezi s odredbom članka 10. SZ-a, uvažiti žalbu, ukinuti pobijano rješenje i predmet vratiti prvostupanjskom sudu na ponovan postupak.</w:t>
      </w:r>
    </w:p>
    <w:p w:rsidRDefault="009F7ED3" w:rsidP="009F7ED3" w:rsidR="009F7ED3">
      <w:pPr>
        <w:spacing w:after="0"/>
        <w:ind w:firstLine="708"/>
        <w:jc w:val="both"/>
        <w:rPr>
          <w:rFonts w:cs="Times New Roman" w:eastAsia="Times New Roman"/>
          <w:b/>
          <w:lang w:eastAsia="hr-HR"/>
        </w:rPr>
      </w:pPr>
    </w:p>
    <w:p w:rsidRDefault="009F7ED3" w:rsidP="009F7ED3" w:rsidR="009F7ED3">
      <w:pPr>
        <w:spacing w:after="0"/>
        <w:ind w:firstLine="708"/>
        <w:jc w:val="both"/>
        <w:rPr>
          <w:rFonts w:cs="Times New Roman" w:eastAsia="Times New Roman"/>
          <w:lang w:eastAsia="hr-HR"/>
        </w:rPr>
      </w:pPr>
      <w:r>
        <w:rPr>
          <w:rFonts w:cs="Times New Roman" w:eastAsia="Times New Roman"/>
          <w:lang w:eastAsia="hr-HR"/>
        </w:rPr>
        <w:lastRenderedPageBreak/>
        <w:t>U ponovnom postupku prvostupanjski sud će, uzevši u obzir navedeno, utvrditi postoji li stečajni razlog nesposobnosti za plaćanje u smislu odredaba članka 6. stavaka 1. i 2. SZ-a. Ako utvrdi da taj razlog ne postoji, obustavit će stečajni postupak nad dužnikom na temelju odredbe članka 128. stavka 9. SZ-a.</w:t>
      </w:r>
    </w:p>
    <w:p w:rsidRDefault="009F7ED3" w:rsidP="009F7ED3" w:rsidR="009F7ED3">
      <w:pPr>
        <w:spacing w:after="0"/>
        <w:ind w:firstLine="708"/>
        <w:jc w:val="both"/>
        <w:rPr>
          <w:rFonts w:cs="Times New Roman" w:eastAsia="Times New Roman"/>
          <w:lang w:eastAsia="hr-HR"/>
        </w:rPr>
      </w:pPr>
    </w:p>
    <w:p w:rsidRDefault="009F7ED3" w:rsidP="009F7ED3" w:rsidR="009F7ED3">
      <w:pPr>
        <w:spacing w:after="0"/>
        <w:jc w:val="center"/>
        <w:rPr>
          <w:rFonts w:cs="Times New Roman" w:eastAsia="Times New Roman"/>
          <w:lang w:eastAsia="hr-HR"/>
        </w:rPr>
      </w:pPr>
      <w:r>
        <w:rPr>
          <w:rFonts w:cs="Times New Roman" w:eastAsia="Times New Roman"/>
          <w:lang w:eastAsia="hr-HR"/>
        </w:rPr>
        <w:t>Zagreb, 27. veljače 2019.</w:t>
      </w:r>
    </w:p>
    <w:p w:rsidRDefault="009F7ED3" w:rsidP="009F7ED3" w:rsidR="009F7ED3">
      <w:pPr>
        <w:tabs>
          <w:tab w:pos="993" w:val="left"/>
        </w:tabs>
        <w:spacing w:after="0"/>
        <w:jc w:val="both"/>
        <w:rPr>
          <w:rFonts w:cs="Times New Roman" w:eastAsia="Times New Roman"/>
          <w:lang w:eastAsia="hr-HR"/>
        </w:rPr>
      </w:pPr>
    </w:p>
    <w:p w:rsidRDefault="009F7ED3" w:rsidP="009F7ED3" w:rsidR="009F7ED3">
      <w:pPr>
        <w:spacing w:after="0"/>
        <w:ind w:left="4536"/>
        <w:jc w:val="center"/>
        <w:rPr>
          <w:rFonts w:cs="Times New Roman" w:eastAsia="Times New Roman"/>
          <w:lang w:eastAsia="hr-HR"/>
        </w:rPr>
      </w:pPr>
      <w:r>
        <w:rPr>
          <w:rFonts w:cs="Times New Roman" w:eastAsia="Times New Roman"/>
          <w:lang w:eastAsia="hr-HR"/>
        </w:rPr>
        <w:t>Predsjednik vijeća</w:t>
      </w:r>
    </w:p>
    <w:p w:rsidRDefault="009F7ED3" w:rsidP="009F7ED3" w:rsidR="009F7ED3">
      <w:pPr>
        <w:spacing w:after="0"/>
        <w:ind w:left="4536"/>
        <w:jc w:val="center"/>
        <w:rPr>
          <w:rFonts w:cs="Times New Roman" w:eastAsia="Times New Roman"/>
          <w:lang w:eastAsia="hr-HR"/>
        </w:rPr>
      </w:pPr>
      <w:r>
        <w:rPr>
          <w:rFonts w:cs="Times New Roman" w:eastAsia="Times New Roman"/>
          <w:lang w:eastAsia="hr-HR"/>
        </w:rPr>
        <w:t>Jagoda Crnokrak, v. r.</w:t>
      </w:r>
    </w:p>
    <w:p w:rsidRDefault="009F7ED3" w:rsidP="009F7ED3" w:rsidR="009F7ED3">
      <w:pPr>
        <w:spacing w:after="0"/>
        <w:ind w:left="4536"/>
        <w:jc w:val="center"/>
        <w:rPr>
          <w:rFonts w:cs="Times New Roman" w:eastAsia="Times New Roman"/>
          <w:lang w:eastAsia="hr-HR"/>
        </w:rPr>
      </w:pPr>
    </w:p>
    <w:p w:rsidRDefault="009F7ED3" w:rsidP="009F7ED3" w:rsidR="009F7ED3">
      <w:pPr>
        <w:spacing w:after="0"/>
        <w:ind w:left="4536"/>
        <w:jc w:val="center"/>
        <w:rPr>
          <w:rFonts w:cs="Times New Roman" w:eastAsia="Times New Roman"/>
          <w:lang w:eastAsia="hr-HR"/>
        </w:rPr>
      </w:pPr>
      <w:r>
        <w:rPr>
          <w:rFonts w:cs="Times New Roman" w:eastAsia="Times New Roman"/>
          <w:lang w:eastAsia="hr-HR"/>
        </w:rPr>
        <w:t>Za točnost otpravka – ovlašteni službenik</w:t>
      </w:r>
    </w:p>
    <w:p w:rsidRDefault="009F7ED3" w:rsidP="009F7ED3" w:rsidR="009F7ED3">
      <w:pPr>
        <w:spacing w:after="0"/>
        <w:ind w:left="4536"/>
        <w:jc w:val="center"/>
        <w:rPr>
          <w:rFonts w:cs="Times New Roman" w:eastAsia="Times New Roman"/>
          <w:lang w:eastAsia="hr-HR"/>
        </w:rPr>
      </w:pPr>
      <w:r>
        <w:rPr>
          <w:rFonts w:cs="Times New Roman" w:eastAsia="Times New Roman"/>
          <w:lang w:eastAsia="hr-HR"/>
        </w:rPr>
        <w:t>Brankica Curman</w:t>
      </w:r>
    </w:p>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FD506C"/>
    <w:multiLevelType w:val="hybridMultilevel"/>
    <w:tmpl w:val="553C3D78"/>
    <w:lvl w:tplc="B78635F4" w:ilvl="0">
      <w:start w:val="6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7ED3"/>
    <w:rsid w:val="004C2ACC"/>
    <w:rsid w:val="00844A74"/>
    <w:rsid w:val="008B2D79"/>
    <w:rsid w:val="009F7ED3"/>
    <w:rsid w:val="00D8622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7ED3"/>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9F7ED3"/>
    <w:pPr>
      <w:spacing w:after="0"/>
    </w:pPr>
    <w:rPr>
      <w:b/>
      <w:noProof/>
    </w:rPr>
  </w:style>
  <w:style w:customStyle="true" w:styleId="SudSjedite" w:type="paragraph">
    <w:name w:val="Sud_Sjedište"/>
    <w:basedOn w:val="Bezproreda"/>
    <w:rsid w:val="009F7ED3"/>
    <w:pPr>
      <w:tabs>
        <w:tab w:pos="7088" w:val="left"/>
      </w:tabs>
      <w:contextualSpacing/>
    </w:pPr>
    <w:rPr>
      <w:rFonts w:cs="Times New Roman" w:eastAsia="Times New Roman"/>
      <w:noProof/>
      <w:lang w:eastAsia="hr-HR"/>
    </w:rPr>
  </w:style>
  <w:style w:customStyle="true" w:styleId="HeadereSPIS" w:type="paragraph">
    <w:name w:val="Header_eSPIS"/>
    <w:basedOn w:val="Normal"/>
    <w:autoRedefine/>
    <w:qFormat/>
    <w:rsid w:val="009F7ED3"/>
    <w:pPr>
      <w:spacing w:after="0"/>
      <w:jc w:val="right"/>
    </w:pPr>
    <w:rPr>
      <w:rFonts w:eastAsia="Times New Roman"/>
      <w:lang w:eastAsia="hr-HR"/>
    </w:rPr>
  </w:style>
  <w:style w:customStyle="true" w:styleId="PozadinaSvijetloCrvena" w:type="character">
    <w:name w:val="Pozadina_SvijetloCrvena"/>
    <w:basedOn w:val="Zadanifontodlomka"/>
    <w:uiPriority w:val="3"/>
    <w:rsid w:val="009F7ED3"/>
    <w:rPr>
      <w:noProof/>
      <w:bdr w:frame="true" w:space="0" w:sz="0" w:color="auto" w:val="none"/>
      <w:shd w:fill="FFCCCC" w:color="auto" w:val="clear"/>
      <w:lang w:val="hr-HR"/>
    </w:rPr>
  </w:style>
  <w:style w:customStyle="true" w:styleId="PozadinaSvijetloZelena" w:type="character">
    <w:name w:val="Pozadina_SvijetloZelena"/>
    <w:basedOn w:val="Zadanifontodlomka"/>
    <w:rsid w:val="009F7ED3"/>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9F7ED3"/>
    <w:rPr>
      <w:noProof/>
      <w:bdr w:frame="true" w:space="0" w:sz="0" w:color="auto" w:val="none"/>
      <w:shd w:fill="FFFFCC" w:color="auto" w:val="clear"/>
      <w:lang w:val="hr-HR"/>
    </w:rPr>
  </w:style>
  <w:style w:styleId="Bezproreda" w:type="paragraph">
    <w:name w:val="No Spacing"/>
    <w:uiPriority w:val="1"/>
    <w:qFormat/>
    <w:rsid w:val="009F7ED3"/>
    <w:rPr>
      <w:szCs w:val="24"/>
    </w:rPr>
  </w:style>
  <w:style w:styleId="Tekstbalonia" w:type="paragraph">
    <w:name w:val="Balloon Text"/>
    <w:basedOn w:val="Normal"/>
    <w:link w:val="TekstbaloniaChar"/>
    <w:uiPriority w:val="99"/>
    <w:semiHidden/>
    <w:unhideWhenUsed/>
    <w:rsid w:val="009F7E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7ED3"/>
    <w:rPr>
      <w:rFonts w:cs="Tahoma" w:hAnsi="Tahoma" w:ascii="Tahoma"/>
      <w:sz w:val="16"/>
      <w:szCs w:val="16"/>
    </w:rPr>
  </w:style>
  <w:style w:styleId="Tekstrezerviranogmjesta" w:type="character">
    <w:name w:val="Placeholder Text"/>
    <w:basedOn w:val="Zadanifontodlomka"/>
    <w:uiPriority w:val="99"/>
    <w:semiHidden/>
    <w:rsid w:val="004C2ACC"/>
    <w:rPr>
      <w:color w:val="808080"/>
      <w:bdr w:space="0" w:sz="0" w:color="auto" w:val="none"/>
      <w:shd w:fill="auto" w:color="auto" w:val="clear"/>
    </w:rPr>
  </w:style>
  <w:style w:customStyle="true" w:styleId="eSPISCCParagraphDefaultFont" w:type="character">
    <w:name w:val="eSPIS_CC_Paragraph Default Font"/>
    <w:basedOn w:val="PozadinaSvijetloZelena"/>
    <w:rsid w:val="004C2ACC"/>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7ED3"/>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9F7ED3"/>
    <w:pPr>
      <w:spacing w:after="0"/>
    </w:pPr>
    <w:rPr>
      <w:b/>
      <w:noProof/>
    </w:rPr>
  </w:style>
  <w:style w:customStyle="1" w:styleId="SudSjedite" w:type="paragraph">
    <w:name w:val="Sud_Sjedište"/>
    <w:basedOn w:val="Bezproreda"/>
    <w:rsid w:val="009F7ED3"/>
    <w:pPr>
      <w:tabs>
        <w:tab w:pos="7088" w:val="left"/>
      </w:tabs>
      <w:contextualSpacing/>
    </w:pPr>
    <w:rPr>
      <w:rFonts w:cs="Times New Roman" w:eastAsia="Times New Roman"/>
      <w:noProof/>
      <w:lang w:eastAsia="hr-HR"/>
    </w:rPr>
  </w:style>
  <w:style w:customStyle="1" w:styleId="HeadereSPIS" w:type="paragraph">
    <w:name w:val="Header_eSPIS"/>
    <w:basedOn w:val="Normal"/>
    <w:autoRedefine/>
    <w:qFormat/>
    <w:rsid w:val="009F7ED3"/>
    <w:pPr>
      <w:spacing w:after="0"/>
      <w:jc w:val="right"/>
    </w:pPr>
    <w:rPr>
      <w:rFonts w:eastAsia="Times New Roman"/>
      <w:lang w:eastAsia="hr-HR"/>
    </w:rPr>
  </w:style>
  <w:style w:customStyle="1" w:styleId="PozadinaSvijetloCrvena" w:type="character">
    <w:name w:val="Pozadina_SvijetloCrvena"/>
    <w:basedOn w:val="Zadanifontodlomka"/>
    <w:uiPriority w:val="3"/>
    <w:rsid w:val="009F7ED3"/>
    <w:rPr>
      <w:noProof/>
      <w:bdr w:color="auto" w:frame="1" w:space="0" w:sz="0" w:val="none"/>
      <w:shd w:color="auto" w:fill="FFCCCC" w:val="clear"/>
      <w:lang w:val="hr-HR"/>
    </w:rPr>
  </w:style>
  <w:style w:customStyle="1" w:styleId="PozadinaSvijetloZelena" w:type="character">
    <w:name w:val="Pozadina_SvijetloZelena"/>
    <w:basedOn w:val="Zadanifontodlomka"/>
    <w:rsid w:val="009F7ED3"/>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9F7ED3"/>
    <w:rPr>
      <w:noProof/>
      <w:bdr w:color="auto" w:frame="1" w:space="0" w:sz="0" w:val="none"/>
      <w:shd w:color="auto" w:fill="FFFFCC" w:val="clear"/>
      <w:lang w:val="hr-HR"/>
    </w:rPr>
  </w:style>
  <w:style w:styleId="Bezproreda" w:type="paragraph">
    <w:name w:val="No Spacing"/>
    <w:uiPriority w:val="1"/>
    <w:qFormat/>
    <w:rsid w:val="009F7ED3"/>
    <w:rPr>
      <w:szCs w:val="24"/>
    </w:rPr>
  </w:style>
  <w:style w:styleId="Tekstbalonia" w:type="paragraph">
    <w:name w:val="Balloon Text"/>
    <w:basedOn w:val="Normal"/>
    <w:link w:val="TekstbaloniaChar"/>
    <w:uiPriority w:val="99"/>
    <w:semiHidden/>
    <w:unhideWhenUsed/>
    <w:rsid w:val="009F7E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F7ED3"/>
    <w:rPr>
      <w:rFonts w:ascii="Tahoma" w:cs="Tahoma" w:hAnsi="Tahoma"/>
      <w:sz w:val="16"/>
      <w:szCs w:val="16"/>
    </w:rPr>
  </w:style>
  <w:style w:styleId="Tekstrezerviranogmjesta" w:type="character">
    <w:name w:val="Placeholder Text"/>
    <w:basedOn w:val="Zadanifontodlomka"/>
    <w:uiPriority w:val="99"/>
    <w:semiHidden/>
    <w:rsid w:val="004C2ACC"/>
    <w:rPr>
      <w:color w:val="808080"/>
      <w:bdr w:color="auto" w:space="0" w:sz="0" w:val="none"/>
      <w:shd w:color="auto" w:fill="auto" w:val="clear"/>
    </w:rPr>
  </w:style>
  <w:style w:customStyle="1" w:styleId="eSPISCCParagraphDefaultFont" w:type="character">
    <w:name w:val="eSPIS_CC_Paragraph Default Font"/>
    <w:basedOn w:val="PozadinaSvijetloZelena"/>
    <w:rsid w:val="004C2ACC"/>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9527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F5AAFACB00C7435092FAD2EBBDD4DC2C"/>
        <w:category>
          <w:name w:val="Općenito"/>
          <w:gallery w:val="placeholder"/>
        </w:category>
        <w:types>
          <w:type w:val="bbPlcHdr"/>
        </w:types>
        <w:behaviors>
          <w:behavior w:val="content"/>
        </w:behaviors>
        <w:guid w:val="{411D12C3-3947-42BC-A730-70FD94613651}"/>
      </w:docPartPr>
      <w:docPartBody>
        <w:p w:rsidRDefault="00EC4F54" w:rsidP="00EC4F54" w:rsidR="00AE5D41">
          <w:pPr>
            <w:pStyle w:val="F5AAFACB00C7435092FAD2EBBDD4DC2C"/>
          </w:pPr>
          <w:r>
            <w:rPr>
              <w:rStyle w:val="Tekstrezerviranogmjesta"/>
              <w:bdr w:frame="true" w:space="0" w:sz="0" w:color="auto" w:val="none"/>
            </w:rPr>
            <w:t>Click here to enter text.</w:t>
          </w:r>
        </w:p>
      </w:docPartBody>
    </w:docPart>
    <w:docPart>
      <w:docPartPr>
        <w:name w:val="FA227E970CF842D48DCD091ACF1277F5"/>
        <w:category>
          <w:name w:val="Općenito"/>
          <w:gallery w:val="placeholder"/>
        </w:category>
        <w:types>
          <w:type w:val="bbPlcHdr"/>
        </w:types>
        <w:behaviors>
          <w:behavior w:val="content"/>
        </w:behaviors>
        <w:guid w:val="{457B7247-2A93-4438-A8B1-01B6346C4B17}"/>
      </w:docPartPr>
      <w:docPartBody>
        <w:p w:rsidRDefault="00EC4F54" w:rsidP="00EC4F54" w:rsidR="00AE5D41">
          <w:pPr>
            <w:pStyle w:val="FA227E970CF842D48DCD091ACF1277F5"/>
          </w:pPr>
          <w:r>
            <w:rPr>
              <w:rStyle w:val="Tekstrezerviranogmjesta"/>
              <w:bdr w:frame="true" w:space="0" w:sz="0" w:color="auto" w:val="none"/>
            </w:rPr>
            <w:t>.._.._.._.._.._.._.._..</w:t>
          </w:r>
        </w:p>
      </w:docPartBody>
    </w:docPart>
    <w:docPart>
      <w:docPartPr>
        <w:name w:val="9BF099E544CB446C88A689BED1629742"/>
        <w:category>
          <w:name w:val="Općenito"/>
          <w:gallery w:val="placeholder"/>
        </w:category>
        <w:types>
          <w:type w:val="bbPlcHdr"/>
        </w:types>
        <w:behaviors>
          <w:behavior w:val="content"/>
        </w:behaviors>
        <w:guid w:val="{6BC00999-E773-45E8-9065-B2DFDFA8EA21}"/>
      </w:docPartPr>
      <w:docPartBody>
        <w:p w:rsidRDefault="00EC4F54" w:rsidP="00EC4F54" w:rsidR="00AE5D41">
          <w:pPr>
            <w:pStyle w:val="9BF099E544CB446C88A689BED1629742"/>
          </w:pPr>
          <w:r>
            <w:rPr>
              <w:rStyle w:val="Tekstrezerviranogmjesta"/>
              <w:bdr w:frame="true" w:space="0" w:sz="0" w:color="auto" w:val="none"/>
            </w:rPr>
            <w:t>.._.._.._.._.._.._.._..</w:t>
          </w:r>
        </w:p>
      </w:docPartBody>
    </w:docPart>
    <w:docPart>
      <w:docPartPr>
        <w:name w:val="97ABF7D5DE064409BB980BFB6A882BE3"/>
        <w:category>
          <w:name w:val="Općenito"/>
          <w:gallery w:val="placeholder"/>
        </w:category>
        <w:types>
          <w:type w:val="bbPlcHdr"/>
        </w:types>
        <w:behaviors>
          <w:behavior w:val="content"/>
        </w:behaviors>
        <w:guid w:val="{3048A083-2551-4BFE-A423-F6AEB16FD79B}"/>
      </w:docPartPr>
      <w:docPartBody>
        <w:p w:rsidRDefault="00EC4F54" w:rsidP="00EC4F54" w:rsidR="00AE5D41">
          <w:pPr>
            <w:pStyle w:val="97ABF7D5DE064409BB980BFB6A882BE3"/>
          </w:pPr>
          <w:r>
            <w:rPr>
              <w:rStyle w:val="Tekstrezerviranogmjesta"/>
              <w:bdr w:frame="true" w:space="0" w:sz="0" w:color="auto" w:val="none"/>
            </w:rPr>
            <w:t>.._.._.._.._.._.._.._..</w:t>
          </w:r>
        </w:p>
      </w:docPartBody>
    </w:docPart>
    <w:docPart>
      <w:docPartPr>
        <w:name w:val="57CCC5CD89674433B73BA5DE25D024DA"/>
        <w:category>
          <w:name w:val="Općenito"/>
          <w:gallery w:val="placeholder"/>
        </w:category>
        <w:types>
          <w:type w:val="bbPlcHdr"/>
        </w:types>
        <w:behaviors>
          <w:behavior w:val="content"/>
        </w:behaviors>
        <w:guid w:val="{C09A6B74-E0FF-4257-81B4-ABB8D8FC6207}"/>
      </w:docPartPr>
      <w:docPartBody>
        <w:p w:rsidRDefault="00EC4F54" w:rsidP="00EC4F54" w:rsidR="00AE5D41">
          <w:pPr>
            <w:pStyle w:val="57CCC5CD89674433B73BA5DE25D024DA"/>
          </w:pPr>
          <w:r>
            <w:rPr>
              <w:rStyle w:val="Tekstrezerviranogmjesta"/>
              <w:bdr w:frame="true" w:space="0" w:sz="0" w:color="auto" w:val="none"/>
            </w:rPr>
            <w:t>.._.._.._.._.._.._.._..</w:t>
          </w:r>
        </w:p>
      </w:docPartBody>
    </w:docPart>
    <w:docPart>
      <w:docPartPr>
        <w:name w:val="72E287079FF24B98A3382ACFF89C0C83"/>
        <w:category>
          <w:name w:val="Općenito"/>
          <w:gallery w:val="placeholder"/>
        </w:category>
        <w:types>
          <w:type w:val="bbPlcHdr"/>
        </w:types>
        <w:behaviors>
          <w:behavior w:val="content"/>
        </w:behaviors>
        <w:guid w:val="{BE891386-C558-4ABF-A0B1-E726CB1405B2}"/>
      </w:docPartPr>
      <w:docPartBody>
        <w:p w:rsidRDefault="00EC4F54" w:rsidP="00EC4F54" w:rsidR="00AE5D41">
          <w:pPr>
            <w:pStyle w:val="72E287079FF24B98A3382ACFF89C0C83"/>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4F54"/>
    <w:rsid w:val="00AE5D41"/>
    <w:rsid w:val="00C06670"/>
    <w:rsid w:val="00EC4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C4F54"/>
  </w:style>
  <w:style w:customStyle="true" w:styleId="F5AAFACB00C7435092FAD2EBBDD4DC2C" w:type="paragraph">
    <w:name w:val="F5AAFACB00C7435092FAD2EBBDD4DC2C"/>
    <w:rsid w:val="00EC4F54"/>
  </w:style>
  <w:style w:customStyle="true" w:styleId="FA227E970CF842D48DCD091ACF1277F5" w:type="paragraph">
    <w:name w:val="FA227E970CF842D48DCD091ACF1277F5"/>
    <w:rsid w:val="00EC4F54"/>
  </w:style>
  <w:style w:customStyle="true" w:styleId="9BF099E544CB446C88A689BED1629742" w:type="paragraph">
    <w:name w:val="9BF099E544CB446C88A689BED1629742"/>
    <w:rsid w:val="00EC4F54"/>
  </w:style>
  <w:style w:customStyle="true" w:styleId="97ABF7D5DE064409BB980BFB6A882BE3" w:type="paragraph">
    <w:name w:val="97ABF7D5DE064409BB980BFB6A882BE3"/>
    <w:rsid w:val="00EC4F54"/>
  </w:style>
  <w:style w:customStyle="true" w:styleId="57CCC5CD89674433B73BA5DE25D024DA" w:type="paragraph">
    <w:name w:val="57CCC5CD89674433B73BA5DE25D024DA"/>
    <w:rsid w:val="00EC4F54"/>
  </w:style>
  <w:style w:customStyle="true" w:styleId="72E287079FF24B98A3382ACFF89C0C83" w:type="paragraph">
    <w:name w:val="72E287079FF24B98A3382ACFF89C0C83"/>
    <w:rsid w:val="00EC4F54"/>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C4F54"/>
  </w:style>
  <w:style w:customStyle="1" w:styleId="F5AAFACB00C7435092FAD2EBBDD4DC2C" w:type="paragraph">
    <w:name w:val="F5AAFACB00C7435092FAD2EBBDD4DC2C"/>
    <w:rsid w:val="00EC4F54"/>
  </w:style>
  <w:style w:customStyle="1" w:styleId="FA227E970CF842D48DCD091ACF1277F5" w:type="paragraph">
    <w:name w:val="FA227E970CF842D48DCD091ACF1277F5"/>
    <w:rsid w:val="00EC4F54"/>
  </w:style>
  <w:style w:customStyle="1" w:styleId="9BF099E544CB446C88A689BED1629742" w:type="paragraph">
    <w:name w:val="9BF099E544CB446C88A689BED1629742"/>
    <w:rsid w:val="00EC4F54"/>
  </w:style>
  <w:style w:customStyle="1" w:styleId="97ABF7D5DE064409BB980BFB6A882BE3" w:type="paragraph">
    <w:name w:val="97ABF7D5DE064409BB980BFB6A882BE3"/>
    <w:rsid w:val="00EC4F54"/>
  </w:style>
  <w:style w:customStyle="1" w:styleId="57CCC5CD89674433B73BA5DE25D024DA" w:type="paragraph">
    <w:name w:val="57CCC5CD89674433B73BA5DE25D024DA"/>
    <w:rsid w:val="00EC4F54"/>
  </w:style>
  <w:style w:customStyle="1" w:styleId="72E287079FF24B98A3382ACFF89C0C83" w:type="paragraph">
    <w:name w:val="72E287079FF24B98A3382ACFF89C0C83"/>
    <w:rsid w:val="00EC4F54"/>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61. Pž-1210/2019-3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Visoki trgovački sud Republike Hrvatske
Berislavićeva 11, Zagreb</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1481</properties:Words>
  <properties:Characters>8212</properties:Characters>
  <properties:Lines>161</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2019-03-12T10:06:00Z</dcterms:created>
  <dc:creator>Nikolina Krunić</dc:creator>
  <cp:lastModifiedBy>Nikolina Krunić</cp:lastModifiedBy>
  <dcterms:modified xmlns:xsi="http://www.w3.org/2001/XMLSchema-instance" xsi:type="dcterms:W3CDTF">2019-03-12T10:07:00Z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St-2557/2018-25 / Podnesak - Rješenje - prihvaćena žalba - ukinuto 1. st. rješenje (REPUBLIKA HRVATSKA.docx)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4</vt:i4>
  </prop:property>
</prop:Properties>
</file>