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ddb68" w14:paraId="83ddb68" w:rsidRDefault="00834874" w:rsidP="00834874" w:rsidR="00834874">
      <w:pPr>
        <w:pStyle w:val="SudNaziv"/>
        <w15:collapsed w:val="false"/>
        <w:rPr>
          <w:rStyle w:val="PozadinaSvijetloZelena"/>
          <w:b w:val="false"/>
        </w:rPr>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1929765</wp:posOffset>
            </wp:positionH>
            <wp:positionV relativeFrom="page">
              <wp:posOffset>824865</wp:posOffset>
            </wp:positionV>
            <wp:extent cy="699135" cx="523240"/>
            <wp:effectExtent b="5715" r="0" t="0" l="0"/>
            <wp:wrapNone/>
            <wp:docPr name="Slika 1"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9135" cx="523240"/>
                    </a:xfrm>
                    <a:prstGeom prst="rect">
                      <a:avLst/>
                    </a:prstGeom>
                    <a:noFill/>
                  </pic:spPr>
                </pic:pic>
              </a:graphicData>
            </a:graphic>
          </wp:anchor>
        </w:drawing>
      </w:r>
    </w:p>
    <w:p w:rsidRDefault="00834874" w:rsidP="00834874" w:rsidR="00834874">
      <w:pPr>
        <w:pStyle w:val="SudNaziv"/>
        <w:rPr>
          <w:rStyle w:val="PozadinaSvijetloZelena"/>
          <w:b w:val="false"/>
        </w:rPr>
      </w:pPr>
    </w:p>
    <w:p w:rsidRDefault="00834874" w:rsidP="00834874" w:rsidR="00834874">
      <w:pPr>
        <w:pStyle w:val="SudNaziv"/>
        <w:rPr>
          <w:rStyle w:val="PozadinaSvijetloZelena"/>
          <w:b w:val="false"/>
        </w:rPr>
      </w:pPr>
    </w:p>
    <w:p w:rsidRDefault="00834874" w:rsidP="00834874" w:rsidR="00834874">
      <w:pPr>
        <w:pStyle w:val="SudNaziv"/>
        <w:rPr>
          <w:rStyle w:val="PozadinaSvijetloZelena"/>
          <w:b w:val="false"/>
        </w:rPr>
      </w:pPr>
    </w:p>
    <w:p w:rsidRDefault="008C42FC" w:rsidP="00834874" w:rsidR="00834874">
      <w:pPr>
        <w:pStyle w:val="SudNaziv"/>
        <w:ind w:firstLine="720"/>
        <w:rPr>
          <w:rStyle w:val="PozadinaSvijetloZelena"/>
        </w:rPr>
      </w:pPr>
      <w:sdt>
        <w:sdtPr>
          <w:rPr>
            <w:rStyle w:val="eSPISCCParagraphDefaultFont"/>
          </w:rPr>
          <w:alias w:val="Republika Hrvatska"/>
          <w:tag w:val="Republika Hrvatska"/>
          <w:id w:val="-40675261"/>
          <w:placeholder>
            <w:docPart w:val="DA2D534FBE17475F96998C1B87C255D4"/>
          </w:placeholder>
          <w:text/>
        </w:sdtPr>
        <w:sdtEndPr>
          <w:rPr>
            <w:rStyle w:val="eSPISCCParagraphDefaultFont"/>
          </w:rPr>
        </w:sdtEndPr>
        <w:sdtContent>
          <w:r w:rsidR="00834874" w:rsidRPr="008C42FC">
            <w:rPr>
              <w:rStyle w:val="eSPISCCParagraphDefaultFont"/>
            </w:rPr>
            <w:t>REPUBLIKA HRVATSKA</w:t>
          </w:r>
        </w:sdtContent>
      </w:sdt>
    </w:p>
    <w:p w:rsidRDefault="008C42FC" w:rsidP="00834874" w:rsidR="00834874">
      <w:pPr>
        <w:pStyle w:val="SudNaziv"/>
        <w:rPr>
          <w:b w:val="false"/>
        </w:rPr>
      </w:pPr>
      <w:sdt>
        <w:sdtPr>
          <w:rPr>
            <w:rStyle w:val="eSPISCCParagraphDefaultFont"/>
          </w:rPr>
          <w:alias w:val="Naziv suda (po potrebi naziv Stalne službe)"/>
          <w:tag w:val="DomainObject.Predmet.Sud.Naziv_1"/>
          <w:id w:val="-1602014739"/>
          <w:placeholder>
            <w:docPart w:val="7ACF39B7CEFD4DFC8ABF05CC2732DFFE"/>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Pr="008C42FC">
            <w:rPr>
              <w:rStyle w:val="eSPISCCParagraphDefaultFont"/>
            </w:rPr>
            <w:t>Visoki trgovački sud Republike Hrvatske</w:t>
          </w:r>
          <w:r w:rsidRPr="008C42FC">
            <w:rPr>
              <w:rStyle w:val="eSPISCCParagraphDefaultFont"/>
            </w:rPr>
            <w:br/>
            <w:t>Berilaviće 11, Zagreb</w:t>
          </w:r>
        </w:sdtContent>
      </w:sdt>
    </w:p>
    <w:p w:rsidRDefault="008C42FC" w:rsidP="00834874" w:rsidR="00834874">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placeholder>
            <w:docPart w:val="F42E0CA71AE649949E2C327FD4AC7EE2"/>
          </w:placeholder>
          <w:showingPlcHdr/>
          <w:dataBinding w:storeItemID="{100293BC-3C9C-4740-99C7-73F5E9006100}" w:xpath="/icms/DomainObject.Predmet.Sud.Adresa.UlicaIKBR/derivirana_varijabla[@naziv='DomainObject.Predmet.Sud.Adresa.UlicaIKBR_1']"/>
          <w:text/>
        </w:sdtPr>
        <w:sdtEndPr>
          <w:rPr>
            <w:rStyle w:val="PozadinaSvijetloZelena"/>
            <w:bdr w:frame="true" w:space="0" w:sz="0" w:color="auto" w:val="none"/>
            <w:shd w:fill="CCFFCC" w:color="auto" w:val="clear"/>
          </w:rPr>
        </w:sdtEndPr>
        <w:sdtContent>
          <w:r w:rsidRPr="008C42FC">
            <w:rPr>
              <w:rStyle w:val="Tekstrezerviranogmjesta"/>
            </w:rPr>
            <w:t>.._.._.._.._.._.._.._..</w:t>
          </w:r>
        </w:sdtContent>
      </w:sdt>
      <w:r w:rsidR="00834874">
        <w:rPr>
          <w:rStyle w:val="PozadinaSvijetloZelena"/>
          <w:shd w:themeFill="background1" w:fill="FFFFFF" w:color="auto" w:val="clear"/>
        </w:rPr>
        <w:t>,</w:t>
      </w:r>
      <w:r w:rsidR="00834874">
        <w:t xml:space="preserve"> </w:t>
      </w:r>
      <w:sdt>
        <w:sdtPr>
          <w:rPr>
            <w:rStyle w:val="eSPISCCParagraphDefaultFont"/>
          </w:rPr>
          <w:alias w:val="Adresa suda (naselje) po potrebi za Stalnu službu"/>
          <w:tag w:val="DomainObject.Predmet.Sud.Adresa.Naselje_1"/>
          <w:id w:val="949661400"/>
          <w:placeholder>
            <w:docPart w:val="9BD069ACEBA94AA595415222AE4B95D8"/>
          </w:placeholder>
          <w:showingPlcHdr/>
          <w:dataBinding w:storeItemID="{100293BC-3C9C-4740-99C7-73F5E9006100}" w:xpath="/icms/DomainObject.Predmet.Sud.Adresa.Naselje/derivirana_varijabla[@naziv='DomainObject.Predmet.Sud.Adresa.Naselje_1']"/>
          <w:text/>
        </w:sdtPr>
        <w:sdtEndPr>
          <w:rPr>
            <w:rStyle w:val="PozadinaSvijetloZelena"/>
            <w:bdr w:frame="true" w:space="0" w:sz="0" w:color="auto" w:val="none"/>
            <w:shd w:fill="CCFFCC" w:color="auto" w:val="clear"/>
          </w:rPr>
        </w:sdtEndPr>
        <w:sdtContent>
          <w:r w:rsidRPr="008C42FC">
            <w:rPr>
              <w:rStyle w:val="Tekstrezerviranogmjesta"/>
            </w:rPr>
            <w:t>.._.._.._.._.._.._.._..</w:t>
          </w:r>
        </w:sdtContent>
      </w:sdt>
    </w:p>
    <w:p w:rsidRDefault="00834874" w:rsidP="00834874" w:rsidR="00834874">
      <w:pPr>
        <w:pStyle w:val="HeadereSPIS"/>
        <w:rPr>
          <w:rFonts w:cs="Times New Roman"/>
        </w:rPr>
      </w:pPr>
      <w:r>
        <w:rPr>
          <w:rStyle w:val="PozadinaSvijetloCrvena"/>
        </w:rPr>
        <w:t xml:space="preserve">Poslovni broj: </w:t>
      </w:r>
      <w:sdt>
        <w:sdtPr>
          <w:rPr>
            <w:rStyle w:val="eSPISCCParagraphDefaultFont"/>
          </w:rPr>
          <w:alias w:val="Oznaka referade"/>
          <w:tag w:val="DomainObject.Predmet.Referada.Oznaka_1"/>
          <w:id w:val="-1671166553"/>
          <w:placeholder>
            <w:docPart w:val="71E11621421D42FD833CF0C7E41301FC"/>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8C42FC" w:rsidRPr="008C42FC">
            <w:rPr>
              <w:rStyle w:val="eSPISCCParagraphDefaultFont"/>
            </w:rPr>
            <w:t>61. Pž-1981/2019-2</w:t>
          </w:r>
        </w:sdtContent>
      </w:sdt>
      <w:r>
        <w:rPr>
          <w:rStyle w:val="PozadinaSvijetloCrvena"/>
        </w:rPr>
        <w:t xml:space="preserve"> </w:t>
      </w:r>
      <w:sdt>
        <w:sdtPr>
          <w:rPr>
            <w:rStyle w:val="eSPISCCParagraphDefaultFont"/>
          </w:rPr>
          <w:alias w:val="Poslovni broj dokumenta"/>
          <w:tag w:val="DomainObject.PoslovniBrojDokumenta"/>
          <w:id w:val="444120572"/>
          <w:placeholder>
            <w:docPart w:val="C0ECBAF3729047D9AF6C4C7D6D09126E"/>
          </w:placeholder>
          <w:showingPlcHdr/>
          <w:dataBinding w:storeItemID="{100293BC-3C9C-4740-99C7-73F5E9006100}" w:xpath="/icms/DomainObject.PoslovniBrojDokumenta/derivirana_varijabla[@naziv='DomainObject.PoslovniBrojDokumenta_1']"/>
          <w:text/>
        </w:sdtPr>
        <w:sdtEndPr>
          <w:rPr>
            <w:rStyle w:val="PozadinaSvijetloZelena"/>
            <w:rFonts w:cstheme="minorBidi"/>
            <w:bdr w:frame="true" w:space="0" w:sz="0" w:color="auto" w:val="none"/>
            <w:shd w:fill="CCFFCC" w:color="auto" w:val="clear"/>
          </w:rPr>
        </w:sdtEndPr>
        <w:sdtContent>
          <w:r w:rsidR="008C42FC" w:rsidRPr="008C42FC">
            <w:rPr>
              <w:rStyle w:val="Tekstrezerviranogmjesta"/>
            </w:rPr>
            <w:t>.._.._.._.._.._.._.._..</w:t>
          </w:r>
        </w:sdtContent>
      </w:sdt>
    </w:p>
    <w:p w:rsidRDefault="00834874" w:rsidP="00834874" w:rsidR="00834874">
      <w:pPr>
        <w:pStyle w:val="Bezproreda"/>
        <w:jc w:val="both"/>
      </w:pPr>
    </w:p>
    <w:p w:rsidRDefault="00834874" w:rsidP="00834874" w:rsidR="00834874">
      <w:pPr>
        <w:pStyle w:val="Bezproreda"/>
        <w:jc w:val="both"/>
      </w:pPr>
    </w:p>
    <w:p w:rsidRDefault="00834874" w:rsidP="00834874" w:rsidR="00834874">
      <w:pPr>
        <w:pStyle w:val="Bezproreda"/>
        <w:jc w:val="both"/>
      </w:pPr>
    </w:p>
    <w:p w:rsidRDefault="00834874" w:rsidP="00834874" w:rsidR="00834874">
      <w:pPr>
        <w:pStyle w:val="Bezproreda"/>
        <w:jc w:val="both"/>
      </w:pPr>
    </w:p>
    <w:p w:rsidRDefault="00834874" w:rsidP="00834874" w:rsidR="00834874">
      <w:pPr>
        <w:spacing w:after="0"/>
        <w:jc w:val="center"/>
        <w:rPr>
          <w:rFonts w:cs="Times New Roman" w:eastAsia="Times New Roman"/>
          <w:lang w:eastAsia="hr-HR"/>
        </w:rPr>
      </w:pPr>
      <w:r>
        <w:rPr>
          <w:rFonts w:cs="Times New Roman" w:eastAsia="Times New Roman"/>
          <w:lang w:eastAsia="hr-HR"/>
        </w:rPr>
        <w:t>R E P U B L I K A   H R V A T S K A</w:t>
      </w:r>
    </w:p>
    <w:p w:rsidRDefault="00834874" w:rsidP="00834874" w:rsidR="00834874">
      <w:pPr>
        <w:spacing w:after="0"/>
        <w:jc w:val="center"/>
        <w:rPr>
          <w:rFonts w:cs="Times New Roman" w:eastAsia="Times New Roman"/>
          <w:lang w:eastAsia="hr-HR"/>
        </w:rPr>
      </w:pPr>
    </w:p>
    <w:p w:rsidRDefault="00834874" w:rsidP="00834874" w:rsidR="00834874">
      <w:pPr>
        <w:spacing w:after="0"/>
        <w:jc w:val="center"/>
        <w:rPr>
          <w:rFonts w:cs="Times New Roman" w:eastAsia="Times New Roman"/>
          <w:lang w:eastAsia="hr-HR"/>
        </w:rPr>
      </w:pPr>
      <w:r>
        <w:rPr>
          <w:rFonts w:cs="Times New Roman" w:eastAsia="Times New Roman"/>
          <w:lang w:eastAsia="hr-HR"/>
        </w:rPr>
        <w:t>R J E Š E NJ E</w:t>
      </w:r>
    </w:p>
    <w:p w:rsidRDefault="00834874" w:rsidP="00834874" w:rsidR="00834874">
      <w:pPr>
        <w:spacing w:after="0"/>
        <w:jc w:val="both"/>
        <w:rPr>
          <w:rFonts w:cs="Times New Roman" w:eastAsia="Times New Roman"/>
          <w:lang w:eastAsia="hr-HR"/>
        </w:rPr>
      </w:pPr>
    </w:p>
    <w:p w:rsidRDefault="00834874" w:rsidP="00834874" w:rsidR="00834874">
      <w:pPr>
        <w:spacing w:after="0"/>
        <w:jc w:val="both"/>
        <w:rPr>
          <w:rFonts w:cs="Times New Roman" w:eastAsia="Times New Roman"/>
          <w:lang w:eastAsia="hr-HR"/>
        </w:rPr>
      </w:pPr>
    </w:p>
    <w:p w:rsidRDefault="00834874" w:rsidP="00834874" w:rsidR="00834874">
      <w:pPr>
        <w:spacing w:after="0"/>
        <w:jc w:val="both"/>
        <w:rPr>
          <w:rFonts w:cs="Times New Roman" w:eastAsia="Times New Roman"/>
          <w:lang w:eastAsia="hr-HR"/>
        </w:rPr>
      </w:pPr>
      <w:r>
        <w:rPr>
          <w:rFonts w:cs="Times New Roman" w:eastAsia="Times New Roman"/>
          <w:lang w:eastAsia="hr-HR"/>
        </w:rPr>
        <w:tab/>
        <w:t>Visoki trgovački sud Republike Hrvatske, u vijeću sastavljenom od sudaca Jagode Crnokrak, predsjednika vijeća, Ivane Mlinarić, suca izvjestitelja i dr. sc. Jelene Čuveljak, člana vijeća, u stečajnom postupku nad dužnikom MARVIN d.o.o., OIB 49589934994, Dugo Selo, Josipa Zorića 208, odlučujući o žalbi predlagatelja FINANCIJSKA AGENCIJA, Zagreb, Ulica grada Vukovara 70, OIB 85821130368, protiv rješenja Trgovačkog suda u Zagrebu poslovni broj St-2557/2018-26 od 11. ožujka 2019., u sjednici vijeća održanoj 27. ožujka 2019.</w:t>
      </w:r>
    </w:p>
    <w:p w:rsidRDefault="00834874" w:rsidP="00834874" w:rsidR="00834874">
      <w:pPr>
        <w:spacing w:after="0"/>
        <w:jc w:val="both"/>
        <w:rPr>
          <w:rFonts w:cs="Times New Roman" w:eastAsia="Times New Roman"/>
          <w:lang w:eastAsia="hr-HR"/>
        </w:rPr>
      </w:pPr>
    </w:p>
    <w:p w:rsidRDefault="00834874" w:rsidP="00834874" w:rsidR="00834874">
      <w:pPr>
        <w:spacing w:after="0"/>
        <w:jc w:val="center"/>
        <w:rPr>
          <w:rFonts w:cs="Times New Roman" w:eastAsia="Times New Roman"/>
          <w:lang w:eastAsia="hr-HR"/>
        </w:rPr>
      </w:pPr>
      <w:r>
        <w:rPr>
          <w:rFonts w:cs="Times New Roman" w:eastAsia="Times New Roman"/>
          <w:lang w:eastAsia="hr-HR"/>
        </w:rPr>
        <w:t>r i j e š i o   j e</w:t>
      </w:r>
    </w:p>
    <w:p w:rsidRDefault="00834874" w:rsidP="00834874" w:rsidR="00834874">
      <w:pPr>
        <w:spacing w:after="0"/>
        <w:jc w:val="both"/>
        <w:rPr>
          <w:rFonts w:cs="Times New Roman" w:eastAsia="Times New Roman"/>
          <w:lang w:eastAsia="hr-HR"/>
        </w:rPr>
      </w:pPr>
    </w:p>
    <w:p w:rsidRDefault="00834874" w:rsidP="00834874" w:rsidR="00834874">
      <w:pPr>
        <w:spacing w:after="0"/>
        <w:ind w:firstLine="720"/>
        <w:jc w:val="both"/>
        <w:rPr>
          <w:rFonts w:cs="Times New Roman" w:eastAsia="Times New Roman"/>
          <w:lang w:eastAsia="hr-HR"/>
        </w:rPr>
      </w:pPr>
      <w:r>
        <w:rPr>
          <w:rFonts w:cs="Times New Roman" w:eastAsia="Times New Roman"/>
          <w:lang w:eastAsia="hr-HR"/>
        </w:rPr>
        <w:t xml:space="preserve">I. Odbacuje se žalba predlagatelja Financijske agencije, Zagreb, Ulica grada Vukovara 70, protiv točaka III. i IV. izreke rješenja Trgovačkog suda u Zagrebu poslovni broj </w:t>
      </w:r>
      <w:r>
        <w:rPr>
          <w:rFonts w:cs="Times New Roman" w:eastAsia="Times New Roman"/>
          <w:lang w:eastAsia="hr-HR"/>
        </w:rPr>
        <w:br/>
        <w:t>St-2557/2018-26 od 11. ožujka 2019., kao nedopuštena.</w:t>
      </w:r>
    </w:p>
    <w:p w:rsidRDefault="00834874" w:rsidP="00834874" w:rsidR="00834874">
      <w:pPr>
        <w:spacing w:after="0"/>
        <w:jc w:val="both"/>
        <w:rPr>
          <w:rFonts w:cs="Times New Roman" w:eastAsia="Times New Roman"/>
          <w:lang w:eastAsia="hr-HR"/>
        </w:rPr>
      </w:pPr>
    </w:p>
    <w:p w:rsidRDefault="00834874" w:rsidP="00834874" w:rsidR="00834874">
      <w:pPr>
        <w:spacing w:after="0"/>
        <w:ind w:firstLine="720"/>
        <w:jc w:val="both"/>
        <w:rPr>
          <w:rFonts w:cs="Times New Roman" w:eastAsia="Times New Roman"/>
          <w:lang w:eastAsia="hr-HR"/>
        </w:rPr>
      </w:pPr>
      <w:r>
        <w:rPr>
          <w:rFonts w:cs="Times New Roman" w:eastAsia="Times New Roman"/>
          <w:lang w:eastAsia="hr-HR"/>
        </w:rPr>
        <w:t>II. Uvažava se žalba Financijske agencije, Zagreb, Ulica grada Vukovara 70, ukida rješenje Trgovačkog suda u Zagrebu poslovni broj St-2557/2018-26 od 11. ožujka 2019. u točkama I. i II. izreke i predmet vraća tom sudu na ponovan postupak.</w:t>
      </w:r>
    </w:p>
    <w:p w:rsidRDefault="00834874" w:rsidP="00834874" w:rsidR="00834874">
      <w:pPr>
        <w:spacing w:after="0"/>
        <w:jc w:val="both"/>
        <w:rPr>
          <w:rFonts w:cs="Times New Roman" w:eastAsia="Times New Roman"/>
          <w:lang w:eastAsia="hr-HR"/>
        </w:rPr>
      </w:pPr>
    </w:p>
    <w:p w:rsidRDefault="00834874" w:rsidP="00834874" w:rsidR="00834874">
      <w:pPr>
        <w:spacing w:after="0"/>
        <w:jc w:val="center"/>
        <w:rPr>
          <w:rFonts w:cs="Times New Roman" w:eastAsia="Times New Roman"/>
          <w:lang w:eastAsia="hr-HR"/>
        </w:rPr>
      </w:pPr>
      <w:r>
        <w:rPr>
          <w:rFonts w:cs="Times New Roman" w:eastAsia="Times New Roman"/>
          <w:lang w:eastAsia="hr-HR"/>
        </w:rPr>
        <w:t>Obrazloženje</w:t>
      </w:r>
    </w:p>
    <w:p w:rsidRDefault="00834874" w:rsidP="00834874" w:rsidR="00834874">
      <w:pPr>
        <w:spacing w:after="0"/>
        <w:jc w:val="both"/>
        <w:rPr>
          <w:rFonts w:cs="Times New Roman" w:eastAsia="Times New Roman"/>
          <w:lang w:eastAsia="hr-HR"/>
        </w:rPr>
      </w:pPr>
    </w:p>
    <w:p w:rsidRDefault="00834874" w:rsidP="00834874" w:rsidR="00834874">
      <w:pPr>
        <w:spacing w:after="0"/>
        <w:ind w:firstLine="720"/>
        <w:jc w:val="both"/>
        <w:rPr>
          <w:rFonts w:cs="Times New Roman" w:eastAsia="Times New Roman"/>
          <w:lang w:eastAsia="hr-HR"/>
        </w:rPr>
      </w:pPr>
      <w:r>
        <w:rPr>
          <w:rFonts w:cs="Times New Roman" w:eastAsia="Times New Roman"/>
          <w:lang w:eastAsia="hr-HR"/>
        </w:rPr>
        <w:t>Trgovački sud u Zagrebu je rješenjem poslovni broj St-2557/2018 od 11. ožujka 2019. obustavio stečajni postupak nad dužnikom Marvin d.o.o., OIB 49589934994, Dugo Selo, Josipa Zorića 208 (točka I. izreke), naložio Financijskoj agenciji (dalje: FINA) u roku tri dana izdati nalog za oslobođenje sredstava zaplijenjenih po osnovi odredbe članka 112. stavka 1. Stečajnog zakona i omogućiti dužniku raspolaganje tim iznosom (točka II. izreke), odredio da se neće održati ročište vjerovnika za ispitivanje prijavljenih tražbina (ispitno ročište) određeno za 16. svibnja 2018. u 9,00 sati (točka III. izreke), niti ročište vjerovnika na kojem će se na temelju izvješća stečajnog upravitelja odlučivati o daljnjem tijeku stečajnog postupka (izvještajno ročište) određeno za 16. svibnja 2018. u 9:15 sati (točka IV. izreke).</w:t>
      </w:r>
    </w:p>
    <w:p w:rsidRDefault="00834874" w:rsidP="00834874" w:rsidR="00834874">
      <w:pPr>
        <w:spacing w:after="0"/>
        <w:jc w:val="both"/>
        <w:rPr>
          <w:rFonts w:cs="Times New Roman" w:eastAsia="Times New Roman"/>
          <w:lang w:eastAsia="hr-HR"/>
        </w:rPr>
      </w:pPr>
    </w:p>
    <w:p w:rsidRDefault="00834874" w:rsidP="00834874" w:rsidR="00834874">
      <w:pPr>
        <w:spacing w:after="0"/>
        <w:ind w:firstLine="720"/>
        <w:jc w:val="both"/>
        <w:rPr>
          <w:rFonts w:cs="Times New Roman" w:eastAsia="Times New Roman"/>
          <w:lang w:eastAsia="hr-HR"/>
        </w:rPr>
      </w:pPr>
      <w:r>
        <w:rPr>
          <w:rFonts w:cs="Times New Roman" w:eastAsia="Times New Roman"/>
          <w:lang w:eastAsia="hr-HR"/>
        </w:rPr>
        <w:lastRenderedPageBreak/>
        <w:t>U obrazloženju navedenog rješenja se u bitnome navodi kako je podneskom od 12. veljače 2019. FINA obavijestila sud da je posljednji dan blokade dužnika bio 17. siječnja 2019. (kojeg dana je ujedno stečajni postupak i otvoren), te da dužnik 12. veljače 2019. više nije u blokadi zbog čega je utvrđeno da je dužnik postao sposoban za plaćanje.</w:t>
      </w:r>
    </w:p>
    <w:p w:rsidRDefault="00834874" w:rsidP="00834874" w:rsidR="00834874">
      <w:pPr>
        <w:spacing w:after="0"/>
        <w:ind w:firstLine="720"/>
        <w:jc w:val="both"/>
        <w:rPr>
          <w:rFonts w:cs="Times New Roman" w:eastAsia="Times New Roman"/>
          <w:lang w:eastAsia="hr-HR"/>
        </w:rPr>
      </w:pPr>
      <w:r>
        <w:rPr>
          <w:rFonts w:cs="Times New Roman" w:eastAsia="Times New Roman"/>
          <w:lang w:eastAsia="hr-HR"/>
        </w:rPr>
        <w:t>Protiv navedenog rješenja FINA je izjavila žalbu zbog pogrešno utvrđenog činjeničnog stanja i pogrešne primjene materijalnog prava. Poziva se na podnesak (očitovanje) od 12. veljače 2019. u kojemu je u bitnome navedeno kako na dan izdavanja očitovanja dužnik ima aktivnih transakcijskih računa i ima nepodmirenih obveza. Poziva se i na odredbe članka 18. stavaka 3. i 7. Zakona o provedbi ovrhe na novčanim sredstvima („Narodne novine“ broj 68/18; dalje: ZPONS) u skladu s kojima dani blokade u konkretnom slučaju teku od 28. prosinca 2018. zbog čega je na dan donošenja pobijanog rješenja dužnik bio u blokadi 73 dana. Predlaže ukinuti pobijano rješenje i predmet vratiti prvostupanjskom sudu na ponovan postupak.</w:t>
      </w:r>
    </w:p>
    <w:p w:rsidRDefault="00834874" w:rsidP="00834874" w:rsidR="00834874">
      <w:pPr>
        <w:spacing w:after="0"/>
        <w:jc w:val="both"/>
        <w:rPr>
          <w:rFonts w:cs="Times New Roman" w:eastAsia="Times New Roman"/>
          <w:lang w:eastAsia="hr-HR"/>
        </w:rPr>
      </w:pPr>
    </w:p>
    <w:p w:rsidRDefault="00834874" w:rsidP="00834874" w:rsidR="00834874">
      <w:pPr>
        <w:spacing w:after="0"/>
        <w:ind w:firstLine="720"/>
        <w:jc w:val="both"/>
        <w:rPr>
          <w:rFonts w:cs="Times New Roman" w:eastAsia="Times New Roman"/>
          <w:lang w:eastAsia="hr-HR"/>
        </w:rPr>
      </w:pPr>
      <w:r>
        <w:rPr>
          <w:rFonts w:cs="Times New Roman" w:eastAsia="Times New Roman"/>
          <w:lang w:eastAsia="hr-HR"/>
        </w:rPr>
        <w:t>Žalba nije dopuštena u odnosu na točke III. i IV. izreke, a osnovana je u odnosu na točke I. i II. izreke.</w:t>
      </w:r>
    </w:p>
    <w:p w:rsidRDefault="00834874" w:rsidP="00834874" w:rsidR="00834874">
      <w:pPr>
        <w:spacing w:after="0"/>
        <w:jc w:val="both"/>
        <w:rPr>
          <w:rFonts w:cs="Times New Roman" w:eastAsia="Times New Roman"/>
          <w:lang w:eastAsia="hr-HR"/>
        </w:rPr>
      </w:pPr>
    </w:p>
    <w:p w:rsidRDefault="00834874" w:rsidP="00834874" w:rsidR="00834874">
      <w:pPr>
        <w:spacing w:after="0"/>
        <w:ind w:firstLine="720"/>
        <w:jc w:val="both"/>
        <w:rPr>
          <w:rFonts w:cs="Times New Roman" w:eastAsia="Times New Roman"/>
          <w:lang w:eastAsia="hr-HR"/>
        </w:rPr>
      </w:pPr>
      <w:r>
        <w:rPr>
          <w:rFonts w:cs="Times New Roman" w:eastAsia="Times New Roman"/>
          <w:lang w:eastAsia="hr-HR"/>
        </w:rPr>
        <w:t>Odredbom članka 18. stavka 1. SZ-a propisano je da odluke u stečajnom postupku sud donosi u obliku zaključka i rješenja. Zaključkom sud izdaje nalog službenoj osobi ili tijelu u postupku za obavljanje pojedinih radnji te odlučuje o upravljanju postupkom i o drugim pitanjima ako je to izrijekom određeno Stečajnim zakonom (članak 18. stavak 2. SZ-a). Protiv zaključka nije dopušten pravni lijek (članak 19. stavak 7. SZ-a).</w:t>
      </w:r>
    </w:p>
    <w:p w:rsidRDefault="00834874" w:rsidP="00834874" w:rsidR="00834874">
      <w:pPr>
        <w:spacing w:after="0"/>
        <w:jc w:val="both"/>
        <w:rPr>
          <w:rFonts w:cs="Times New Roman" w:eastAsia="Times New Roman"/>
          <w:lang w:eastAsia="hr-HR"/>
        </w:rPr>
      </w:pPr>
    </w:p>
    <w:p w:rsidRDefault="00834874" w:rsidP="00834874" w:rsidR="00834874">
      <w:pPr>
        <w:spacing w:after="0"/>
        <w:ind w:firstLine="720"/>
        <w:jc w:val="both"/>
        <w:rPr>
          <w:rFonts w:cs="Times New Roman" w:eastAsia="Times New Roman"/>
          <w:lang w:eastAsia="hr-HR"/>
        </w:rPr>
      </w:pPr>
      <w:r>
        <w:rPr>
          <w:rFonts w:cs="Times New Roman" w:eastAsia="Times New Roman"/>
          <w:lang w:eastAsia="hr-HR"/>
        </w:rPr>
        <w:t>U smislu odredbe članka 18. stavka 2. SZ-a, zaključkom (a ne rješenjem) se odlučuje o upravljanju postupkom, u konkretnom slučaju su to odluke iz točaka III. i IV. izreke o otkazivanu ispitnog i izvještajnog ročišta. Međutim, umjesto da o navedenim pitanjima odluči u obliku zaključka, prvostupanjski sud je o tome pogrešno odlučio u obliku rješenja. U slučaju kada je sud pogrešno u obliku rješenja donio odluku koja se donosi u obliku zaključka, kao u konkretnom slučaju, protiv takve odluke žalba nije dopuštena jer se dopuštenost žalbe procjenjuje kao da je odluka pravilno donesena u obliku zaključka. Zbog toga je, na temelju odredbe članka 367. stavka 1. ZPP-a u vezi s odredbama članka 10. i članka 19. stavka 7. ZPP-a, valjalo odbaciti žalbu protiv točaka III. i IV. izreke pobijanog rješenja (točka I. izreke ovog rješenja).</w:t>
      </w:r>
    </w:p>
    <w:p w:rsidRDefault="00834874" w:rsidP="00834874" w:rsidR="00834874">
      <w:pPr>
        <w:spacing w:after="0"/>
        <w:jc w:val="both"/>
        <w:rPr>
          <w:rFonts w:cs="Times New Roman" w:eastAsia="Times New Roman"/>
          <w:lang w:eastAsia="hr-HR"/>
        </w:rPr>
      </w:pPr>
    </w:p>
    <w:p w:rsidRDefault="00834874" w:rsidP="00834874" w:rsidR="00834874">
      <w:pPr>
        <w:spacing w:after="0"/>
        <w:jc w:val="both"/>
        <w:rPr>
          <w:rFonts w:cs="Times New Roman" w:eastAsia="Times New Roman"/>
          <w:lang w:eastAsia="hr-HR"/>
        </w:rPr>
      </w:pPr>
      <w:r>
        <w:rPr>
          <w:rFonts w:cs="Times New Roman" w:eastAsia="Times New Roman"/>
          <w:lang w:eastAsia="hr-HR"/>
        </w:rPr>
        <w:tab/>
        <w:t>Ispitavši pobijano rješenje u točkama I. i II. izreke na temelju odredaba članka 365. Zakona o parničnom postupku („Narodne novine“ broj: 53/91, 91/92, 58/93, 112/99, 88/01, 117/03, 88/05, 2/07, 84/08, 96/08, 123/08, 57/11, 25/13, 28/13 i 89/14, dalje: ZPP) u vezi s odredbama članka 381. ZPP-a i članka 10. SZ-a, u granicama žalbenih razloga te pazeći po službenoj dužnosti na bitne povrede odredaba postupka iz članka 354. stavka 2. točaka 2., 4., 8., 9., 11., 13. i 14. ZPP-a i pravilnu primjenu materijalnog prava, ovaj sud je utvrdio da ono nije pravilno niti zakonito.</w:t>
      </w:r>
    </w:p>
    <w:p w:rsidRDefault="00834874" w:rsidP="00834874" w:rsidR="00834874">
      <w:pPr>
        <w:spacing w:after="0"/>
        <w:jc w:val="both"/>
        <w:rPr>
          <w:rFonts w:cs="Times New Roman" w:eastAsia="Times New Roman"/>
          <w:lang w:eastAsia="hr-HR"/>
        </w:rPr>
      </w:pPr>
    </w:p>
    <w:p w:rsidRDefault="00834874" w:rsidP="00834874" w:rsidR="00834874">
      <w:pPr>
        <w:spacing w:after="0"/>
        <w:ind w:firstLine="720"/>
        <w:jc w:val="both"/>
        <w:rPr>
          <w:rFonts w:cs="Times New Roman" w:eastAsia="Times New Roman"/>
          <w:lang w:eastAsia="hr-HR"/>
        </w:rPr>
      </w:pPr>
      <w:r>
        <w:rPr>
          <w:rFonts w:cs="Times New Roman" w:eastAsia="Times New Roman"/>
          <w:lang w:eastAsia="hr-HR"/>
        </w:rPr>
        <w:t>Osnovano ističe žalitelj kako je u ponovnom postupku (nakon što je rješenjem poslovni broj Pž-1210/2019 od 27. veljače 2019. ovaj sud ukinuo rješenje prvostupanjskog suda od 17. siječnja 2019. o otvaranju stečajnog postupka nad dužnikom i predmet vratio prvostupanjskom sudu na ponovan postupak), prvostupanjski sud pogrešno utvrdio da je dužnik postao sposoban za plaćanje.</w:t>
      </w:r>
    </w:p>
    <w:p w:rsidRDefault="00834874" w:rsidP="00834874" w:rsidR="00834874">
      <w:pPr>
        <w:spacing w:after="0"/>
        <w:jc w:val="both"/>
        <w:rPr>
          <w:rFonts w:cs="Times New Roman" w:eastAsia="Times New Roman"/>
          <w:lang w:eastAsia="hr-HR"/>
        </w:rPr>
      </w:pPr>
    </w:p>
    <w:p w:rsidRDefault="00834874" w:rsidP="00834874" w:rsidR="00834874">
      <w:pPr>
        <w:spacing w:after="0"/>
        <w:ind w:firstLine="720"/>
        <w:jc w:val="both"/>
        <w:rPr>
          <w:rFonts w:cs="Times New Roman" w:eastAsia="Times New Roman"/>
          <w:lang w:eastAsia="hr-HR"/>
        </w:rPr>
      </w:pPr>
      <w:r>
        <w:rPr>
          <w:rFonts w:cs="Times New Roman" w:eastAsia="Times New Roman"/>
          <w:lang w:eastAsia="hr-HR"/>
        </w:rPr>
        <w:t xml:space="preserve">Odredbom članka 5. stavka 1. SZ-a propisano je da se stečajni postupak može otvoriti ako sud utvrdi postojanje stečajnoga razloga. Stečajni razlozi su nesposobnost za plaćanje i </w:t>
      </w:r>
      <w:r>
        <w:rPr>
          <w:rFonts w:cs="Times New Roman" w:eastAsia="Times New Roman"/>
          <w:lang w:eastAsia="hr-HR"/>
        </w:rPr>
        <w:lastRenderedPageBreak/>
        <w:t>prezaduženost (članak 5. stavak 2. SZ-a). Nesposobnost za plaćanje postoji ako dužnik ne može trajnije ispunjavati svoje dospjele novčane obveze. Okolnost da je dužnik namirio ili da može namiriti u cijelosti ili djelomično tražbine nekih vjerovnika ne znači da je sposoban za plaćanje (članak 6. stavak 1. SZ-a). Smatrat će se da je dužnik nesposoban za plaćanje ako u Očevidniku redoslijeda osnova za plaćanje koji vodi FINA ima jednu ili više evidentiranih neizvršenih osnova za plaćanje u razdoblju dužem od 60 dana koje je trebalo, na temelju valjanih osnova za plaćanje, bez daljnjeg pristanka dužnika naplatiti s bilo kojeg od njegovih računa (članak 6. stavak 2. paragraf 1. SZ-a). Odredba članka 6. stavka 2. SZ-a neće se primijeniti ako dužnik tijekom prethodnoga postupka namiri sve tražbine koje je na temelju valjanih osnova za plaćanje trebalo naplatiti sa svih njegovih računa ili ako dođe do pristupanja dugu. Namirenje tražbina dužnik može dokazivati samo javnom ili javnoovjerovljenom ispravom ili potvrdom FINA-e (članak 6. stavak 3. SZ-a).</w:t>
      </w:r>
    </w:p>
    <w:p w:rsidRDefault="00834874" w:rsidP="00834874" w:rsidR="00834874">
      <w:pPr>
        <w:spacing w:after="0"/>
        <w:jc w:val="both"/>
        <w:rPr>
          <w:rFonts w:cs="Times New Roman" w:eastAsia="Times New Roman"/>
          <w:lang w:eastAsia="hr-HR"/>
        </w:rPr>
      </w:pPr>
    </w:p>
    <w:p w:rsidRDefault="00834874" w:rsidP="00834874" w:rsidR="00834874">
      <w:pPr>
        <w:spacing w:after="0"/>
        <w:ind w:firstLine="720"/>
        <w:jc w:val="both"/>
        <w:rPr>
          <w:rFonts w:cs="Times New Roman" w:eastAsia="Times New Roman"/>
          <w:lang w:eastAsia="hr-HR"/>
        </w:rPr>
      </w:pPr>
      <w:r>
        <w:rPr>
          <w:rFonts w:cs="Times New Roman" w:eastAsia="Times New Roman"/>
          <w:lang w:eastAsia="hr-HR"/>
        </w:rPr>
        <w:t>U konkretnom slučaju prvostupanjski sud je utvrdio kako je dužnik postao sposoban za plaćanje na temelju podneska i potvrde FINA-e od 12. veljače 2019. (list 36.-37. spisa). Međutim, prilikom odlučivanja o navedenoj odlučnoj činjenici prvostupanjski sud je propustio primijeniti odredbe članka 18. stavaka 3. i 7. ZPONS-a kao što to osnovano ističe žalitelj. Naime, odredbom članka 18. stavka 3. ZPONS-a propisano je da na temelju rješenja o otvaranju stečajnog postupka u stečajnom postupku nad stečajnim dužnikom Agencija prestaje s izvršavanjem osnova za plaćanje koje su upisane u Očevidnik i pohranjuje ih, a naknadno zaprimljene osnove za plaćanje ne izvršava već ih vraća donositelju odnosno podnositelju uz obrazloženje razloga vraćanja. Iznimno, Agencija izvršava osnovu za plaćanje koja je donesena nakon otvaranja stečajnog postupka ako se ovrha provodi na novčanim sredstvima stečajne mase dužnika. U slučaju iz članka 18. stavka 3. ZPONS-a Agencija u Jedinstvenom registru računa stavlja oznaku stečaja na sve račune ovršenika, a na računima otvorenim prije otvaranja stečajnog postupka za vrijeme trajanja stečajnog postupka ostaje upisana oznaka blokade računa. Ako dužnik pojedinac otvori račun u banci nakon otvaranja stečajnog postupka, Agencija će banci dati nalog za blokadu tog računa, osim ako je račun dužnik pojedinac otvorio uz suglasnost stečajnog upravitelja odnosno suda (članak 18. stavak 4. ZPONS-a). Ako Agencija zaprimi rješenje kojim se ukida rješenje o otvaranju stečajnog postupka ili rješenje o obustavi stečajnog postupka koje je doneseno iz razloga koji ne dovode do brisanja iz odgovarajućeg registra, Agencija će osnove za plaćanje iz stavka 3. toga članka ponovno započeti izvršavati onim redoslijedom kojim su bile upisane u Očevidnik prije otvaranja stečajnog postupka i nastaviti s provedbom ovrhe sukladno odredbama Zakona o provedbi ovrhe na novčanim sredstvima.</w:t>
      </w:r>
    </w:p>
    <w:p w:rsidRDefault="00834874" w:rsidP="00834874" w:rsidR="00834874">
      <w:pPr>
        <w:spacing w:after="0"/>
        <w:jc w:val="both"/>
        <w:rPr>
          <w:rFonts w:cs="Times New Roman" w:eastAsia="Times New Roman"/>
          <w:lang w:eastAsia="hr-HR"/>
        </w:rPr>
      </w:pPr>
    </w:p>
    <w:p w:rsidRDefault="00834874" w:rsidP="00834874" w:rsidR="00834874">
      <w:pPr>
        <w:spacing w:after="0"/>
        <w:ind w:firstLine="720"/>
        <w:jc w:val="both"/>
        <w:rPr>
          <w:rFonts w:cs="Times New Roman" w:eastAsia="Times New Roman"/>
          <w:lang w:eastAsia="hr-HR"/>
        </w:rPr>
      </w:pPr>
      <w:r>
        <w:rPr>
          <w:rFonts w:cs="Times New Roman" w:eastAsia="Times New Roman"/>
          <w:lang w:eastAsia="hr-HR"/>
        </w:rPr>
        <w:t>Dakle, u trenutku otvaranja stečajnog postupka nad dužnikom (17. siječnja 2019.), FINA je u skladu s odredbom članka 18. stavka 3. ZPONS-a prestala s izvršavanjem osnova za plaćanje koje su upisane u Očevidnik te su se prestali brojati dani blokade upravo zbog činjenice otvaranja stečajnoga postupka, a ne zbog činjenice da dužnik više nema neizvršenih osnova za plaćanje u Očevidniku (koju činjenicu je, u skladu s odredbom članka 6. stavaka 3. SZ-a, dužan dokazati dužnik javnom ili javno ovjerovljenom ispravom ili potvrdom FINA-e). Navedeno je FINA navela i u svom podnesku od 12. veljače 2019., na koji se prvostupanjski sud poziva u obrazloženju pobijanog rješenja, u bitnome navodeći kako na dan 12. veljače 2019. dužnik ima aktivnih transakcijskih računa i ima nepodmirenih obveza, te da je FINA postupila po rješenju o otvaranju stečajnog postupka zbog čega se sve osnove koje su se u trenutku otvaranja stečajnoga postupka nalazile u Očevidniku redoslijeda plaćanja prestaju izvršavati i pohranjuju se, a dužniku se prestaju brojati dani blokade, što je, međutim, prvostupanjski sud propustio utvrditi.</w:t>
      </w:r>
    </w:p>
    <w:p w:rsidRDefault="00834874" w:rsidP="00834874" w:rsidR="00834874">
      <w:pPr>
        <w:spacing w:after="0"/>
        <w:ind w:firstLine="720"/>
        <w:jc w:val="both"/>
        <w:rPr>
          <w:rFonts w:cs="Times New Roman" w:eastAsia="Times New Roman"/>
          <w:lang w:eastAsia="hr-HR"/>
        </w:rPr>
      </w:pPr>
      <w:r>
        <w:rPr>
          <w:rFonts w:cs="Times New Roman" w:eastAsia="Times New Roman"/>
          <w:lang w:eastAsia="hr-HR"/>
        </w:rPr>
        <w:lastRenderedPageBreak/>
        <w:t>Nadalje, nakon što je FINA primila rješenje ovoga suda od 27. veljače 2019. o ukidanju rješenja o otvaranju stečajnoga postupka nad dužnikom, FINA je, u skladu s odredbama članka 18. stavka 7. ZPONS-a, osnove za plaćanje iz članka 18. stavka 3. ZPONS ponovno započela izvršavati onim redoslijedom kojim su bile upisane u Očevidnik prije otvaranja stečajnog postupka i nastavila je s provedbom ovrhe zbog čega su dani blokade nastavili teći i neprekidno teku, kao što to proizlazi iz potvrde FINA-e od 12. veljače 2019., od 28. prosinca 2018., kao što to osnovano ističe žalitelj.</w:t>
      </w:r>
    </w:p>
    <w:p w:rsidRDefault="00834874" w:rsidP="00834874" w:rsidR="00834874">
      <w:pPr>
        <w:spacing w:after="0"/>
        <w:ind w:firstLine="720"/>
        <w:jc w:val="both"/>
        <w:rPr>
          <w:rFonts w:cs="Times New Roman" w:eastAsia="Times New Roman"/>
          <w:lang w:eastAsia="hr-HR"/>
        </w:rPr>
      </w:pPr>
    </w:p>
    <w:p w:rsidRDefault="00834874" w:rsidP="00834874" w:rsidR="00834874">
      <w:pPr>
        <w:spacing w:after="0"/>
        <w:ind w:firstLine="720"/>
        <w:jc w:val="both"/>
        <w:rPr>
          <w:rFonts w:cs="Times New Roman" w:eastAsia="Times New Roman"/>
          <w:lang w:eastAsia="hr-HR"/>
        </w:rPr>
      </w:pPr>
      <w:r>
        <w:rPr>
          <w:rFonts w:cs="Times New Roman" w:eastAsia="Times New Roman"/>
          <w:lang w:eastAsia="hr-HR"/>
        </w:rPr>
        <w:t>Osim toga, odluka o predujmu za namirenje troškova stečajnog postupka iz točke II. izreke pobijanog rješenja ovisi o daljnjem tijeku stečajnog postupka nad dužnikom. Odredbama članka 112. SZ-a propisan je način postupanja FINA-e i suda glede predujma za namirenje troškova stečajnoga postupka. Tako je odredbom članka 112. stavka 4. SZ-a propisano da će nakon izvršenja svih neizvršenih osnova za plaćanje FINA izdati nalog za oslobođenje sredstava zaplijenjenih prema odredbi stavka 1. toga članka i omogućiti dužniku raspolaganje. Odredbom članka 112. stavka 6. SZ-a propisano je da će rješenjem o otvaranju stečajnoga postupka nad dužnikom pravnom osobom sud naložiti FINA-i da naloži banci prijenos zaplijenjenoga iznosa predujma na račun suda i obustavi daljnju pljenidbu do iznosa iz stavka 1. toga članka ako iznos predujma nije zaplijenjen u cijelosti, dok je odredbom članka 112. stavka 7. SZ-a propisano da ako sud odbaci ili odbije prijedlog za otvaranje stečajnoga postupka, rješenjem o odbacivanju odnosno odbijanju naložit će FINA-i da oslobodi sredstva zaplijenjena na temelju stavka 1. toga članka.</w:t>
      </w:r>
    </w:p>
    <w:p w:rsidRDefault="00834874" w:rsidP="00834874" w:rsidR="00834874">
      <w:pPr>
        <w:spacing w:after="0"/>
        <w:ind w:firstLine="720"/>
        <w:jc w:val="both"/>
        <w:rPr>
          <w:rFonts w:cs="Times New Roman" w:eastAsia="Times New Roman"/>
          <w:lang w:eastAsia="hr-HR"/>
        </w:rPr>
      </w:pPr>
    </w:p>
    <w:p w:rsidRDefault="00834874" w:rsidP="00834874" w:rsidR="00834874">
      <w:pPr>
        <w:spacing w:after="0"/>
        <w:ind w:firstLine="720"/>
        <w:jc w:val="both"/>
        <w:rPr>
          <w:rFonts w:cs="Times New Roman" w:eastAsia="Times New Roman"/>
          <w:lang w:eastAsia="hr-HR"/>
        </w:rPr>
      </w:pPr>
      <w:r>
        <w:rPr>
          <w:rFonts w:cs="Times New Roman" w:eastAsia="Times New Roman"/>
          <w:lang w:eastAsia="hr-HR"/>
        </w:rPr>
        <w:t>Uzevši u obzir navedeno valjalo je, na temelju odredbe članka 380. točke 3. ZPP-a u vezi s odredbom članka 10. SZ-a, uvažiti žalbu, ukinuti prvostupanjsko rješenje u točkama I. i II. izreke i u tom dijelu predmet vratiti prvostupanjskom sudu na ponovan postupak.</w:t>
      </w:r>
    </w:p>
    <w:p w:rsidRDefault="00834874" w:rsidP="00834874" w:rsidR="00834874">
      <w:pPr>
        <w:spacing w:after="0"/>
        <w:jc w:val="both"/>
        <w:rPr>
          <w:rFonts w:cs="Times New Roman" w:eastAsia="Times New Roman"/>
          <w:lang w:eastAsia="hr-HR"/>
        </w:rPr>
      </w:pPr>
    </w:p>
    <w:p w:rsidRDefault="00834874" w:rsidP="00834874" w:rsidR="00834874">
      <w:pPr>
        <w:spacing w:after="0"/>
        <w:ind w:firstLine="720"/>
        <w:jc w:val="both"/>
        <w:rPr>
          <w:rFonts w:cs="Times New Roman" w:eastAsia="Times New Roman"/>
          <w:lang w:eastAsia="hr-HR"/>
        </w:rPr>
      </w:pPr>
      <w:r>
        <w:rPr>
          <w:rFonts w:cs="Times New Roman" w:eastAsia="Times New Roman"/>
          <w:lang w:eastAsia="hr-HR"/>
        </w:rPr>
        <w:t>U ponovnom postupku prvostupanjski sud će, uzevši u obzir navedeno, na temelju odredaba članka 11. stavka 3. SZ-a, zatražiti od FINA-e novu potvrdu iz članka 6. stavka 4. SZ-a kako bi utvrdio jesu li u konkretnom slučaju ispunjene pretpostavke za primjenu zakonske presumpcije nesposobnosti za plaćanje iz članka 6. stavka 2. paragraf 1. SZ-a, na koju se poziva predlagatelj. Nakon toga će ponovno utvrditi postoji li stečajni razlog nesposobnosti za plaćanje u smislu odredaba članka 6. stavaka 1. i 2. SZ-a, vodeći pri tome računa kako u smislu odredbe članka 6. stavka 1. SZ-a nesposobnost za plaćanje postoji ako dužnik ne može trajnije ispunjavati svoje dospjele novčane obveze. Ovisno o daljnjem tijeku stečajnoga postupka, prvostupanjski sud će donijeti i novu odluku o predujmu za namirenje troškova stečajnoga postupka u skladu s odredbama članka 112. SZ-a.</w:t>
      </w:r>
    </w:p>
    <w:p w:rsidRDefault="00834874" w:rsidP="00834874" w:rsidR="00834874">
      <w:pPr>
        <w:spacing w:after="0"/>
        <w:jc w:val="both"/>
        <w:rPr>
          <w:rFonts w:cs="Times New Roman" w:eastAsia="Times New Roman"/>
          <w:lang w:eastAsia="hr-HR"/>
        </w:rPr>
      </w:pPr>
    </w:p>
    <w:p w:rsidRDefault="00834874" w:rsidP="00834874" w:rsidR="00834874">
      <w:pPr>
        <w:spacing w:after="0"/>
        <w:jc w:val="center"/>
        <w:rPr>
          <w:rFonts w:cs="Times New Roman" w:eastAsia="Times New Roman"/>
          <w:lang w:eastAsia="hr-HR"/>
        </w:rPr>
      </w:pPr>
      <w:r>
        <w:rPr>
          <w:rFonts w:cs="Times New Roman" w:eastAsia="Times New Roman"/>
          <w:lang w:eastAsia="hr-HR"/>
        </w:rPr>
        <w:t>Zagreb, 27. ožujka 2019.</w:t>
      </w:r>
    </w:p>
    <w:p w:rsidRDefault="00834874" w:rsidP="00834874" w:rsidR="00834874">
      <w:pPr>
        <w:spacing w:after="0"/>
        <w:jc w:val="both"/>
        <w:rPr>
          <w:rFonts w:cs="Times New Roman" w:eastAsia="Times New Roman"/>
          <w:lang w:eastAsia="hr-HR"/>
        </w:rPr>
      </w:pPr>
    </w:p>
    <w:p w:rsidRDefault="00834874" w:rsidP="00834874" w:rsidR="00834874">
      <w:pPr>
        <w:pStyle w:val="Bezproreda"/>
        <w:ind w:left="4536"/>
        <w:jc w:val="center"/>
      </w:pPr>
      <w:r>
        <w:t>Predsjednik vijeća</w:t>
      </w:r>
    </w:p>
    <w:p w:rsidRDefault="00834874" w:rsidP="00834874" w:rsidR="00834874">
      <w:pPr>
        <w:pStyle w:val="Bezproreda"/>
        <w:ind w:left="4536"/>
        <w:jc w:val="center"/>
      </w:pPr>
      <w:r>
        <w:t>Jagoda Crnokrak, v. r.</w:t>
      </w:r>
    </w:p>
    <w:p w:rsidRDefault="00834874" w:rsidP="00834874" w:rsidR="00834874">
      <w:pPr>
        <w:pStyle w:val="Bezproreda"/>
        <w:ind w:left="4536"/>
        <w:jc w:val="center"/>
      </w:pPr>
    </w:p>
    <w:p w:rsidRDefault="00834874" w:rsidP="00834874" w:rsidR="00834874">
      <w:pPr>
        <w:pStyle w:val="Bezproreda"/>
        <w:ind w:firstLine="4536"/>
        <w:jc w:val="center"/>
      </w:pPr>
      <w:r>
        <w:t>Za točnost otpravka – ovlašteni službenik</w:t>
      </w:r>
    </w:p>
    <w:p w:rsidRDefault="00834874" w:rsidP="00834874" w:rsidR="00834874">
      <w:pPr>
        <w:pStyle w:val="Bezproreda"/>
        <w:ind w:firstLine="4536"/>
        <w:jc w:val="center"/>
      </w:pPr>
      <w:r>
        <w:t>Brankica Curman</w:t>
      </w:r>
    </w:p>
    <w:p w:rsidRDefault="00F867E4" w:rsidR="00F867E4"/>
    <w:sectPr w:rsidR="00F867E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4874"/>
    <w:rsid w:val="00834874"/>
    <w:rsid w:val="00844A74"/>
    <w:rsid w:val="008B2D79"/>
    <w:rsid w:val="008C42FC"/>
    <w:rsid w:val="00D8622D"/>
    <w:rsid w:val="00F867E4"/>
    <w:rsid w:val="00F920F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34874"/>
    <w:pPr>
      <w:spacing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834874"/>
    <w:pPr>
      <w:spacing w:after="240"/>
      <w:contextualSpacing/>
    </w:pPr>
    <w:rPr>
      <w:rFonts w:cs="Times New Roman" w:eastAsia="Times New Roman"/>
      <w:szCs w:val="24"/>
      <w:lang w:eastAsia="hr-HR"/>
    </w:rPr>
  </w:style>
  <w:style w:customStyle="true" w:styleId="SudNaziv" w:type="paragraph">
    <w:name w:val="Sud_Naziv"/>
    <w:basedOn w:val="Normal"/>
    <w:rsid w:val="00834874"/>
    <w:pPr>
      <w:spacing w:after="0"/>
    </w:pPr>
    <w:rPr>
      <w:b/>
      <w:noProof/>
    </w:rPr>
  </w:style>
  <w:style w:customStyle="true" w:styleId="SudSjedite" w:type="paragraph">
    <w:name w:val="Sud_Sjedište"/>
    <w:basedOn w:val="Bezproreda"/>
    <w:rsid w:val="00834874"/>
    <w:pPr>
      <w:tabs>
        <w:tab w:pos="7088" w:val="left"/>
      </w:tabs>
      <w:spacing w:after="0"/>
    </w:pPr>
    <w:rPr>
      <w:noProof/>
    </w:rPr>
  </w:style>
  <w:style w:customStyle="true" w:styleId="HeadereSPIS" w:type="paragraph">
    <w:name w:val="Header_eSPIS"/>
    <w:basedOn w:val="Normal"/>
    <w:autoRedefine/>
    <w:qFormat/>
    <w:rsid w:val="00834874"/>
    <w:pPr>
      <w:spacing w:after="0"/>
      <w:jc w:val="right"/>
    </w:pPr>
    <w:rPr>
      <w:rFonts w:eastAsia="Times New Roman"/>
      <w:lang w:eastAsia="hr-HR"/>
    </w:rPr>
  </w:style>
  <w:style w:customStyle="true" w:styleId="PozadinaSvijetloCrvena" w:type="character">
    <w:name w:val="Pozadina_SvijetloCrvena"/>
    <w:basedOn w:val="Zadanifontodlomka"/>
    <w:uiPriority w:val="3"/>
    <w:rsid w:val="00834874"/>
    <w:rPr>
      <w:noProof/>
      <w:bdr w:frame="true" w:space="0" w:sz="0" w:color="auto" w:val="none"/>
      <w:shd w:fill="FFCCCC" w:color="auto" w:val="clear"/>
      <w:lang w:val="hr-HR"/>
    </w:rPr>
  </w:style>
  <w:style w:customStyle="true" w:styleId="PozadinaSvijetloZelena" w:type="character">
    <w:name w:val="Pozadina_SvijetloZelena"/>
    <w:basedOn w:val="Zadanifontodlomka"/>
    <w:rsid w:val="00834874"/>
    <w:rPr>
      <w:noProof/>
      <w:bdr w:frame="true" w:space="0" w:sz="0" w:color="auto" w:val="none"/>
      <w:shd w:fill="CCFFCC" w:color="auto" w:val="clear"/>
      <w:lang w:val="hr-HR"/>
    </w:rPr>
  </w:style>
  <w:style w:customStyle="true" w:styleId="PozadinaSvijetloZuta" w:type="character">
    <w:name w:val="Pozadina_SvijetloZuta"/>
    <w:basedOn w:val="Zadanifontodlomka"/>
    <w:uiPriority w:val="3"/>
    <w:rsid w:val="00834874"/>
    <w:rPr>
      <w:noProof/>
      <w:bdr w:frame="true" w:space="0" w:sz="0" w:color="auto" w:val="none"/>
      <w:shd w:fill="FFFFCC" w:color="auto" w:val="clear"/>
      <w:lang w:val="hr-HR"/>
    </w:rPr>
  </w:style>
  <w:style w:styleId="Tekstbalonia" w:type="paragraph">
    <w:name w:val="Balloon Text"/>
    <w:basedOn w:val="Normal"/>
    <w:link w:val="TekstbaloniaChar"/>
    <w:uiPriority w:val="99"/>
    <w:semiHidden/>
    <w:unhideWhenUsed/>
    <w:rsid w:val="00834874"/>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34874"/>
    <w:rPr>
      <w:rFonts w:cs="Tahoma" w:hAnsi="Tahoma" w:ascii="Tahoma"/>
      <w:sz w:val="16"/>
      <w:szCs w:val="16"/>
    </w:rPr>
  </w:style>
  <w:style w:styleId="Tekstrezerviranogmjesta" w:type="character">
    <w:name w:val="Placeholder Text"/>
    <w:basedOn w:val="Zadanifontodlomka"/>
    <w:uiPriority w:val="99"/>
    <w:semiHidden/>
    <w:rsid w:val="008C42FC"/>
    <w:rPr>
      <w:color w:val="808080"/>
      <w:bdr w:space="0" w:sz="0" w:color="auto" w:val="none"/>
      <w:shd w:fill="auto" w:color="auto" w:val="clear"/>
    </w:rPr>
  </w:style>
  <w:style w:customStyle="true" w:styleId="eSPISCCParagraphDefaultFont" w:type="character">
    <w:name w:val="eSPIS_CC_Paragraph Default Font"/>
    <w:basedOn w:val="PozadinaSvijetloZelena"/>
    <w:rsid w:val="008C42FC"/>
    <w:rPr>
      <w:rFonts w:cs="Times New Roman" w:hAnsi="Times New Roman" w:ascii="Times New Roman"/>
      <w:noProof/>
      <w:sz w:val="24"/>
      <w:bdr w:space="0" w:sz="0" w:color="auto" w:val="none"/>
      <w:shd w:fill="auto"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34874"/>
    <w:pPr>
      <w:spacing w:after="240"/>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834874"/>
    <w:pPr>
      <w:spacing w:after="240"/>
      <w:contextualSpacing/>
    </w:pPr>
    <w:rPr>
      <w:rFonts w:cs="Times New Roman" w:eastAsia="Times New Roman"/>
      <w:szCs w:val="24"/>
      <w:lang w:eastAsia="hr-HR"/>
    </w:rPr>
  </w:style>
  <w:style w:customStyle="1" w:styleId="SudNaziv" w:type="paragraph">
    <w:name w:val="Sud_Naziv"/>
    <w:basedOn w:val="Normal"/>
    <w:rsid w:val="00834874"/>
    <w:pPr>
      <w:spacing w:after="0"/>
    </w:pPr>
    <w:rPr>
      <w:b/>
      <w:noProof/>
    </w:rPr>
  </w:style>
  <w:style w:customStyle="1" w:styleId="SudSjedite" w:type="paragraph">
    <w:name w:val="Sud_Sjedište"/>
    <w:basedOn w:val="Bezproreda"/>
    <w:rsid w:val="00834874"/>
    <w:pPr>
      <w:tabs>
        <w:tab w:pos="7088" w:val="left"/>
      </w:tabs>
      <w:spacing w:after="0"/>
    </w:pPr>
    <w:rPr>
      <w:noProof/>
    </w:rPr>
  </w:style>
  <w:style w:customStyle="1" w:styleId="HeadereSPIS" w:type="paragraph">
    <w:name w:val="Header_eSPIS"/>
    <w:basedOn w:val="Normal"/>
    <w:autoRedefine/>
    <w:qFormat/>
    <w:rsid w:val="00834874"/>
    <w:pPr>
      <w:spacing w:after="0"/>
      <w:jc w:val="right"/>
    </w:pPr>
    <w:rPr>
      <w:rFonts w:eastAsia="Times New Roman"/>
      <w:lang w:eastAsia="hr-HR"/>
    </w:rPr>
  </w:style>
  <w:style w:customStyle="1" w:styleId="PozadinaSvijetloCrvena" w:type="character">
    <w:name w:val="Pozadina_SvijetloCrvena"/>
    <w:basedOn w:val="Zadanifontodlomka"/>
    <w:uiPriority w:val="3"/>
    <w:rsid w:val="00834874"/>
    <w:rPr>
      <w:noProof/>
      <w:bdr w:color="auto" w:frame="1" w:space="0" w:sz="0" w:val="none"/>
      <w:shd w:color="auto" w:fill="FFCCCC" w:val="clear"/>
      <w:lang w:val="hr-HR"/>
    </w:rPr>
  </w:style>
  <w:style w:customStyle="1" w:styleId="PozadinaSvijetloZelena" w:type="character">
    <w:name w:val="Pozadina_SvijetloZelena"/>
    <w:basedOn w:val="Zadanifontodlomka"/>
    <w:rsid w:val="00834874"/>
    <w:rPr>
      <w:noProof/>
      <w:bdr w:color="auto" w:frame="1" w:space="0" w:sz="0" w:val="none"/>
      <w:shd w:color="auto" w:fill="CCFFCC" w:val="clear"/>
      <w:lang w:val="hr-HR"/>
    </w:rPr>
  </w:style>
  <w:style w:customStyle="1" w:styleId="PozadinaSvijetloZuta" w:type="character">
    <w:name w:val="Pozadina_SvijetloZuta"/>
    <w:basedOn w:val="Zadanifontodlomka"/>
    <w:uiPriority w:val="3"/>
    <w:rsid w:val="00834874"/>
    <w:rPr>
      <w:noProof/>
      <w:bdr w:color="auto" w:frame="1" w:space="0" w:sz="0" w:val="none"/>
      <w:shd w:color="auto" w:fill="FFFFCC" w:val="clear"/>
      <w:lang w:val="hr-HR"/>
    </w:rPr>
  </w:style>
  <w:style w:styleId="Tekstbalonia" w:type="paragraph">
    <w:name w:val="Balloon Text"/>
    <w:basedOn w:val="Normal"/>
    <w:link w:val="TekstbaloniaChar"/>
    <w:uiPriority w:val="99"/>
    <w:semiHidden/>
    <w:unhideWhenUsed/>
    <w:rsid w:val="00834874"/>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834874"/>
    <w:rPr>
      <w:rFonts w:ascii="Tahoma" w:cs="Tahoma" w:hAnsi="Tahoma"/>
      <w:sz w:val="16"/>
      <w:szCs w:val="16"/>
    </w:rPr>
  </w:style>
  <w:style w:styleId="Tekstrezerviranogmjesta" w:type="character">
    <w:name w:val="Placeholder Text"/>
    <w:basedOn w:val="Zadanifontodlomka"/>
    <w:uiPriority w:val="99"/>
    <w:semiHidden/>
    <w:rsid w:val="008C42FC"/>
    <w:rPr>
      <w:color w:val="808080"/>
      <w:bdr w:color="auto" w:space="0" w:sz="0" w:val="none"/>
      <w:shd w:color="auto" w:fill="auto" w:val="clear"/>
    </w:rPr>
  </w:style>
  <w:style w:customStyle="1" w:styleId="eSPISCCParagraphDefaultFont" w:type="character">
    <w:name w:val="eSPIS_CC_Paragraph Default Font"/>
    <w:basedOn w:val="PozadinaSvijetloZelena"/>
    <w:rsid w:val="008C42FC"/>
    <w:rPr>
      <w:rFonts w:ascii="Times New Roman" w:cs="Times New Roman" w:hAnsi="Times New Roman"/>
      <w:noProof/>
      <w:sz w:val="24"/>
      <w:bdr w:color="auto" w:space="0" w:sz="0" w:val="none"/>
      <w:shd w:color="auto" w:fill="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73993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glossaryDocument" Target="glossary/document.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DA2D534FBE17475F96998C1B87C255D4"/>
        <w:category>
          <w:name w:val="Općenito"/>
          <w:gallery w:val="placeholder"/>
        </w:category>
        <w:types>
          <w:type w:val="bbPlcHdr"/>
        </w:types>
        <w:behaviors>
          <w:behavior w:val="content"/>
        </w:behaviors>
        <w:guid w:val="{CCCF86D8-6088-4784-B676-B5C72B8A9C5A}"/>
      </w:docPartPr>
      <w:docPartBody>
        <w:p w:rsidRDefault="00364265" w:rsidP="00364265" w:rsidR="00D2216F">
          <w:pPr>
            <w:pStyle w:val="DA2D534FBE17475F96998C1B87C255D4"/>
          </w:pPr>
          <w:r>
            <w:rPr>
              <w:rStyle w:val="Tekstrezerviranogmjesta"/>
              <w:bdr w:frame="true" w:space="0" w:sz="0" w:color="auto" w:val="none"/>
            </w:rPr>
            <w:t>Click here to enter text.</w:t>
          </w:r>
        </w:p>
      </w:docPartBody>
    </w:docPart>
    <w:docPart>
      <w:docPartPr>
        <w:name w:val="7ACF39B7CEFD4DFC8ABF05CC2732DFFE"/>
        <w:category>
          <w:name w:val="Općenito"/>
          <w:gallery w:val="placeholder"/>
        </w:category>
        <w:types>
          <w:type w:val="bbPlcHdr"/>
        </w:types>
        <w:behaviors>
          <w:behavior w:val="content"/>
        </w:behaviors>
        <w:guid w:val="{94E46769-F5E9-4005-8294-285CC698EC0F}"/>
      </w:docPartPr>
      <w:docPartBody>
        <w:p w:rsidRDefault="00364265" w:rsidP="00364265" w:rsidR="00D2216F">
          <w:pPr>
            <w:pStyle w:val="7ACF39B7CEFD4DFC8ABF05CC2732DFFE"/>
          </w:pPr>
          <w:r>
            <w:rPr>
              <w:rStyle w:val="Tekstrezerviranogmjesta"/>
              <w:bdr w:frame="true" w:space="0" w:sz="0" w:color="auto" w:val="none"/>
            </w:rPr>
            <w:t>.._.._.._.._.._.._.._..</w:t>
          </w:r>
        </w:p>
      </w:docPartBody>
    </w:docPart>
    <w:docPart>
      <w:docPartPr>
        <w:name w:val="F42E0CA71AE649949E2C327FD4AC7EE2"/>
        <w:category>
          <w:name w:val="Općenito"/>
          <w:gallery w:val="placeholder"/>
        </w:category>
        <w:types>
          <w:type w:val="bbPlcHdr"/>
        </w:types>
        <w:behaviors>
          <w:behavior w:val="content"/>
        </w:behaviors>
        <w:guid w:val="{D18DF0B4-7479-4768-9E9A-164D64CAF61E}"/>
      </w:docPartPr>
      <w:docPartBody>
        <w:p w:rsidRDefault="00364265" w:rsidP="00364265" w:rsidR="00D2216F">
          <w:pPr>
            <w:pStyle w:val="F42E0CA71AE649949E2C327FD4AC7EE2"/>
          </w:pPr>
          <w:r>
            <w:rPr>
              <w:rStyle w:val="Tekstrezerviranogmjesta"/>
              <w:bdr w:frame="true" w:space="0" w:sz="0" w:color="auto" w:val="none"/>
            </w:rPr>
            <w:t>.._.._.._.._.._.._.._..</w:t>
          </w:r>
        </w:p>
      </w:docPartBody>
    </w:docPart>
    <w:docPart>
      <w:docPartPr>
        <w:name w:val="9BD069ACEBA94AA595415222AE4B95D8"/>
        <w:category>
          <w:name w:val="Općenito"/>
          <w:gallery w:val="placeholder"/>
        </w:category>
        <w:types>
          <w:type w:val="bbPlcHdr"/>
        </w:types>
        <w:behaviors>
          <w:behavior w:val="content"/>
        </w:behaviors>
        <w:guid w:val="{0C642FDB-EA00-49DB-B004-22487B6988F4}"/>
      </w:docPartPr>
      <w:docPartBody>
        <w:p w:rsidRDefault="00364265" w:rsidP="00364265" w:rsidR="00D2216F">
          <w:pPr>
            <w:pStyle w:val="9BD069ACEBA94AA595415222AE4B95D8"/>
          </w:pPr>
          <w:r>
            <w:rPr>
              <w:rStyle w:val="Tekstrezerviranogmjesta"/>
              <w:bdr w:frame="true" w:space="0" w:sz="0" w:color="auto" w:val="none"/>
            </w:rPr>
            <w:t>.._.._.._.._.._.._.._..</w:t>
          </w:r>
        </w:p>
      </w:docPartBody>
    </w:docPart>
    <w:docPart>
      <w:docPartPr>
        <w:name w:val="71E11621421D42FD833CF0C7E41301FC"/>
        <w:category>
          <w:name w:val="Općenito"/>
          <w:gallery w:val="placeholder"/>
        </w:category>
        <w:types>
          <w:type w:val="bbPlcHdr"/>
        </w:types>
        <w:behaviors>
          <w:behavior w:val="content"/>
        </w:behaviors>
        <w:guid w:val="{910E1AEC-797F-4FF7-A56B-70AD3B9EBB97}"/>
      </w:docPartPr>
      <w:docPartBody>
        <w:p w:rsidRDefault="00364265" w:rsidP="00364265" w:rsidR="00D2216F">
          <w:pPr>
            <w:pStyle w:val="71E11621421D42FD833CF0C7E41301FC"/>
          </w:pPr>
          <w:r>
            <w:rPr>
              <w:rStyle w:val="Tekstrezerviranogmjesta"/>
              <w:bdr w:frame="true" w:space="0" w:sz="0" w:color="auto" w:val="none"/>
            </w:rPr>
            <w:t>.._.._.._.._.._.._.._..</w:t>
          </w:r>
        </w:p>
      </w:docPartBody>
    </w:docPart>
    <w:docPart>
      <w:docPartPr>
        <w:name w:val="C0ECBAF3729047D9AF6C4C7D6D09126E"/>
        <w:category>
          <w:name w:val="Općenito"/>
          <w:gallery w:val="placeholder"/>
        </w:category>
        <w:types>
          <w:type w:val="bbPlcHdr"/>
        </w:types>
        <w:behaviors>
          <w:behavior w:val="content"/>
        </w:behaviors>
        <w:guid w:val="{176EFE9F-D822-4447-9804-26B3169D7768}"/>
      </w:docPartPr>
      <w:docPartBody>
        <w:p w:rsidRDefault="00364265" w:rsidP="00364265" w:rsidR="00D2216F">
          <w:pPr>
            <w:pStyle w:val="C0ECBAF3729047D9AF6C4C7D6D09126E"/>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4265"/>
    <w:rsid w:val="00364265"/>
    <w:rsid w:val="00AE062A"/>
    <w:rsid w:val="00D221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364265"/>
  </w:style>
  <w:style w:customStyle="true" w:styleId="DA2D534FBE17475F96998C1B87C255D4" w:type="paragraph">
    <w:name w:val="DA2D534FBE17475F96998C1B87C255D4"/>
    <w:rsid w:val="00364265"/>
  </w:style>
  <w:style w:customStyle="true" w:styleId="7ACF39B7CEFD4DFC8ABF05CC2732DFFE" w:type="paragraph">
    <w:name w:val="7ACF39B7CEFD4DFC8ABF05CC2732DFFE"/>
    <w:rsid w:val="00364265"/>
  </w:style>
  <w:style w:customStyle="true" w:styleId="F42E0CA71AE649949E2C327FD4AC7EE2" w:type="paragraph">
    <w:name w:val="F42E0CA71AE649949E2C327FD4AC7EE2"/>
    <w:rsid w:val="00364265"/>
  </w:style>
  <w:style w:customStyle="true" w:styleId="9BD069ACEBA94AA595415222AE4B95D8" w:type="paragraph">
    <w:name w:val="9BD069ACEBA94AA595415222AE4B95D8"/>
    <w:rsid w:val="00364265"/>
  </w:style>
  <w:style w:customStyle="true" w:styleId="71E11621421D42FD833CF0C7E41301FC" w:type="paragraph">
    <w:name w:val="71E11621421D42FD833CF0C7E41301FC"/>
    <w:rsid w:val="00364265"/>
  </w:style>
  <w:style w:customStyle="true" w:styleId="C0ECBAF3729047D9AF6C4C7D6D09126E" w:type="paragraph">
    <w:name w:val="C0ECBAF3729047D9AF6C4C7D6D09126E"/>
    <w:rsid w:val="00364265"/>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364265"/>
  </w:style>
  <w:style w:customStyle="1" w:styleId="DA2D534FBE17475F96998C1B87C255D4" w:type="paragraph">
    <w:name w:val="DA2D534FBE17475F96998C1B87C255D4"/>
    <w:rsid w:val="00364265"/>
  </w:style>
  <w:style w:customStyle="1" w:styleId="7ACF39B7CEFD4DFC8ABF05CC2732DFFE" w:type="paragraph">
    <w:name w:val="7ACF39B7CEFD4DFC8ABF05CC2732DFFE"/>
    <w:rsid w:val="00364265"/>
  </w:style>
  <w:style w:customStyle="1" w:styleId="F42E0CA71AE649949E2C327FD4AC7EE2" w:type="paragraph">
    <w:name w:val="F42E0CA71AE649949E2C327FD4AC7EE2"/>
    <w:rsid w:val="00364265"/>
  </w:style>
  <w:style w:customStyle="1" w:styleId="9BD069ACEBA94AA595415222AE4B95D8" w:type="paragraph">
    <w:name w:val="9BD069ACEBA94AA595415222AE4B95D8"/>
    <w:rsid w:val="00364265"/>
  </w:style>
  <w:style w:customStyle="1" w:styleId="71E11621421D42FD833CF0C7E41301FC" w:type="paragraph">
    <w:name w:val="71E11621421D42FD833CF0C7E41301FC"/>
    <w:rsid w:val="00364265"/>
  </w:style>
  <w:style w:customStyle="1" w:styleId="C0ECBAF3729047D9AF6C4C7D6D09126E" w:type="paragraph">
    <w:name w:val="C0ECBAF3729047D9AF6C4C7D6D09126E"/>
    <w:rsid w:val="00364265"/>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61. Pž-1981/2019-2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Visoki trgovački sud Republike Hrvatske
Berilaviće 11, Zagreb</derivirana_varijabla>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1943</properties:Words>
  <properties:Characters>10713</properties:Characters>
  <properties:Lines>191</properties:Lines>
  <properties:Paragraphs>31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12633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2019-04-15T07:32:00Z</dcterms:created>
  <dc:creator>Nikolina Krunić</dc:creator>
  <cp:lastModifiedBy>Nikolina Krunić</cp:lastModifiedBy>
  <dcterms:modified xmlns:xsi="http://www.w3.org/2001/XMLSchema-instance" xsi:type="dcterms:W3CDTF">2019-04-15T07:34:00Z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St-918/2019-30 / Podnesak - Odluka višeg suda (REPUBLIKA HRVATSKA.docx)</vt:lpwstr>
  </prop:property>
  <prop:property name="CC_coloring" pid="4" fmtid="{D5CDD505-2E9C-101B-9397-08002B2CF9AE}">
    <vt:bool>false</vt:bool>
  </prop:property>
  <prop:property name="eSPIS_CC_ID" pid="5" fmtid="{D5CDD505-2E9C-101B-9397-08002B2CF9AE}">
    <vt:lpwstr>444120572</vt:lpwstr>
  </prop:property>
  <prop:property name="BrojStranica" pid="6" fmtid="{D5CDD505-2E9C-101B-9397-08002B2CF9AE}">
    <vt:i4>4</vt:i4>
  </prop:property>
</prop:Properties>
</file>