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80F925" w14:paraId="2728152B" w:rsidRDefault="003E6060" w:rsidP="003E6060" w:rsidR="003E6060">
      <w:pPr>
        <w15:collapsed w:val="false"/>
        <w:rPr>
          <w:noProof/>
        </w:rPr>
      </w:pPr>
      <w:bookmarkStart w:name="_GoBack" w:id="0"/>
      <w:bookmarkEnd w:id="0"/>
      <w:r>
        <w:rPr>
          <w:noProof/>
        </w:rPr>
        <w:t xml:space="preserve">  </w:t>
      </w:r>
      <w:r>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tbl>
      <w:tblPr>
        <w:tblW w:type="auto" w:w="0"/>
        <w:tblInd w:type="dxa" w:w="-176"/>
        <w:tblLook w:val="01E0" w:noVBand="0" w:noHBand="0" w:lastColumn="1" w:firstColumn="1" w:lastRow="1" w:firstRow="1"/>
      </w:tblPr>
      <w:tblGrid>
        <w:gridCol w:w="8892"/>
      </w:tblGrid>
      <w:tr w14:textId="77777777" w14:paraId="2A69B737" w:rsidTr="003E6060" w:rsidR="003E6060">
        <w:tc>
          <w:tcPr>
            <w:tcW w:type="dxa" w:w="8892"/>
            <w:hideMark/>
          </w:tcPr>
          <w:p w14:textId="77777777" w14:paraId="47C0D9BA" w:rsidRDefault="003E6060" w:rsidR="003E6060">
            <w:pPr>
              <w:pStyle w:val="Naslov2"/>
              <w:ind w:right="-5940" w:left="176"/>
              <w:jc w:val="left"/>
              <w:rPr>
                <w:b w:val="false"/>
                <w:bCs w:val="false"/>
                <w:sz w:val="22"/>
                <w:szCs w:val="22"/>
              </w:rPr>
            </w:pPr>
            <w:r>
              <w:rPr>
                <w:b w:val="false"/>
                <w:bCs w:val="false"/>
                <w:sz w:val="22"/>
                <w:szCs w:val="22"/>
              </w:rPr>
              <w:t>REPUBLIKA HRVATSKA</w:t>
            </w:r>
          </w:p>
          <w:p w14:textId="77777777" w14:paraId="4C6D9CDF" w:rsidRDefault="003E6060" w:rsidR="003E6060">
            <w:pPr>
              <w:pStyle w:val="Naslov2"/>
              <w:ind w:right="-5940" w:left="176"/>
              <w:jc w:val="left"/>
              <w:rPr>
                <w:b w:val="false"/>
                <w:bCs w:val="false"/>
                <w:sz w:val="22"/>
                <w:szCs w:val="22"/>
              </w:rPr>
            </w:pPr>
            <w:r>
              <w:rPr>
                <w:b w:val="false"/>
                <w:sz w:val="22"/>
                <w:szCs w:val="22"/>
              </w:rPr>
              <w:t>Trgovački sud u Zagrebu</w:t>
            </w:r>
          </w:p>
          <w:p w14:textId="77777777" w14:paraId="2427EADC" w:rsidRDefault="003E6060" w:rsidR="003E6060">
            <w:pPr>
              <w:pStyle w:val="Naslov2"/>
              <w:ind w:right="-5940" w:left="176"/>
              <w:jc w:val="left"/>
              <w:rPr>
                <w:b w:val="false"/>
                <w:bCs w:val="false"/>
                <w:sz w:val="22"/>
                <w:szCs w:val="22"/>
              </w:rPr>
            </w:pPr>
            <w:r>
              <w:rPr>
                <w:b w:val="false"/>
                <w:sz w:val="22"/>
                <w:szCs w:val="22"/>
              </w:rPr>
              <w:t>Zagreb, Amruševa 2/II</w:t>
            </w:r>
          </w:p>
        </w:tc>
      </w:tr>
    </w:tbl>
    <w:p w14:textId="77777777" w14:paraId="34A682C9" w:rsidRDefault="003E6060" w:rsidP="003E6060" w:rsidR="003E6060">
      <w:pPr>
        <w:jc w:val="right"/>
        <w:rPr>
          <w:b/>
          <w:sz w:val="22"/>
          <w:szCs w:val="22"/>
        </w:rPr>
      </w:pPr>
      <w:r>
        <w:rPr>
          <w:b/>
          <w:sz w:val="22"/>
          <w:szCs w:val="22"/>
        </w:rPr>
        <w:tab/>
      </w:r>
      <w:r>
        <w:rPr>
          <w:b/>
          <w:sz w:val="22"/>
          <w:szCs w:val="22"/>
        </w:rPr>
        <w:tab/>
      </w:r>
      <w:r>
        <w:rPr>
          <w:sz w:val="22"/>
          <w:szCs w:val="22"/>
        </w:rPr>
        <w:t xml:space="preserve">  42.</w:t>
      </w:r>
      <w:r>
        <w:rPr>
          <w:b/>
          <w:sz w:val="22"/>
          <w:szCs w:val="22"/>
        </w:rPr>
        <w:t xml:space="preserve"> </w:t>
      </w:r>
      <w:r>
        <w:rPr>
          <w:sz w:val="22"/>
          <w:szCs w:val="22"/>
        </w:rPr>
        <w:t xml:space="preserve">St-8320/2015      </w:t>
      </w:r>
    </w:p>
    <w:p w14:textId="77777777" w14:paraId="72F42FA2" w:rsidRDefault="003E6060" w:rsidP="003E6060" w:rsidR="003E6060">
      <w:pPr>
        <w:rPr>
          <w:sz w:val="22"/>
          <w:szCs w:val="22"/>
        </w:rPr>
      </w:pPr>
    </w:p>
    <w:p w14:textId="77777777" w14:paraId="1CD45928" w:rsidRDefault="003E6060" w:rsidP="003E6060" w:rsidR="003E6060">
      <w:pPr>
        <w:jc w:val="center"/>
        <w:rPr>
          <w:sz w:val="22"/>
          <w:szCs w:val="22"/>
        </w:rPr>
      </w:pPr>
      <w:r>
        <w:rPr>
          <w:sz w:val="22"/>
          <w:szCs w:val="22"/>
        </w:rPr>
        <w:t>Z A K LJ U Č A K</w:t>
      </w:r>
    </w:p>
    <w:p w14:textId="77777777" w14:paraId="196D1E63" w:rsidRDefault="003E6060" w:rsidP="003E6060" w:rsidR="003E6060">
      <w:pPr>
        <w:jc w:val="center"/>
        <w:rPr>
          <w:sz w:val="22"/>
          <w:szCs w:val="22"/>
        </w:rPr>
      </w:pPr>
    </w:p>
    <w:p w14:textId="77777777" w14:paraId="0A33810D" w:rsidRDefault="003E6060" w:rsidP="003E6060" w:rsidR="003E6060">
      <w:pPr>
        <w:tabs>
          <w:tab w:pos="709" w:val="left"/>
        </w:tabs>
        <w:jc w:val="both"/>
        <w:rPr>
          <w:sz w:val="22"/>
          <w:szCs w:val="22"/>
        </w:rPr>
      </w:pPr>
      <w:r>
        <w:rPr>
          <w:sz w:val="22"/>
          <w:szCs w:val="22"/>
        </w:rPr>
        <w:tab/>
        <w:t xml:space="preserve"> Trgovački sud u Zagrebu, po sucu toga suda Hrvoju Lukšiću, kao sucu pojedincu u stečajnom predmetu povodom zahtjeva FINANCIJSKE AGENCIJE, za provedbu skraćenog stečajnog postupka nad dužnikom GOLD BOX d.o.o., Zagreb, V. Livadarski Odvojak 1, OIB 73564183237, dana 16. svibnja 2016.g. </w:t>
      </w:r>
    </w:p>
    <w:p w14:textId="77777777" w14:paraId="74EA9554" w:rsidRDefault="003E6060" w:rsidP="003E6060" w:rsidR="003E6060">
      <w:pPr>
        <w:jc w:val="both"/>
        <w:rPr>
          <w:sz w:val="22"/>
          <w:szCs w:val="22"/>
        </w:rPr>
      </w:pPr>
    </w:p>
    <w:p w14:textId="77777777" w14:paraId="666FADE6" w:rsidRDefault="003E6060" w:rsidP="003E6060" w:rsidR="003E6060">
      <w:pPr>
        <w:jc w:val="center"/>
        <w:rPr>
          <w:sz w:val="22"/>
          <w:szCs w:val="22"/>
        </w:rPr>
      </w:pPr>
      <w:r>
        <w:rPr>
          <w:sz w:val="22"/>
          <w:szCs w:val="22"/>
        </w:rPr>
        <w:t>z a k l j u č i o   j e</w:t>
      </w:r>
    </w:p>
    <w:p w14:textId="77777777" w14:paraId="656F5075" w:rsidRDefault="003E6060" w:rsidP="003E6060" w:rsidR="003E6060">
      <w:pPr>
        <w:jc w:val="center"/>
        <w:rPr>
          <w:b/>
          <w:sz w:val="22"/>
          <w:szCs w:val="22"/>
        </w:rPr>
      </w:pPr>
    </w:p>
    <w:p w14:textId="77777777" w14:paraId="7A6E74AA" w:rsidRDefault="003E6060" w:rsidP="003E6060" w:rsidR="003E6060">
      <w:pPr>
        <w:ind w:firstLine="708"/>
        <w:jc w:val="both"/>
        <w:rPr>
          <w:sz w:val="22"/>
          <w:szCs w:val="22"/>
        </w:rPr>
      </w:pPr>
      <w:r>
        <w:rPr>
          <w:sz w:val="22"/>
          <w:szCs w:val="22"/>
        </w:rPr>
        <w:t>I  Poziva se vjerovnik RAIFFEISENBANK AUSTRIA d.d., Zagreb, Petrinjska 59, OIB: 53056966535,  u roku od osam (8) dana od dana primitka ovog zaključka:</w:t>
      </w:r>
    </w:p>
    <w:p w14:textId="77777777" w14:paraId="7A7E87A1" w:rsidRDefault="003E6060" w:rsidP="003E6060" w:rsidR="003E6060">
      <w:pPr>
        <w:jc w:val="both"/>
        <w:rPr>
          <w:sz w:val="22"/>
          <w:szCs w:val="22"/>
        </w:rPr>
      </w:pPr>
    </w:p>
    <w:p w14:textId="77777777" w14:paraId="63261EA7" w:rsidRDefault="003E6060" w:rsidP="003E6060" w:rsidR="003E6060">
      <w:pPr>
        <w:jc w:val="both"/>
        <w:rPr>
          <w:sz w:val="22"/>
          <w:szCs w:val="22"/>
        </w:rPr>
      </w:pPr>
      <w:r>
        <w:rPr>
          <w:sz w:val="22"/>
          <w:szCs w:val="22"/>
        </w:rPr>
        <w:t xml:space="preserve">-uplatiti iznos od 1.000,00 kuna u Fond za namirenje troškova stečajnog postupka na račun IBAN broj: HR9223900011300000460, pozivom na broj 2001-832015.     </w:t>
      </w:r>
    </w:p>
    <w:p w14:textId="77777777" w14:paraId="4872CD8D" w:rsidRDefault="003E6060" w:rsidP="003E6060" w:rsidR="003E6060">
      <w:pPr>
        <w:jc w:val="both"/>
        <w:rPr>
          <w:sz w:val="22"/>
          <w:szCs w:val="22"/>
        </w:rPr>
      </w:pPr>
      <w:r>
        <w:rPr>
          <w:sz w:val="22"/>
          <w:szCs w:val="22"/>
        </w:rPr>
        <w:t xml:space="preserve">-uplatiti dodatni iznos predujma od 5.000,00 kuna za namirenje troškova stečajnog postupka na račun IBAN broj: HR9223900011300000460, pozivom na broj 05-832015.   </w:t>
      </w:r>
    </w:p>
    <w:p w14:textId="77777777" w14:paraId="77446EBD" w:rsidRDefault="003E6060" w:rsidP="003E6060" w:rsidR="003E6060">
      <w:pPr>
        <w:rPr>
          <w:sz w:val="22"/>
          <w:szCs w:val="22"/>
        </w:rPr>
      </w:pPr>
    </w:p>
    <w:p w14:textId="77777777" w14:paraId="175944AB" w:rsidRDefault="003E6060" w:rsidP="003E6060" w:rsidR="003E6060">
      <w:pPr>
        <w:ind w:firstLine="708"/>
        <w:jc w:val="both"/>
        <w:rPr>
          <w:sz w:val="22"/>
          <w:szCs w:val="22"/>
        </w:rPr>
      </w:pPr>
      <w:r>
        <w:rPr>
          <w:sz w:val="22"/>
          <w:szCs w:val="22"/>
        </w:rPr>
        <w:t>II  Ukoliko vjerovnik ne postupi kao pod točkom I izreke, sud će donijeti rješenje o otvaranju i zaključenju skraćenog stečajnog postupka sukladno članku 431. st. 2. Stečajnog zakona.</w:t>
      </w:r>
    </w:p>
    <w:p w14:textId="77777777" w14:paraId="56AC1F46" w:rsidRDefault="003E6060" w:rsidP="003E6060" w:rsidR="003E6060">
      <w:pPr>
        <w:jc w:val="both"/>
        <w:rPr>
          <w:sz w:val="22"/>
          <w:szCs w:val="22"/>
        </w:rPr>
      </w:pPr>
    </w:p>
    <w:p w14:textId="77777777" w14:paraId="2438A164" w:rsidRDefault="003E6060" w:rsidP="003E6060" w:rsidR="003E6060">
      <w:pPr>
        <w:jc w:val="center"/>
        <w:rPr>
          <w:sz w:val="22"/>
          <w:szCs w:val="22"/>
        </w:rPr>
      </w:pPr>
      <w:r>
        <w:rPr>
          <w:sz w:val="22"/>
          <w:szCs w:val="22"/>
        </w:rPr>
        <w:t>Obrazloženje</w:t>
      </w:r>
    </w:p>
    <w:p w14:textId="77777777" w14:paraId="2B942E74" w:rsidRDefault="003E6060" w:rsidP="003E6060" w:rsidR="003E6060">
      <w:pPr>
        <w:pStyle w:val="Tijeloteksta"/>
        <w:jc w:val="center"/>
        <w:rPr>
          <w:sz w:val="22"/>
          <w:szCs w:val="22"/>
        </w:rPr>
      </w:pPr>
    </w:p>
    <w:p w14:textId="77777777" w14:paraId="6EC6E9A9" w:rsidRDefault="003E6060" w:rsidP="003E6060" w:rsidR="003E6060">
      <w:pPr>
        <w:jc w:val="both"/>
        <w:rPr>
          <w:sz w:val="22"/>
          <w:szCs w:val="22"/>
        </w:rPr>
      </w:pPr>
      <w:r>
        <w:rPr>
          <w:sz w:val="22"/>
          <w:szCs w:val="22"/>
        </w:rPr>
        <w:tab/>
        <w:t>Zahtjev za provedbu skraćenog stečajnog postupka nad gore navedenom pravnom osobom podnijela je ovome sudu Financijska agencija, Podružnica Zagreb (dalje: FINA), temeljem odredbe čl. 429. Stečajnog zakona (''Narodne novine'' broj 71/15, dalje u tekstu: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14:textId="77777777" w14:paraId="5FFEEA36" w:rsidRDefault="003E6060" w:rsidP="003E6060" w:rsidR="003E6060">
      <w:pPr>
        <w:jc w:val="both"/>
        <w:rPr>
          <w:sz w:val="22"/>
          <w:szCs w:val="22"/>
        </w:rPr>
      </w:pPr>
      <w:r>
        <w:rPr>
          <w:sz w:val="22"/>
          <w:szCs w:val="22"/>
        </w:rPr>
        <w:tab/>
        <w:t>Uz prijedlog FINA dostavlja podatke za identifikaciju dužnika, brojeve njegovih bankovnih računa; podatak da dužnik na dan podnošenja ovog prijedloga nema zaposlenih; te podatak da dužnik ima evidentirane neizvršene osnove za plaćanje u neprekidnom razdoblju od 120 dana te o iznosu duga evidentiranog na temelju neizvršenih osnova za plaćanje.</w:t>
      </w:r>
      <w:r>
        <w:rPr>
          <w:sz w:val="22"/>
          <w:szCs w:val="22"/>
        </w:rPr>
        <w:tab/>
        <w:t>Uvidom u izvadak iz sudskog registra za dužnika utvrđeno je da nisu ispunjene pretpostavke za pokretanje drugog postupka radi brisanja dužnika iz sudskog registra.</w:t>
      </w:r>
    </w:p>
    <w:p w14:textId="77777777" w14:paraId="516BF029" w:rsidRDefault="003E6060" w:rsidP="003E6060" w:rsidR="003E6060">
      <w:pPr>
        <w:jc w:val="both"/>
        <w:rPr>
          <w:sz w:val="22"/>
          <w:szCs w:val="22"/>
        </w:rPr>
      </w:pPr>
      <w:r>
        <w:rPr>
          <w:sz w:val="22"/>
          <w:szCs w:val="22"/>
        </w:rPr>
        <w:tab/>
        <w:t>Iz podataka dobivenih od HZMO-a utvrđeno je da dužnik nema zaposlenih.</w:t>
      </w:r>
    </w:p>
    <w:p w14:textId="77777777" w14:paraId="34E926DE" w:rsidRDefault="003E6060" w:rsidP="003E6060" w:rsidR="003E6060">
      <w:pPr>
        <w:ind w:firstLine="708"/>
        <w:jc w:val="both"/>
        <w:rPr>
          <w:sz w:val="22"/>
          <w:szCs w:val="22"/>
        </w:rPr>
      </w:pPr>
      <w:r>
        <w:rPr>
          <w:sz w:val="22"/>
          <w:szCs w:val="22"/>
        </w:rPr>
        <w:t xml:space="preserve">Sud je oglasom objavljenim na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w:t>
      </w:r>
    </w:p>
    <w:p w14:textId="77777777" w14:paraId="6F84E18C" w:rsidRDefault="003E6060" w:rsidP="003E6060" w:rsidR="003E6060">
      <w:pPr>
        <w:tabs>
          <w:tab w:pos="1080" w:val="left"/>
          <w:tab w:pos="5940" w:val="left"/>
        </w:tabs>
        <w:jc w:val="center"/>
        <w:rPr>
          <w:sz w:val="22"/>
          <w:szCs w:val="22"/>
        </w:rPr>
      </w:pPr>
      <w:r>
        <w:rPr>
          <w:sz w:val="22"/>
          <w:szCs w:val="22"/>
        </w:rPr>
        <w:t>-   /   -</w:t>
      </w:r>
    </w:p>
    <w:p w14:textId="77777777" w14:paraId="57CD9BF6" w:rsidRDefault="003E6060" w:rsidP="003E6060" w:rsidR="003E6060">
      <w:pPr>
        <w:tabs>
          <w:tab w:pos="1080" w:val="left"/>
          <w:tab w:pos="5940" w:val="left"/>
        </w:tabs>
        <w:jc w:val="center"/>
        <w:rPr>
          <w:sz w:val="22"/>
          <w:szCs w:val="22"/>
        </w:rPr>
      </w:pPr>
    </w:p>
    <w:p w14:textId="77777777" w14:paraId="05E51FFC" w:rsidRDefault="003E6060" w:rsidP="003E6060" w:rsidR="003E6060">
      <w:pPr>
        <w:tabs>
          <w:tab w:pos="1080" w:val="left"/>
          <w:tab w:pos="5940" w:val="left"/>
        </w:tabs>
        <w:jc w:val="center"/>
        <w:rPr>
          <w:sz w:val="22"/>
          <w:szCs w:val="22"/>
        </w:rPr>
      </w:pPr>
      <w:r>
        <w:rPr>
          <w:sz w:val="22"/>
          <w:szCs w:val="22"/>
        </w:rPr>
        <w:t>-   2   -</w:t>
      </w:r>
    </w:p>
    <w:p w14:textId="77777777" w14:paraId="4208C470" w:rsidRDefault="003E6060" w:rsidP="003E6060" w:rsidR="003E6060">
      <w:pPr>
        <w:tabs>
          <w:tab w:pos="1080" w:val="left"/>
          <w:tab w:pos="5940" w:val="left"/>
        </w:tabs>
        <w:jc w:val="both"/>
        <w:rPr>
          <w:sz w:val="22"/>
          <w:szCs w:val="22"/>
        </w:rPr>
      </w:pPr>
      <w:r>
        <w:rPr>
          <w:sz w:val="22"/>
          <w:szCs w:val="22"/>
        </w:rPr>
        <w:lastRenderedPageBreak/>
        <w:tab/>
      </w:r>
    </w:p>
    <w:tbl>
      <w:tblPr>
        <w:tblStyle w:val="Reetkatablice"/>
        <w:tblW w:type="auto" w:w="0"/>
        <w:tblInd w:type="dxa" w:w="6771"/>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346"/>
      </w:tblGrid>
      <w:tr w14:textId="77777777" w14:paraId="570F19E7" w:rsidTr="003E6060" w:rsidR="003E6060">
        <w:tc>
          <w:tcPr>
            <w:tcW w:type="dxa" w:w="2346"/>
          </w:tcPr>
          <w:p w14:textId="77777777" w14:paraId="6564D7E0" w:rsidRDefault="003E6060" w:rsidR="003E6060">
            <w:pPr>
              <w:tabs>
                <w:tab w:pos="5940" w:val="left"/>
              </w:tabs>
              <w:jc w:val="right"/>
              <w:rPr>
                <w:sz w:val="22"/>
                <w:szCs w:val="22"/>
              </w:rPr>
            </w:pPr>
            <w:r>
              <w:rPr>
                <w:sz w:val="22"/>
                <w:szCs w:val="22"/>
              </w:rPr>
              <w:t xml:space="preserve">42. St-8320/2015   </w:t>
            </w:r>
          </w:p>
          <w:p w14:textId="77777777" w14:paraId="68BA8863" w:rsidRDefault="003E6060" w:rsidR="003E6060">
            <w:pPr>
              <w:tabs>
                <w:tab w:pos="1080" w:val="left"/>
                <w:tab w:pos="5940" w:val="left"/>
              </w:tabs>
              <w:jc w:val="right"/>
              <w:rPr>
                <w:sz w:val="22"/>
                <w:szCs w:val="22"/>
              </w:rPr>
            </w:pPr>
          </w:p>
        </w:tc>
      </w:tr>
    </w:tbl>
    <w:p w14:textId="77777777" w14:paraId="796187E2" w:rsidRDefault="003E6060" w:rsidP="003E6060" w:rsidR="003E6060">
      <w:pPr>
        <w:ind w:firstLine="708"/>
        <w:jc w:val="both"/>
        <w:rPr>
          <w:sz w:val="22"/>
          <w:szCs w:val="22"/>
        </w:rPr>
      </w:pPr>
      <w:r>
        <w:rPr>
          <w:sz w:val="22"/>
          <w:szCs w:val="22"/>
        </w:rPr>
        <w:t>Vjerovnici su upozoreni da ukoliko ne predujme troškove stečajnog postupka, sud će donijeti odluku o otvaranju i zaključenju stečajnog postupka.</w:t>
      </w:r>
    </w:p>
    <w:p w14:textId="77777777" w14:paraId="2DA6E88E" w:rsidRDefault="003E6060" w:rsidP="003E6060" w:rsidR="003E6060">
      <w:pPr>
        <w:ind w:firstLine="708"/>
        <w:jc w:val="both"/>
        <w:rPr>
          <w:sz w:val="22"/>
          <w:szCs w:val="22"/>
        </w:rPr>
      </w:pPr>
      <w:r>
        <w:rPr>
          <w:sz w:val="22"/>
          <w:szCs w:val="22"/>
        </w:rPr>
        <w:t>Vjerovnik RAIFFEISENBANK AUSTRIA d.d., Zagreb, Petrinjska 59, OIB: 53056966535</w:t>
      </w:r>
      <w:r>
        <w:rPr>
          <w:color w:val="000000"/>
          <w:sz w:val="22"/>
          <w:szCs w:val="22"/>
        </w:rPr>
        <w:t>,</w:t>
      </w:r>
      <w:r>
        <w:rPr>
          <w:sz w:val="22"/>
          <w:szCs w:val="22"/>
        </w:rPr>
        <w:t xml:space="preserve"> je podneskom od 27. travnja 2016.g. predložio otvaranje stečajnog postupka nad dužnikom, pa ga je sud pozvao na uplatu iznosa od 1.000,00 kuna u Fond za namirenje troškova stečajnog postupka i dodatnog iznosa predujma od 5.000,00 kuna za namirenje troškova stečajnog postupka.</w:t>
      </w:r>
    </w:p>
    <w:p w14:textId="77777777" w14:paraId="7734685F" w:rsidRDefault="003E6060" w:rsidP="003E6060" w:rsidR="003E6060">
      <w:pPr>
        <w:tabs>
          <w:tab w:pos="1800" w:val="num"/>
        </w:tabs>
        <w:ind w:firstLine="708"/>
        <w:jc w:val="both"/>
        <w:rPr>
          <w:sz w:val="22"/>
          <w:szCs w:val="22"/>
        </w:rPr>
      </w:pPr>
      <w:r>
        <w:rPr>
          <w:sz w:val="22"/>
          <w:szCs w:val="22"/>
        </w:rPr>
        <w:t>Odredbom članka 114. SZ-a određeno je kako je podnositelj prijedloga za otvaranjem stečajnog postupka dužan uplatiti predujam u iznosu od 1.000,00 kuna u Fond za namirenje troškova stečajnog postupka te po nalogu suda u roku od 8 dana dodatni iznos predujma koji ne može biti viši od 20.000,00 kuna. Dakle, podnositelj prijedloga već prilikom podnošenja prijedloga mora uplatiti iznos od 1.000,00 kuna u Fond za namirenje troškova stečajnog postupka. Također podnositelj prijedloga, po nalogu suda, dužan je uplatiti dodatni iznos predujma koji ne može biti viši od 20.000,00 kuna.</w:t>
      </w:r>
    </w:p>
    <w:p w14:textId="77777777" w14:paraId="30950E15" w:rsidRDefault="003E6060" w:rsidP="003E6060" w:rsidR="003E6060">
      <w:pPr>
        <w:tabs>
          <w:tab w:pos="1800" w:val="num"/>
        </w:tabs>
        <w:ind w:firstLine="708"/>
        <w:jc w:val="both"/>
        <w:rPr>
          <w:sz w:val="22"/>
          <w:szCs w:val="22"/>
        </w:rPr>
      </w:pPr>
      <w:r>
        <w:rPr>
          <w:sz w:val="22"/>
          <w:szCs w:val="22"/>
        </w:rPr>
        <w:t xml:space="preserve">Temeljem stanja spisa, sud će biti dužan provesti prethodni postupak u kojem će utvrditi postojanje, odnosno nepostojanje imovine stečajnog dužnika. Sud je ovim zaključkom pozvao predlagatelja na uplatu dodatnog predujma u iznosu od 5.000,00 kuna za pokriće troškova postupka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(„Narodne novine“ broj 105/2015) i to jednokratna brutto nagrada za poslove obavljane u prethodnom postupku u iznosu od 3.000,00 do 20.000,00 kuna. Nadalje, tijekom prethodnog postupka javljaju se i materijalni troškovi (ptt,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 navedeno, a imajući u vidu da spomenute radnje uzrokuju troškove koji nastaju već tijekom prethodnog postupka, potrebno je osigurati sredstva za njihovo podmirenje, slijedom čega je ovaj sud pozvao predlagatelja na uplatu dodatnog iznosa predujma od 5.000,00 kuna. </w:t>
      </w:r>
    </w:p>
    <w:p w14:textId="77777777" w14:paraId="614A01FC" w:rsidRDefault="003E6060" w:rsidP="003E6060" w:rsidR="003E6060">
      <w:pPr>
        <w:ind w:firstLine="708"/>
        <w:jc w:val="both"/>
        <w:rPr>
          <w:sz w:val="22"/>
          <w:szCs w:val="22"/>
        </w:rPr>
      </w:pPr>
      <w:r>
        <w:rPr>
          <w:sz w:val="22"/>
          <w:szCs w:val="22"/>
        </w:rPr>
        <w:t>Odredbom članka 431.SZ-a određeno je da će sud vjerovnike koji predlože otvaranje stečajnog postupka pozvati na predujam sredstava za namirenje troškova stečajnog postupka, a koje otvaranje postupka je predložio naprijed navedeni vjerovnik, pa je odlučeno kao pod točkom I izreke, uz upozorenje iz 431. Stečajnog zakona, pod točkom II izreke.</w:t>
      </w:r>
    </w:p>
    <w:p w14:textId="77777777" w14:paraId="6F3B0FE3" w:rsidRDefault="003E6060" w:rsidP="003E6060" w:rsidR="003E6060">
      <w:pPr>
        <w:jc w:val="both"/>
        <w:rPr>
          <w:sz w:val="22"/>
          <w:szCs w:val="22"/>
        </w:rPr>
      </w:pPr>
    </w:p>
    <w:p w14:textId="77777777" w14:paraId="47DD7485" w:rsidRDefault="003E6060" w:rsidP="003E6060" w:rsidR="003E6060">
      <w:pPr>
        <w:jc w:val="center"/>
        <w:rPr>
          <w:sz w:val="22"/>
          <w:szCs w:val="22"/>
        </w:rPr>
      </w:pPr>
      <w:r>
        <w:rPr>
          <w:sz w:val="22"/>
          <w:szCs w:val="22"/>
        </w:rPr>
        <w:t xml:space="preserve">U Zagrebu, 16. svibnja 2016.g. </w:t>
      </w:r>
    </w:p>
    <w:p w14:textId="77777777" w14:paraId="15CBF24D" w:rsidRDefault="003E6060" w:rsidP="003E6060" w:rsidR="003E6060">
      <w:pPr>
        <w:ind w:left="6372"/>
        <w:jc w:val="both"/>
        <w:rPr>
          <w:sz w:val="22"/>
          <w:szCs w:val="22"/>
        </w:rPr>
      </w:pPr>
      <w:r>
        <w:rPr>
          <w:sz w:val="22"/>
          <w:szCs w:val="22"/>
        </w:rPr>
        <w:t>S U D A C:</w:t>
      </w:r>
    </w:p>
    <w:p w14:textId="77777777" w14:paraId="4C1B4199" w:rsidRDefault="003E6060" w:rsidP="003E6060" w:rsidR="003E6060">
      <w:pPr>
        <w:ind w:left="6372"/>
        <w:jc w:val="both"/>
        <w:rPr>
          <w:sz w:val="22"/>
          <w:szCs w:val="22"/>
        </w:rPr>
      </w:pPr>
      <w:r>
        <w:rPr>
          <w:sz w:val="22"/>
          <w:szCs w:val="22"/>
        </w:rPr>
        <w:t>Hrvoje Lukšić,v.r.</w:t>
      </w:r>
    </w:p>
    <w:p w14:textId="77777777" w14:paraId="4CB06B50" w:rsidRDefault="003E6060" w:rsidP="003E6060" w:rsidR="003E6060">
      <w:pPr>
        <w:rPr>
          <w:sz w:val="22"/>
          <w:szCs w:val="22"/>
        </w:rPr>
      </w:pPr>
      <w:r>
        <w:rPr>
          <w:sz w:val="22"/>
          <w:szCs w:val="22"/>
        </w:rPr>
        <w:t>POUKA O PRAVNOM LIJEKU:</w:t>
      </w:r>
    </w:p>
    <w:p w14:textId="77777777" w14:paraId="2711C903" w:rsidRDefault="003E6060" w:rsidP="003E6060" w:rsidR="003E6060">
      <w:pPr>
        <w:rPr>
          <w:sz w:val="22"/>
          <w:szCs w:val="22"/>
        </w:rPr>
      </w:pPr>
      <w:r>
        <w:rPr>
          <w:sz w:val="22"/>
          <w:szCs w:val="22"/>
        </w:rPr>
        <w:t>Protiv ovog zaključka nije dopuštena žalba (čl. 19. st.7. SZ )</w:t>
      </w:r>
      <w:r>
        <w:rPr>
          <w:sz w:val="22"/>
          <w:szCs w:val="22"/>
        </w:rPr>
        <w:tab/>
      </w:r>
    </w:p>
    <w:p w14:textId="77777777" w14:paraId="70592F9C" w:rsidRDefault="003E6060" w:rsidP="003E6060" w:rsidR="003E6060">
      <w:pPr>
        <w:rPr>
          <w:sz w:val="22"/>
          <w:szCs w:val="22"/>
        </w:rPr>
      </w:pPr>
    </w:p>
    <w:p w14:textId="77777777" w14:paraId="2884645E" w:rsidRDefault="003E6060" w:rsidP="003E6060" w:rsidR="003E6060">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Za točnost otpravka</w:t>
      </w:r>
    </w:p>
    <w:p w14:textId="77777777" w14:paraId="7A0B24D0" w:rsidRDefault="003E6060" w:rsidP="003E6060" w:rsidR="003E6060">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09FE074A" w14:paraId="09FE074A"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3E6060"/>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nhideWhenUsed/>
    <w:qFormat/>
    <w:rsid w:val="003E6060"/>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3E6060"/>
    <w:rPr>
      <w:color w:val="808080"/>
      <w:bdr w:space="0" w:sz="0" w:color="auto" w:val="none"/>
      <w:shd w:fill="auto" w:color="auto" w:val="clear"/>
    </w:rPr>
  </w:style>
  <w:style w:customStyle="true" w:styleId="eSPISCCParagraphDefaultFont" w:type="character">
    <w:name w:val="eSPIS_CC_Paragraph Default Font"/>
    <w:basedOn w:val="Zadanifontodlomka"/>
    <w:rsid w:val="003E606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6060"/>
    <w:rPr>
      <w:bdr w:space="0" w:sz="0" w:color="auto" w:val="none"/>
      <w:shd w:fill="FFFFCC" w:color="auto" w:val="clear"/>
      <w:lang w:val="hr-HR"/>
    </w:rPr>
  </w:style>
  <w:style w:customStyle="true" w:styleId="PozadinaSvijetloCrvena" w:type="character">
    <w:name w:val="Pozadina_SvijetloCrvena"/>
    <w:basedOn w:val="eSPISCCParagraphDefaultFont"/>
    <w:rsid w:val="003E606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E6060"/>
    <w:rPr>
      <w:rFonts w:cs="Times New Roman" w:hAnsi="Times New Roman" w:ascii="Times New Roman"/>
      <w:sz w:val="24"/>
      <w:bdr w:space="0" w:sz="0" w:color="auto" w:val="none"/>
      <w:shd w:fill="CCFFCC" w:color="auto" w:val="clear"/>
      <w:lang w:val="hr-HR"/>
    </w:rPr>
  </w:style>
  <w:style w:customStyle="true" w:styleId="Naslov2Char" w:type="character">
    <w:name w:val="Naslov 2 Char"/>
    <w:basedOn w:val="Zadanifontodlomka"/>
    <w:link w:val="Naslov2"/>
    <w:rsid w:val="003E6060"/>
    <w:rPr>
      <w:rFonts w:cs="Times New Roman" w:eastAsia="Times New Roman" w:hAnsi="Times New Roman" w:ascii="Times New Roman"/>
      <w:b/>
      <w:bCs/>
      <w:sz w:val="28"/>
      <w:szCs w:val="24"/>
      <w:lang w:eastAsia="hr-HR"/>
    </w:rPr>
  </w:style>
  <w:style w:styleId="Tijeloteksta" w:type="paragraph">
    <w:name w:val="Body Text"/>
    <w:basedOn w:val="Normal"/>
    <w:link w:val="TijelotekstaChar"/>
    <w:semiHidden/>
    <w:unhideWhenUsed/>
    <w:rsid w:val="003E6060"/>
    <w:rPr>
      <w:rFonts w:hAnsi="Arial Narrow" w:ascii="Arial Narrow"/>
      <w:szCs w:val="20"/>
    </w:rPr>
  </w:style>
  <w:style w:customStyle="true" w:styleId="TijelotekstaChar" w:type="character">
    <w:name w:val="Tijelo teksta Char"/>
    <w:basedOn w:val="Zadanifontodlomka"/>
    <w:link w:val="Tijeloteksta"/>
    <w:semiHidden/>
    <w:rsid w:val="003E6060"/>
    <w:rPr>
      <w:rFonts w:cs="Times New Roman" w:eastAsia="Times New Roman" w:hAnsi="Arial Narrow" w:ascii="Arial Narrow"/>
      <w:sz w:val="24"/>
      <w:szCs w:val="20"/>
      <w:lang w:eastAsia="hr-HR"/>
    </w:rPr>
  </w:style>
  <w:style w:styleId="Reetkatablice" w:type="table">
    <w:name w:val="Table Grid"/>
    <w:basedOn w:val="Obinatablica"/>
    <w:rsid w:val="003E6060"/>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3E606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E6060"/>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nhideWhenUsed/>
    <w:qFormat/>
    <w:rsid w:val="003E6060"/>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3E6060"/>
    <w:rPr>
      <w:color w:val="808080"/>
      <w:bdr w:color="auto" w:space="0" w:sz="0" w:val="none"/>
      <w:shd w:color="auto" w:fill="auto" w:val="clear"/>
    </w:rPr>
  </w:style>
  <w:style w:customStyle="1" w:styleId="eSPISCCParagraphDefaultFont" w:type="character">
    <w:name w:val="eSPIS_CC_Paragraph Default Font"/>
    <w:basedOn w:val="Zadanifontodlomka"/>
    <w:rsid w:val="003E606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6060"/>
    <w:rPr>
      <w:bdr w:color="auto" w:space="0" w:sz="0" w:val="none"/>
      <w:shd w:color="auto" w:fill="FFFFCC" w:val="clear"/>
      <w:lang w:val="hr-HR"/>
    </w:rPr>
  </w:style>
  <w:style w:customStyle="1" w:styleId="PozadinaSvijetloCrvena" w:type="character">
    <w:name w:val="Pozadina_SvijetloCrvena"/>
    <w:basedOn w:val="eSPISCCParagraphDefaultFont"/>
    <w:rsid w:val="003E606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E6060"/>
    <w:rPr>
      <w:rFonts w:ascii="Times New Roman" w:cs="Times New Roman" w:hAnsi="Times New Roman"/>
      <w:sz w:val="24"/>
      <w:bdr w:color="auto" w:space="0" w:sz="0" w:val="none"/>
      <w:shd w:color="auto" w:fill="CCFFCC" w:val="clear"/>
      <w:lang w:val="hr-HR"/>
    </w:rPr>
  </w:style>
  <w:style w:customStyle="1" w:styleId="Naslov2Char" w:type="character">
    <w:name w:val="Naslov 2 Char"/>
    <w:basedOn w:val="Zadanifontodlomka"/>
    <w:link w:val="Naslov2"/>
    <w:rsid w:val="003E6060"/>
    <w:rPr>
      <w:rFonts w:ascii="Times New Roman" w:cs="Times New Roman" w:eastAsia="Times New Roman" w:hAnsi="Times New Roman"/>
      <w:b/>
      <w:bCs/>
      <w:sz w:val="28"/>
      <w:szCs w:val="24"/>
      <w:lang w:eastAsia="hr-HR"/>
    </w:rPr>
  </w:style>
  <w:style w:styleId="Tijeloteksta" w:type="paragraph">
    <w:name w:val="Body Text"/>
    <w:basedOn w:val="Normal"/>
    <w:link w:val="TijelotekstaChar"/>
    <w:semiHidden/>
    <w:unhideWhenUsed/>
    <w:rsid w:val="003E6060"/>
    <w:rPr>
      <w:rFonts w:ascii="Arial Narrow" w:hAnsi="Arial Narrow"/>
      <w:szCs w:val="20"/>
    </w:rPr>
  </w:style>
  <w:style w:customStyle="1" w:styleId="TijelotekstaChar" w:type="character">
    <w:name w:val="Tijelo teksta Char"/>
    <w:basedOn w:val="Zadanifontodlomka"/>
    <w:link w:val="Tijeloteksta"/>
    <w:semiHidden/>
    <w:rsid w:val="003E6060"/>
    <w:rPr>
      <w:rFonts w:ascii="Arial Narrow" w:cs="Times New Roman" w:eastAsia="Times New Roman" w:hAnsi="Arial Narrow"/>
      <w:sz w:val="24"/>
      <w:szCs w:val="20"/>
      <w:lang w:eastAsia="hr-HR"/>
    </w:rPr>
  </w:style>
  <w:style w:styleId="Reetkatablice" w:type="table">
    <w:name w:val="Table Grid"/>
    <w:basedOn w:val="Obinatablica"/>
    <w:rsid w:val="003E6060"/>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3E6060"/>
    <w:rPr>
      <w:rFonts w:ascii="Tahoma" w:cs="Tahoma" w:hAnsi="Tahoma"/>
      <w:sz w:val="16"/>
      <w:szCs w:val="16"/>
    </w:rPr>
  </w:style>
  <w:style w:customStyle="1" w:styleId="TekstbaloniaChar" w:type="character">
    <w:name w:val="Tekst balončića Char"/>
    <w:basedOn w:val="Zadanifontodlomka"/>
    <w:link w:val="Tekstbalonia"/>
    <w:uiPriority w:val="99"/>
    <w:semiHidden/>
    <w:rsid w:val="003E6060"/>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27330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svibnja 2016.</izvorni_sadrzaj>
    <derivirana_varijabla naziv="DomainObject.DatumDonosenjaOdluke_1">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8320</izvorni_sadrzaj>
    <derivirana_varijabla naziv="DomainObject.Predmet.Broj_1">8320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2015.</izvorni_sadrzaj>
    <derivirana_varijabla naziv="DomainObject.Predmet.DatumOsnivanja_1">15.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St-8320/2015</izvorni_sadrzaj>
    <derivirana_varijabla naziv="DomainObject.Predmet.OznakaBroj_1">St-8320/2015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GOLD BOX d.o.o.</izvorni_sadrzaj>
    <derivirana_varijabla naziv="DomainObject.Predmet.ProtustrankaFormated_1">  GOLD BOX d.o.o.</derivirana_varijabla>
  </DomainObject.Predmet.ProtustrankaFormated>
  <DomainObject.Predmet.ProtustrankaFormatedOIB>
    <izvorni_sadrzaj>  GOLD BOX d.o.o., OIB 73564183237</izvorni_sadrzaj>
    <derivirana_varijabla naziv="DomainObject.Predmet.ProtustrankaFormatedOIB_1">  GOLD BOX d.o.o., OIB 73564183237</derivirana_varijabla>
  </DomainObject.Predmet.ProtustrankaFormatedOIB>
  <DomainObject.Predmet.ProtustrankaFormatedWithAdress>
    <izvorni_sadrzaj> GOLD BOX d.o.o., V. Livadarski Odvojak 1, 10000 Zagreb</izvorni_sadrzaj>
    <derivirana_varijabla naziv="DomainObject.Predmet.ProtustrankaFormatedWithAdress_1"> GOLD BOX d.o.o., V. Livadarski Odvojak 1, 10000 Zagreb</derivirana_varijabla>
  </DomainObject.Predmet.ProtustrankaFormatedWithAdress>
  <DomainObject.Predmet.ProtustrankaFormatedWithAdressOIB>
    <izvorni_sadrzaj> GOLD BOX d.o.o., OIB 73564183237, V. Livadarski Odvojak 1, 10000 Zagreb</izvorni_sadrzaj>
    <derivirana_varijabla naziv="DomainObject.Predmet.ProtustrankaFormatedWithAdressOIB_1"> GOLD BOX d.o.o., OIB 73564183237, V. Livadarski Odvojak 1, 10000 Zagreb</derivirana_varijabla>
  </DomainObject.Predmet.ProtustrankaFormatedWithAdressOIB>
  <DomainObject.Predmet.ProtustrankaWithAdress>
    <izvorni_sadrzaj>GOLD BOX d.o.o. V. Livadarski Odvojak 1, 10000 Zagreb</izvorni_sadrzaj>
    <derivirana_varijabla naziv="DomainObject.Predmet.ProtustrankaWithAdress_1">GOLD BOX d.o.o. V. Livadarski Odvojak 1, 10000 Zagreb</derivirana_varijabla>
  </DomainObject.Predmet.ProtustrankaWithAdress>
  <DomainObject.Predmet.ProtustrankaWithAdressOIB>
    <izvorni_sadrzaj>GOLD BOX d.o.o., OIB 73564183237, V. Livadarski Odvojak 1, 10000 Zagreb</izvorni_sadrzaj>
    <derivirana_varijabla naziv="DomainObject.Predmet.ProtustrankaWithAdressOIB_1">GOLD BOX d.o.o., OIB 73564183237, V. Livadarski Odvojak 1, 10000 Zagreb</derivirana_varijabla>
  </DomainObject.Predmet.ProtustrankaWithAdressOIB>
  <DomainObject.Predmet.ProtustrankaNazivFormated>
    <izvorni_sadrzaj>GOLD BOX d.o.o.</izvorni_sadrzaj>
    <derivirana_varijabla naziv="DomainObject.Predmet.ProtustrankaNazivFormated_1">GOLD BOX d.o.o.</derivirana_varijabla>
  </DomainObject.Predmet.ProtustrankaNazivFormated>
  <DomainObject.Predmet.ProtustrankaNazivFormatedOIB>
    <izvorni_sadrzaj>GOLD BOX d.o.o., OIB 73564183237</izvorni_sadrzaj>
    <derivirana_varijabla naziv="DomainObject.Predmet.ProtustrankaNazivFormatedOIB_1">GOLD BOX d.o.o., OIB 73564183237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GOLD BOX d.o.o.</item>
    </izvorni_sadrzaj>
    <derivirana_varijabla naziv="DomainObject.Predmet.ProtuStrankaListFormated_1">
      <item>GOLD BOX d.o.o.</item>
    </derivirana_varijabla>
  </DomainObject.Predmet.ProtuStrankaListFormated>
  <DomainObject.Predmet.ProtuStrankaListFormatedOIB>
    <izvorni_sadrzaj>
      <item>GOLD BOX d.o.o., OIB 73564183237</item>
    </izvorni_sadrzaj>
    <derivirana_varijabla naziv="DomainObject.Predmet.ProtuStrankaListFormatedOIB_1">
      <item>GOLD BOX d.o.o., OIB 73564183237</item>
    </derivirana_varijabla>
  </DomainObject.Predmet.ProtuStrankaListFormatedOIB>
  <DomainObject.Predmet.ProtuStrankaListFormatedWithAdress>
    <izvorni_sadrzaj>
      <item>GOLD BOX d.o.o., V. Livadarski Odvojak 1, 10000 Zagreb</item>
    </izvorni_sadrzaj>
    <derivirana_varijabla naziv="DomainObject.Predmet.ProtuStrankaListFormatedWithAdress_1">
      <item>GOLD BOX d.o.o., V. Livadarski Odvojak 1, 10000 Zagreb</item>
    </derivirana_varijabla>
  </DomainObject.Predmet.ProtuStrankaListFormatedWithAdress>
  <DomainObject.Predmet.ProtuStrankaListFormatedWithAdressOIB>
    <izvorni_sadrzaj>
      <item>GOLD BOX d.o.o., OIB 73564183237, V. Livadarski Odvojak 1, 10000 Zagreb</item>
    </izvorni_sadrzaj>
    <derivirana_varijabla naziv="DomainObject.Predmet.ProtuStrankaListFormatedWithAdressOIB_1">
      <item>GOLD BOX d.o.o., OIB 73564183237, V. Livadarski Odvojak 1, 10000 Zagreb</item>
    </derivirana_varijabla>
  </DomainObject.Predmet.ProtuStrankaListFormatedWithAdressOIB>
  <DomainObject.Predmet.ProtuStrankaListNazivFormated>
    <izvorni_sadrzaj>
      <item>GOLD BOX d.o.o.</item>
    </izvorni_sadrzaj>
    <derivirana_varijabla naziv="DomainObject.Predmet.ProtuStrankaListNazivFormated_1">
      <item>GOLD BOX d.o.o.</item>
    </derivirana_varijabla>
  </DomainObject.Predmet.ProtuStrankaListNazivFormated>
  <DomainObject.Predmet.ProtuStrankaListNazivFormatedOIB>
    <izvorni_sadrzaj>
      <item>GOLD BOX d.o.o., OIB 73564183237</item>
    </izvorni_sadrzaj>
    <derivirana_varijabla naziv="DomainObject.Predmet.ProtuStrankaListNazivFormatedOIB_1">
      <item>GOLD BOX d.o.o., OIB 73564183237</item>
    </derivirana_varijabla>
  </DomainObject.Predmet.ProtuStrankaListNazivFormatedOIB>
  <DomainObject.Predmet.OstaliListFormated>
    <izvorni_sadrzaj>
      <item>Rok Gale</item>
      <item>HRVATSKI ZAVOD ZA MIROVINSKO OSIGURANJE</item>
      <item>Raiffeisenbank Austria d.d.</item>
      <item>Saša Poldan</item>
    </izvorni_sadrzaj>
    <derivirana_varijabla naziv="DomainObject.Predmet.OstaliListFormated_1">
      <item>Rok Gale</item>
      <item>HRVATSKI ZAVOD ZA MIROVINSKO OSIGURANJE</item>
      <item>Raiffeisenbank Austria d.d.</item>
      <item>Saša Poldan</item>
    </derivirana_varijabla>
  </DomainObject.Predmet.OstaliListFormated>
  <DomainObject.Predmet.OstaliListFormatedOIB>
    <izvorni_sadrzaj>
      <item>Rok Gale, OIB 15641743452</item>
      <item>HRVATSKI ZAVOD ZA MIROVINSKO OSIGURANJE, OIB 84397956623</item>
      <item>Raiffeisenbank Austria d.d., OIB 53056966535</item>
      <item>Saša Poldan</item>
    </izvorni_sadrzaj>
    <derivirana_varijabla naziv="DomainObject.Predmet.OstaliListFormatedOIB_1">
      <item>Rok Gale, OIB 15641743452</item>
      <item>HRVATSKI ZAVOD ZA MIROVINSKO OSIGURANJE, OIB 84397956623</item>
      <item>Raiffeisenbank Austria d.d., OIB 53056966535</item>
      <item>Saša Poldan</item>
    </derivirana_varijabla>
  </DomainObject.Predmet.OstaliListFormatedOIB>
  <DomainObject.Predmet.OstaliListFormatedWithAdress>
    <izvorni_sadrzaj>
      <item>Rok Gale, Srebrnjak 124d, 10000 Zagreb</item>
      <item>HRVATSKI ZAVOD ZA MIROVINSKO OSIGURANJE, Trpimirova 4, 10000 Zagreb</item>
      <item>Raiffeisenbank Austria d.d., Petrinjska 59, 10000 Zagreb</item>
      <item>Saša Poldan, Ulica grada Mainza 11, 10000 Zagreb</item>
    </izvorni_sadrzaj>
    <derivirana_varijabla naziv="DomainObject.Predmet.OstaliListFormatedWithAdress_1">
      <item>Rok Gale, Srebrnjak 124d, 10000 Zagreb</item>
      <item>HRVATSKI ZAVOD ZA MIROVINSKO OSIGURANJE, Trpimirova 4, 10000 Zagreb</item>
      <item>Raiffeisenbank Austria d.d., Petrinjska 59, 10000 Zagreb</item>
      <item>Saša Poldan, Ulica grada Mainza 11, 10000 Zagreb</item>
    </derivirana_varijabla>
  </DomainObject.Predmet.OstaliListFormatedWithAdress>
  <DomainObject.Predmet.OstaliListFormatedWithAdressOIB>
    <izvorni_sadrzaj>
      <item>Rok Gale, OIB 15641743452, Srebrnjak 124d, 10000 Zagreb</item>
      <item>HRVATSKI ZAVOD ZA MIROVINSKO OSIGURANJE, OIB 84397956623, Trpimirova 4, 10000 Zagreb</item>
      <item>Raiffeisenbank Austria d.d., OIB 53056966535, Petrinjska 59, 10000 Zagreb</item>
      <item>Saša Poldan, Ulica grada Mainza 11, 10000 Zagreb</item>
    </izvorni_sadrzaj>
    <derivirana_varijabla naziv="DomainObject.Predmet.OstaliListFormatedWithAdressOIB_1">
      <item>Rok Gale, OIB 15641743452, Srebrnjak 124d, 10000 Zagreb</item>
      <item>HRVATSKI ZAVOD ZA MIROVINSKO OSIGURANJE, OIB 84397956623, Trpimirova 4, 10000 Zagreb</item>
      <item>Raiffeisenbank Austria d.d., OIB 53056966535, Petrinjska 59, 10000 Zagreb</item>
      <item>Saša Poldan, Ulica grada Mainza 11, 10000 Zagreb</item>
    </derivirana_varijabla>
  </DomainObject.Predmet.OstaliListFormatedWithAdressOIB>
  <DomainObject.Predmet.OstaliListNazivFormated>
    <izvorni_sadrzaj>
      <item>Rok Gale</item>
      <item>HRVATSKI ZAVOD ZA MIROVINSKO OSIGURANJE</item>
      <item>Raiffeisenbank Austria d.d.</item>
      <item>Saša Poldan</item>
    </izvorni_sadrzaj>
    <derivirana_varijabla naziv="DomainObject.Predmet.OstaliListNazivFormated_1">
      <item>Rok Gale</item>
      <item>HRVATSKI ZAVOD ZA MIROVINSKO OSIGURANJE</item>
      <item>Raiffeisenbank Austria d.d.</item>
      <item>Saša Poldan</item>
    </derivirana_varijabla>
  </DomainObject.Predmet.OstaliListNazivFormated>
  <DomainObject.Predmet.OstaliListNazivFormatedOIB>
    <izvorni_sadrzaj>
      <item>Rok Gale, OIB 15641743452</item>
      <item>HRVATSKI ZAVOD ZA MIROVINSKO OSIGURANJE, OIB 84397956623</item>
      <item>Raiffeisenbank Austria d.d., OIB 53056966535</item>
      <item>Saša Poldan</item>
    </izvorni_sadrzaj>
    <derivirana_varijabla naziv="DomainObject.Predmet.OstaliListNazivFormatedOIB_1">
      <item>Rok Gale, OIB 15641743452</item>
      <item>HRVATSKI ZAVOD ZA MIROVINSKO OSIGURANJE, OIB 84397956623</item>
      <item>Raiffeisenbank Austria d.d., OIB 53056966535</item>
      <item>Saša Poldan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2016.</izvorni_sadrzaj>
    <derivirana_varijabla naziv="DomainObject.Datum_1">16.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GOLD BOX d.o.o.</izvorni_sadrzaj>
    <derivirana_varijabla naziv="DomainObject.Predmet.ProtustrankaIDrugi_1">GOLD BOX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GOLD BOX d.o.o., OIB 73564183237, V. Livadarski Odvojak 1, 10000 Zagreb</izvorni_sadrzaj>
    <derivirana_varijabla naziv="DomainObject.Predmet.ProtustrankaIDrugiAdressOIB_1">GOLD BOX d.o.o., OIB 73564183237, V. Livadarski Odvojak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GOLD BOX d.o.o.</item>
      <item>FINA Regionalni centar Zagreb</item>
      <item>Rok Gale</item>
      <item>HRVATSKI ZAVOD ZA MIROVINSKO OSIGURANJE</item>
      <item>Raiffeisenbank Austria d.d.</item>
      <item>Saša Poldan</item>
    </izvorni_sadrzaj>
    <derivirana_varijabla naziv="DomainObject.Predmet.SudioniciListNaziv_1">
      <item>GOLD BOX d.o.o.</item>
      <item>FINA Regionalni centar Zagreb</item>
      <item>Rok Gale</item>
      <item>HRVATSKI ZAVOD ZA MIROVINSKO OSIGURANJE</item>
      <item>Raiffeisenbank Austria d.d.</item>
      <item>Saša Poldan</item>
    </derivirana_varijabla>
  </DomainObject.Predmet.SudioniciListNaziv>
  <DomainObject.Predmet.SudioniciListAdressOIB>
    <izvorni_sadrzaj>
      <item>GOLD BOX d.o.o., OIB 73564183237, V. Livadarski Odvojak 1,10000 Zagreb</item>
      <item>FINA Regionalni centar Zagreb, OIB 85821130368, Trg svibanjskih žrtava 1995. 1,10000 Zagreb</item>
      <item>Rok Gale, OIB 15641743452, Srebrnjak 124d,10000 Zagreb</item>
      <item>HRVATSKI ZAVOD ZA MIROVINSKO OSIGURANJE, OIB 84397956623, Trpimirova 4,10000 Zagreb</item>
      <item>Raiffeisenbank Austria d.d., OIB 53056966535, Petrinjska 59,10000 Zagreb</item>
      <item>Saša Poldan, Ulica grada Mainza 11,10000 Zagreb</item>
    </izvorni_sadrzaj>
    <derivirana_varijabla naziv="DomainObject.Predmet.SudioniciListAdressOIB_1">
      <item>GOLD BOX d.o.o., OIB 73564183237, V. Livadarski Odvojak 1,10000 Zagreb</item>
      <item>FINA Regionalni centar Zagreb, OIB 85821130368, Trg svibanjskih žrtava 1995. 1,10000 Zagreb</item>
      <item>Rok Gale, OIB 15641743452, Srebrnjak 124d,10000 Zagreb</item>
      <item>HRVATSKI ZAVOD ZA MIROVINSKO OSIGURANJE, OIB 84397956623, Trpimirova 4,10000 Zagreb</item>
      <item>Raiffeisenbank Austria d.d., OIB 53056966535, Petrinjska 59,10000 Zagreb</item>
      <item>Saša Poldan, Ulica grada Mainza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73564183237</item>
      <item>, OIB 85821130368</item>
      <item>, OIB 15641743452</item>
      <item>, OIB 84397956623</item>
      <item>, OIB 53056966535</item>
      <item>, OIB null</item>
    </izvorni_sadrzaj>
    <derivirana_varijabla naziv="DomainObject.Predmet.SudioniciListNazivOIB_1">
      <item>, OIB 73564183237</item>
      <item>, OIB 85821130368</item>
      <item>, OIB 15641743452</item>
      <item>, OIB 84397956623</item>
      <item>, OIB 53056966535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921</properties:Words>
  <properties:Characters>5240</properties:Characters>
  <properties:Lines>99</properties:Lines>
  <properties:Paragraphs>31</properties:Paragraphs>
  <properties:TotalTime>1</properties:TotalTime>
  <properties:ScaleCrop>false</properties:ScaleCrop>
  <properties:LinksUpToDate>false</properties:LinksUpToDate>
  <properties:CharactersWithSpaces>6199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2016-05-16T08:00:00Z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