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a5fe" w14:paraId="cafa5fe" w:rsidRDefault="00CD13D9" w:rsidP="00CD13D9" w:rsidR="00CD13D9" w:rsidRPr="00135FE0">
      <w:pPr>
        <w15:collapsed w:val="false"/>
        <w:rPr>
          <w:sz w:val="24"/>
          <w:szCs w:val="24"/>
        </w:rPr>
      </w:pPr>
      <w:bookmarkStart w:name="_GoBack" w:id="0"/>
      <w:bookmarkEnd w:id="0"/>
      <w:r w:rsidRPr="00135FE0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13D9" w:rsidP="00CD13D9" w:rsidR="00CD13D9" w:rsidRPr="00135FE0">
      <w:pPr>
        <w:rPr>
          <w:sz w:val="24"/>
          <w:szCs w:val="24"/>
        </w:rPr>
      </w:pPr>
      <w:r w:rsidRPr="00135FE0">
        <w:rPr>
          <w:sz w:val="24"/>
          <w:szCs w:val="24"/>
        </w:rPr>
        <w:t>REPUBLIKA HRVATSKA</w:t>
      </w:r>
    </w:p>
    <w:p w:rsidRDefault="00CD13D9" w:rsidP="00CD13D9" w:rsidR="00CD13D9" w:rsidRPr="00135FE0">
      <w:pPr>
        <w:rPr>
          <w:sz w:val="24"/>
          <w:szCs w:val="24"/>
        </w:rPr>
      </w:pPr>
      <w:r w:rsidRPr="00135FE0">
        <w:rPr>
          <w:sz w:val="24"/>
          <w:szCs w:val="24"/>
        </w:rPr>
        <w:t>TRGOVAČKI SUD U ZAGREBU</w:t>
      </w:r>
    </w:p>
    <w:p w:rsidRDefault="00CD13D9" w:rsidP="00CD13D9" w:rsidR="00135FE0">
      <w:pPr>
        <w:rPr>
          <w:sz w:val="24"/>
          <w:szCs w:val="24"/>
        </w:rPr>
      </w:pPr>
      <w:r w:rsidRPr="00135FE0">
        <w:rPr>
          <w:sz w:val="24"/>
          <w:szCs w:val="24"/>
        </w:rPr>
        <w:t xml:space="preserve">Zagreb, Amruševa 2/II     </w:t>
      </w:r>
      <w:r w:rsidRPr="00135FE0">
        <w:rPr>
          <w:sz w:val="24"/>
          <w:szCs w:val="24"/>
        </w:rPr>
        <w:tab/>
      </w:r>
    </w:p>
    <w:p w:rsidRDefault="00CD13D9" w:rsidP="00CD13D9" w:rsidR="00CD13D9" w:rsidRPr="00135FE0">
      <w:pPr>
        <w:rPr>
          <w:sz w:val="24"/>
          <w:szCs w:val="24"/>
        </w:rPr>
      </w:pPr>
      <w:r w:rsidRPr="00135FE0">
        <w:rPr>
          <w:sz w:val="24"/>
          <w:szCs w:val="24"/>
        </w:rPr>
        <w:tab/>
      </w:r>
      <w:r w:rsidRPr="00135FE0">
        <w:rPr>
          <w:sz w:val="24"/>
          <w:szCs w:val="24"/>
        </w:rPr>
        <w:tab/>
      </w:r>
      <w:r w:rsidRPr="00135FE0">
        <w:rPr>
          <w:sz w:val="24"/>
          <w:szCs w:val="24"/>
        </w:rPr>
        <w:tab/>
      </w:r>
      <w:r w:rsidRPr="00135FE0">
        <w:rPr>
          <w:sz w:val="24"/>
          <w:szCs w:val="24"/>
        </w:rPr>
        <w:tab/>
      </w:r>
    </w:p>
    <w:p w:rsidRDefault="00CD13D9" w:rsidP="00CD13D9" w:rsidR="00CD13D9" w:rsidRPr="00135FE0">
      <w:pPr>
        <w:rPr>
          <w:sz w:val="24"/>
          <w:szCs w:val="24"/>
        </w:rPr>
      </w:pPr>
    </w:p>
    <w:p w:rsidRDefault="00CD13D9" w:rsidP="00CD13D9" w:rsidR="00CD13D9" w:rsidRPr="00135FE0">
      <w:pPr>
        <w:jc w:val="center"/>
        <w:rPr>
          <w:sz w:val="24"/>
          <w:szCs w:val="24"/>
        </w:rPr>
      </w:pPr>
      <w:r w:rsidRPr="00135FE0">
        <w:rPr>
          <w:sz w:val="24"/>
          <w:szCs w:val="24"/>
        </w:rPr>
        <w:t>R E P U B L I K A   H R V A T S K A</w:t>
      </w:r>
    </w:p>
    <w:p w:rsidRDefault="00CD13D9" w:rsidP="00CD13D9" w:rsidR="00CD13D9" w:rsidRPr="00135FE0">
      <w:pPr>
        <w:pStyle w:val="Bezproreda"/>
        <w:jc w:val="center"/>
      </w:pPr>
      <w:r w:rsidRPr="00135FE0">
        <w:t>R J E Š E NJ E</w:t>
      </w:r>
    </w:p>
    <w:p w:rsidRDefault="00CD13D9" w:rsidP="00CD13D9" w:rsidR="00CD13D9" w:rsidRPr="00135FE0">
      <w:pPr>
        <w:pStyle w:val="Bezproreda"/>
        <w:jc w:val="center"/>
      </w:pPr>
    </w:p>
    <w:p w:rsidRDefault="00CD13D9" w:rsidP="00CD13D9" w:rsidR="00CD13D9">
      <w:pPr>
        <w:jc w:val="both"/>
        <w:rPr>
          <w:sz w:val="24"/>
          <w:szCs w:val="24"/>
        </w:rPr>
      </w:pPr>
      <w:r w:rsidRPr="00135FE0">
        <w:rPr>
          <w:sz w:val="24"/>
          <w:szCs w:val="24"/>
        </w:rPr>
        <w:t>Trgovački sud u Zagrebu, po sucu Nikoli Ribarić, u predstečajnom postupku u povodu prijedloga dužnika TEHNIKA d.d., Zagreb (Grad Zagreb), Ulica grada Vukovara 274, OIB: 73037001250,  dana 18. srpnja 2019.</w:t>
      </w:r>
    </w:p>
    <w:p w:rsidRDefault="00135FE0" w:rsidP="00CD13D9" w:rsidR="00135FE0" w:rsidRPr="00135FE0">
      <w:pPr>
        <w:jc w:val="both"/>
        <w:rPr>
          <w:sz w:val="24"/>
          <w:szCs w:val="24"/>
        </w:rPr>
      </w:pPr>
    </w:p>
    <w:p w:rsidRDefault="00CD13D9" w:rsidP="00CD13D9" w:rsidR="00CD13D9" w:rsidRPr="00135FE0">
      <w:pPr>
        <w:widowControl/>
        <w:jc w:val="both"/>
        <w:rPr>
          <w:sz w:val="24"/>
          <w:szCs w:val="24"/>
        </w:rPr>
      </w:pPr>
    </w:p>
    <w:p w:rsidRDefault="00CD13D9" w:rsidP="00CD13D9" w:rsidR="00CD13D9" w:rsidRPr="00135FE0">
      <w:pPr>
        <w:widowControl/>
        <w:jc w:val="center"/>
        <w:rPr>
          <w:sz w:val="24"/>
          <w:szCs w:val="24"/>
        </w:rPr>
      </w:pPr>
      <w:r w:rsidRPr="00135FE0">
        <w:rPr>
          <w:sz w:val="24"/>
          <w:szCs w:val="24"/>
        </w:rPr>
        <w:t>r i j e š i o   j e</w:t>
      </w:r>
    </w:p>
    <w:p w:rsidRDefault="00CD13D9" w:rsidP="00CD13D9" w:rsidR="00CD13D9" w:rsidRPr="00135FE0">
      <w:pPr>
        <w:widowControl/>
        <w:jc w:val="center"/>
        <w:rPr>
          <w:sz w:val="24"/>
          <w:szCs w:val="24"/>
        </w:rPr>
      </w:pPr>
    </w:p>
    <w:p w:rsidRDefault="00CD13D9" w:rsidP="00CD13D9" w:rsidR="00CD13D9" w:rsidRPr="00135FE0">
      <w:pPr>
        <w:widowControl/>
        <w:jc w:val="both"/>
        <w:rPr>
          <w:sz w:val="24"/>
          <w:szCs w:val="24"/>
        </w:rPr>
      </w:pPr>
      <w:r w:rsidRPr="00135FE0">
        <w:rPr>
          <w:sz w:val="24"/>
          <w:szCs w:val="24"/>
        </w:rPr>
        <w:t>I ispravlja se Rješenje o utvrđenim i osporenim tražbinama ovoga suda, poslovnog broja St-2481/2018 – 196 od dana 12. lipnja 2019. godine,  na način da u točki I izreke, Utvrđene tražbine umjesto:</w:t>
      </w:r>
    </w:p>
    <w:p w:rsidRDefault="000B7CE0" w:rsidP="00CD13D9" w:rsidR="000B7CE0" w:rsidRPr="00135FE0">
      <w:pPr>
        <w:widowControl/>
        <w:jc w:val="both"/>
        <w:rPr>
          <w:sz w:val="24"/>
          <w:szCs w:val="24"/>
        </w:rPr>
      </w:pPr>
    </w:p>
    <w:p w:rsidRDefault="000B7CE0" w:rsidP="00CD13D9" w:rsidR="000B7CE0" w:rsidRPr="00135FE0">
      <w:pPr>
        <w:widowControl/>
        <w:jc w:val="both"/>
        <w:rPr>
          <w:sz w:val="24"/>
          <w:szCs w:val="24"/>
        </w:rPr>
      </w:pPr>
      <w:r w:rsidRPr="00135FE0">
        <w:rPr>
          <w:sz w:val="24"/>
          <w:szCs w:val="24"/>
        </w:rPr>
        <w:t>„</w:t>
      </w:r>
    </w:p>
    <w:p w:rsidRDefault="000B7CE0" w:rsidP="00CD13D9" w:rsidR="000B7CE0" w:rsidRPr="00135FE0">
      <w:pPr>
        <w:widowControl/>
        <w:jc w:val="both"/>
        <w:rPr>
          <w:sz w:val="24"/>
          <w:szCs w:val="24"/>
        </w:rPr>
      </w:pPr>
    </w:p>
    <w:tbl>
      <w:tblPr>
        <w:tblW w:type="auto" w:w="0"/>
        <w:tblLayout w:type="fixed"/>
        <w:tblCellMar>
          <w:left w:type="dxa" w:w="96"/>
          <w:right w:type="dxa" w:w="96"/>
        </w:tblCellMar>
        <w:tblLook w:val="04A0" w:noVBand="1" w:noHBand="0" w:lastColumn="0" w:firstColumn="1" w:lastRow="0" w:firstRow="1"/>
      </w:tblPr>
      <w:tblGrid>
        <w:gridCol w:w="904"/>
        <w:gridCol w:w="4669"/>
        <w:gridCol w:w="2162"/>
        <w:gridCol w:w="1529"/>
      </w:tblGrid>
      <w:tr w:rsidTr="00135FE0" w:rsidR="00CD13D9" w:rsidRPr="00135FE0">
        <w:trPr>
          <w:trHeight w:val="400"/>
        </w:trPr>
        <w:tc>
          <w:tcPr>
            <w:tcW w:type="dxa" w:w="904"/>
            <w:tcBorders>
              <w:top w:space="0" w:sz="3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CD13D9" w:rsidP="00036674" w:rsidR="00CD13D9" w:rsidRPr="00135FE0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135FE0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R.Br.</w:t>
            </w:r>
          </w:p>
        </w:tc>
        <w:tc>
          <w:tcPr>
            <w:tcW w:type="dxa" w:w="4669"/>
            <w:tcBorders>
              <w:top w:space="0" w:sz="3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CD13D9" w:rsidP="00036674" w:rsidR="00CD13D9" w:rsidRPr="00135FE0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135FE0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Vjerovnik</w:t>
            </w:r>
          </w:p>
        </w:tc>
        <w:tc>
          <w:tcPr>
            <w:tcW w:type="dxa" w:w="2162"/>
            <w:tcBorders>
              <w:top w:space="0" w:sz="3" w:color="auto" w:val="single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13D9" w:rsidP="00036674" w:rsidR="00CD13D9" w:rsidRPr="00135FE0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135FE0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OIB vjerovnika</w:t>
            </w:r>
          </w:p>
        </w:tc>
        <w:tc>
          <w:tcPr>
            <w:tcW w:type="dxa" w:w="1529"/>
            <w:tcBorders>
              <w:top w:space="0" w:sz="3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CD13D9" w:rsidP="00036674" w:rsidR="00CD13D9" w:rsidRPr="00135FE0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135FE0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Iznos (kn)</w:t>
            </w:r>
          </w:p>
        </w:tc>
      </w:tr>
      <w:tr w:rsidTr="00135FE0" w:rsidR="00CD13D9" w:rsidRPr="00135FE0">
        <w:trPr>
          <w:trHeight w:val="226"/>
        </w:trPr>
        <w:tc>
          <w:tcPr>
            <w:tcW w:type="dxa" w:w="904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CD13D9" w:rsidP="00036674" w:rsidR="00CD13D9" w:rsidRPr="00135FE0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135FE0">
              <w:rPr>
                <w:rFonts w:eastAsia="Calibri"/>
                <w:sz w:val="24"/>
                <w:szCs w:val="24"/>
                <w:lang w:eastAsia="en-US"/>
              </w:rPr>
              <w:t>391</w:t>
            </w:r>
          </w:p>
        </w:tc>
        <w:tc>
          <w:tcPr>
            <w:tcW w:type="dxa" w:w="4669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CD13D9" w:rsidP="00036674" w:rsidR="00CD13D9" w:rsidRPr="00135FE0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135FE0">
              <w:rPr>
                <w:rFonts w:eastAsia="Calibri"/>
                <w:sz w:val="24"/>
                <w:szCs w:val="24"/>
                <w:lang w:eastAsia="en-US"/>
              </w:rPr>
              <w:t>OTP banka Hrvatska dioničko društvo</w:t>
            </w:r>
          </w:p>
        </w:tc>
        <w:tc>
          <w:tcPr>
            <w:tcW w:type="dxa" w:w="2162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D13D9" w:rsidP="00036674" w:rsidR="00CD13D9" w:rsidRPr="00135FE0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135FE0">
              <w:rPr>
                <w:rFonts w:eastAsia="Calibri"/>
                <w:sz w:val="24"/>
                <w:szCs w:val="24"/>
                <w:lang w:eastAsia="en-US"/>
              </w:rPr>
              <w:t>52508873833</w:t>
            </w:r>
          </w:p>
        </w:tc>
        <w:tc>
          <w:tcPr>
            <w:tcW w:type="dxa" w:w="1529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CD13D9" w:rsidP="00036674" w:rsidR="00CD13D9" w:rsidRPr="00135FE0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135FE0">
              <w:rPr>
                <w:rFonts w:eastAsia="Calibri"/>
                <w:sz w:val="24"/>
                <w:szCs w:val="24"/>
                <w:lang w:eastAsia="en-US"/>
              </w:rPr>
              <w:t>207.490,45</w:t>
            </w:r>
          </w:p>
        </w:tc>
      </w:tr>
    </w:tbl>
    <w:p w:rsidRDefault="00CD13D9" w:rsidP="00CD13D9" w:rsidR="00CD13D9" w:rsidRPr="00135FE0">
      <w:pPr>
        <w:widowControl/>
        <w:jc w:val="both"/>
        <w:rPr>
          <w:sz w:val="24"/>
          <w:szCs w:val="24"/>
        </w:rPr>
      </w:pPr>
    </w:p>
    <w:p w:rsidRDefault="000B7CE0" w:rsidP="00CD13D9" w:rsidR="000B7CE0" w:rsidRPr="00135FE0">
      <w:pPr>
        <w:widowControl/>
        <w:jc w:val="both"/>
        <w:rPr>
          <w:sz w:val="24"/>
          <w:szCs w:val="24"/>
        </w:rPr>
      </w:pPr>
      <w:r w:rsidRPr="00135FE0">
        <w:rPr>
          <w:sz w:val="24"/>
          <w:szCs w:val="24"/>
        </w:rPr>
        <w:t>„</w:t>
      </w:r>
    </w:p>
    <w:p w:rsidRDefault="000B7CE0" w:rsidP="00CD13D9" w:rsidR="000B7CE0" w:rsidRPr="00135FE0">
      <w:pPr>
        <w:widowControl/>
        <w:jc w:val="both"/>
        <w:rPr>
          <w:sz w:val="24"/>
          <w:szCs w:val="24"/>
        </w:rPr>
      </w:pPr>
    </w:p>
    <w:p w:rsidRDefault="000B7CE0" w:rsidP="00CD13D9" w:rsidR="000B7CE0" w:rsidRPr="00135FE0">
      <w:pPr>
        <w:widowControl/>
        <w:jc w:val="both"/>
        <w:rPr>
          <w:sz w:val="24"/>
          <w:szCs w:val="24"/>
        </w:rPr>
      </w:pPr>
    </w:p>
    <w:p w:rsidRDefault="000B7CE0" w:rsidP="00CD13D9" w:rsidR="00CD13D9" w:rsidRPr="00135FE0">
      <w:pPr>
        <w:widowControl/>
        <w:jc w:val="both"/>
        <w:rPr>
          <w:sz w:val="24"/>
          <w:szCs w:val="24"/>
        </w:rPr>
      </w:pPr>
      <w:r w:rsidRPr="00135FE0">
        <w:rPr>
          <w:sz w:val="24"/>
          <w:szCs w:val="24"/>
        </w:rPr>
        <w:t>ima stajati</w:t>
      </w:r>
    </w:p>
    <w:p w:rsidRDefault="000B7CE0" w:rsidP="00CD13D9" w:rsidR="000B7CE0" w:rsidRPr="00135FE0">
      <w:pPr>
        <w:widowControl/>
        <w:jc w:val="both"/>
        <w:rPr>
          <w:sz w:val="24"/>
          <w:szCs w:val="24"/>
        </w:rPr>
      </w:pPr>
    </w:p>
    <w:p w:rsidRDefault="000B7CE0" w:rsidP="00CD13D9" w:rsidR="000B7CE0" w:rsidRPr="00135FE0">
      <w:pPr>
        <w:widowControl/>
        <w:jc w:val="both"/>
        <w:rPr>
          <w:sz w:val="24"/>
          <w:szCs w:val="24"/>
        </w:rPr>
      </w:pPr>
      <w:r w:rsidRPr="00135FE0">
        <w:rPr>
          <w:sz w:val="24"/>
          <w:szCs w:val="24"/>
        </w:rPr>
        <w:t>„</w:t>
      </w:r>
    </w:p>
    <w:p w:rsidRDefault="000B7CE0" w:rsidP="00CD13D9" w:rsidR="000B7CE0" w:rsidRPr="00135FE0">
      <w:pPr>
        <w:widowControl/>
        <w:jc w:val="both"/>
        <w:rPr>
          <w:sz w:val="24"/>
          <w:szCs w:val="24"/>
        </w:rPr>
      </w:pPr>
    </w:p>
    <w:p w:rsidRDefault="000B7CE0" w:rsidP="00CD13D9" w:rsidR="000B7CE0" w:rsidRPr="00135FE0">
      <w:pPr>
        <w:widowControl/>
        <w:jc w:val="both"/>
        <w:rPr>
          <w:sz w:val="24"/>
          <w:szCs w:val="24"/>
        </w:rPr>
      </w:pPr>
    </w:p>
    <w:tbl>
      <w:tblPr>
        <w:tblW w:type="pct" w:w="5000"/>
        <w:tblCellMar>
          <w:left w:type="dxa" w:w="96"/>
          <w:right w:type="dxa" w:w="96"/>
        </w:tblCellMar>
        <w:tblLook w:val="04A0" w:noVBand="1" w:noHBand="0" w:lastColumn="0" w:firstColumn="1" w:lastRow="0" w:firstRow="1"/>
      </w:tblPr>
      <w:tblGrid>
        <w:gridCol w:w="910"/>
        <w:gridCol w:w="4697"/>
        <w:gridCol w:w="2175"/>
        <w:gridCol w:w="1482"/>
      </w:tblGrid>
      <w:tr w:rsidTr="00135FE0" w:rsidR="000B7CE0" w:rsidRPr="00135FE0">
        <w:trPr>
          <w:trHeight w:val="400"/>
        </w:trPr>
        <w:tc>
          <w:tcPr>
            <w:tcW w:type="pct" w:w="491"/>
            <w:tcBorders>
              <w:top w:space="0" w:sz="3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0B7CE0" w:rsidP="00036674" w:rsidR="000B7CE0" w:rsidRPr="00135FE0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135FE0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R.Br.</w:t>
            </w:r>
          </w:p>
        </w:tc>
        <w:tc>
          <w:tcPr>
            <w:tcW w:type="pct" w:w="2535"/>
            <w:tcBorders>
              <w:top w:space="0" w:sz="3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0B7CE0" w:rsidP="00036674" w:rsidR="000B7CE0" w:rsidRPr="00135FE0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135FE0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Vjerovnik</w:t>
            </w:r>
          </w:p>
        </w:tc>
        <w:tc>
          <w:tcPr>
            <w:tcW w:type="pct" w:w="1174"/>
            <w:tcBorders>
              <w:top w:space="0" w:sz="3" w:color="auto" w:val="single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B7CE0" w:rsidP="00036674" w:rsidR="000B7CE0" w:rsidRPr="00135FE0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135FE0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OIB vjerovnika</w:t>
            </w:r>
          </w:p>
        </w:tc>
        <w:tc>
          <w:tcPr>
            <w:tcW w:type="pct" w:w="800"/>
            <w:tcBorders>
              <w:top w:space="0" w:sz="3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0B7CE0" w:rsidP="00036674" w:rsidR="000B7CE0" w:rsidRPr="00135FE0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135FE0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Iznos (kn)</w:t>
            </w:r>
          </w:p>
        </w:tc>
      </w:tr>
      <w:tr w:rsidTr="00135FE0" w:rsidR="000B7CE0" w:rsidRPr="00135FE0">
        <w:trPr>
          <w:trHeight w:val="226"/>
        </w:trPr>
        <w:tc>
          <w:tcPr>
            <w:tcW w:type="pct" w:w="491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0B7CE0" w:rsidP="00036674" w:rsidR="000B7CE0" w:rsidRPr="00135FE0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135FE0">
              <w:rPr>
                <w:rFonts w:eastAsia="Calibri"/>
                <w:sz w:val="24"/>
                <w:szCs w:val="24"/>
                <w:lang w:eastAsia="en-US"/>
              </w:rPr>
              <w:t>391</w:t>
            </w:r>
          </w:p>
        </w:tc>
        <w:tc>
          <w:tcPr>
            <w:tcW w:type="pct" w:w="2535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0B7CE0" w:rsidP="00036674" w:rsidR="000B7CE0" w:rsidRPr="00135FE0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135FE0">
              <w:rPr>
                <w:rFonts w:eastAsia="Calibri"/>
                <w:sz w:val="24"/>
                <w:szCs w:val="24"/>
                <w:lang w:eastAsia="en-US"/>
              </w:rPr>
              <w:t>OTP banka Hrvatska dioničko društvo</w:t>
            </w:r>
          </w:p>
        </w:tc>
        <w:tc>
          <w:tcPr>
            <w:tcW w:type="pct" w:w="1174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B7CE0" w:rsidP="00036674" w:rsidR="000B7CE0" w:rsidRPr="00135FE0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135FE0">
              <w:rPr>
                <w:rFonts w:eastAsia="Calibri"/>
                <w:sz w:val="24"/>
                <w:szCs w:val="24"/>
                <w:lang w:eastAsia="en-US"/>
              </w:rPr>
              <w:t>52508873833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5A429F" w:rsidP="000B7CE0" w:rsidR="000B7CE0" w:rsidRPr="00135FE0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135FE0">
              <w:rPr>
                <w:rFonts w:eastAsia="Calibri"/>
                <w:sz w:val="24"/>
                <w:szCs w:val="24"/>
                <w:lang w:eastAsia="en-US"/>
              </w:rPr>
              <w:t>160,00</w:t>
            </w:r>
          </w:p>
        </w:tc>
      </w:tr>
    </w:tbl>
    <w:p w:rsidRDefault="000B7CE0" w:rsidP="00CD13D9" w:rsidR="000B7CE0" w:rsidRPr="00135FE0">
      <w:pPr>
        <w:widowControl/>
        <w:jc w:val="both"/>
        <w:rPr>
          <w:sz w:val="24"/>
          <w:szCs w:val="24"/>
        </w:rPr>
      </w:pPr>
    </w:p>
    <w:p w:rsidRDefault="000B7CE0" w:rsidP="00CD13D9" w:rsidR="000B7CE0" w:rsidRPr="00135FE0">
      <w:pPr>
        <w:widowControl/>
        <w:jc w:val="both"/>
        <w:rPr>
          <w:sz w:val="24"/>
          <w:szCs w:val="24"/>
        </w:rPr>
      </w:pPr>
    </w:p>
    <w:p w:rsidRDefault="000B7CE0" w:rsidP="00CD13D9" w:rsidR="000B7CE0" w:rsidRPr="00135FE0">
      <w:pPr>
        <w:widowControl/>
        <w:jc w:val="both"/>
        <w:rPr>
          <w:sz w:val="24"/>
          <w:szCs w:val="24"/>
        </w:rPr>
      </w:pPr>
      <w:r w:rsidRPr="00135FE0">
        <w:rPr>
          <w:sz w:val="24"/>
          <w:szCs w:val="24"/>
        </w:rPr>
        <w:t>„</w:t>
      </w:r>
    </w:p>
    <w:p w:rsidRDefault="000B7CE0" w:rsidP="00CD13D9" w:rsidR="000B7CE0" w:rsidRPr="00135FE0">
      <w:pPr>
        <w:widowControl/>
        <w:jc w:val="both"/>
        <w:rPr>
          <w:sz w:val="24"/>
          <w:szCs w:val="24"/>
        </w:rPr>
      </w:pPr>
    </w:p>
    <w:p w:rsidRDefault="005A429F" w:rsidP="00CD13D9" w:rsidR="00CD13D9" w:rsidRPr="00135FE0">
      <w:pPr>
        <w:widowControl/>
        <w:jc w:val="both"/>
        <w:rPr>
          <w:sz w:val="24"/>
          <w:szCs w:val="24"/>
        </w:rPr>
      </w:pPr>
      <w:r w:rsidRPr="00135FE0">
        <w:rPr>
          <w:sz w:val="24"/>
          <w:szCs w:val="24"/>
        </w:rPr>
        <w:t>dok u ostalom dijelu Rješenje od 12. lipnja 2019., poslovnog broja St-2481/2018 – 196 ostaje nepromijenjeno.</w:t>
      </w:r>
    </w:p>
    <w:p w:rsidRDefault="00CD13D9" w:rsidP="00CD13D9" w:rsidR="00CD13D9" w:rsidRPr="00135FE0">
      <w:pPr>
        <w:widowControl/>
        <w:jc w:val="both"/>
        <w:rPr>
          <w:sz w:val="24"/>
          <w:szCs w:val="24"/>
        </w:rPr>
      </w:pPr>
    </w:p>
    <w:p w:rsidRDefault="005A429F" w:rsidP="00CD13D9" w:rsidR="005A429F" w:rsidRPr="00135FE0">
      <w:pPr>
        <w:widowControl/>
        <w:jc w:val="both"/>
        <w:rPr>
          <w:sz w:val="24"/>
          <w:szCs w:val="24"/>
        </w:rPr>
      </w:pPr>
    </w:p>
    <w:p w:rsidRDefault="00CD13D9" w:rsidP="00CD13D9" w:rsidR="00CD13D9" w:rsidRPr="00135FE0">
      <w:pPr>
        <w:widowControl/>
        <w:jc w:val="both"/>
        <w:rPr>
          <w:sz w:val="24"/>
          <w:szCs w:val="24"/>
        </w:rPr>
      </w:pPr>
    </w:p>
    <w:p w:rsidRDefault="00CD13D9" w:rsidP="00CD13D9" w:rsidR="00CD13D9" w:rsidRPr="00135FE0">
      <w:pPr>
        <w:widowControl/>
        <w:jc w:val="center"/>
        <w:rPr>
          <w:sz w:val="24"/>
          <w:szCs w:val="24"/>
        </w:rPr>
      </w:pPr>
      <w:r w:rsidRPr="00135FE0">
        <w:rPr>
          <w:sz w:val="24"/>
          <w:szCs w:val="24"/>
        </w:rPr>
        <w:lastRenderedPageBreak/>
        <w:t xml:space="preserve">Obrazloženje </w:t>
      </w:r>
    </w:p>
    <w:p w:rsidRDefault="00CD13D9" w:rsidP="00CD13D9" w:rsidR="00CD13D9" w:rsidRPr="00135FE0">
      <w:pPr>
        <w:widowControl/>
        <w:jc w:val="both"/>
        <w:rPr>
          <w:sz w:val="24"/>
          <w:szCs w:val="24"/>
        </w:rPr>
      </w:pPr>
    </w:p>
    <w:p w:rsidRDefault="00CD13D9" w:rsidP="005039FC" w:rsidR="00832529" w:rsidRPr="00135FE0">
      <w:pPr>
        <w:widowControl/>
        <w:ind w:firstLine="708"/>
        <w:jc w:val="both"/>
        <w:rPr>
          <w:sz w:val="24"/>
          <w:szCs w:val="24"/>
        </w:rPr>
      </w:pPr>
      <w:r w:rsidRPr="00135FE0">
        <w:rPr>
          <w:sz w:val="24"/>
          <w:szCs w:val="24"/>
        </w:rPr>
        <w:t xml:space="preserve">Vjerovnik </w:t>
      </w:r>
      <w:r w:rsidR="00832529" w:rsidRPr="00135FE0">
        <w:rPr>
          <w:sz w:val="24"/>
          <w:szCs w:val="24"/>
        </w:rPr>
        <w:t xml:space="preserve">OTP banka Hrvatska dioničko društvo, OIB: 52508873833, </w:t>
      </w:r>
      <w:r w:rsidRPr="00135FE0">
        <w:rPr>
          <w:sz w:val="24"/>
          <w:szCs w:val="24"/>
        </w:rPr>
        <w:t xml:space="preserve">podnio je </w:t>
      </w:r>
      <w:r w:rsidR="00832529" w:rsidRPr="00135FE0">
        <w:rPr>
          <w:sz w:val="24"/>
          <w:szCs w:val="24"/>
        </w:rPr>
        <w:t>11</w:t>
      </w:r>
      <w:r w:rsidRPr="00135FE0">
        <w:rPr>
          <w:sz w:val="24"/>
          <w:szCs w:val="24"/>
        </w:rPr>
        <w:t xml:space="preserve">. srpnja 2019., prijedlog za ispravkom Rješenja o utvrđenim i osporenim tražbinama ovoga suda, poslovnog broja St-2481/2018-196 od 12. lipnja 2019. godine, na način da </w:t>
      </w:r>
      <w:r w:rsidR="00832529" w:rsidRPr="00135FE0">
        <w:rPr>
          <w:sz w:val="24"/>
          <w:szCs w:val="24"/>
        </w:rPr>
        <w:t>sud ispravi točku I izreke, utvrđene tražbine te da umjesto pogrešno naznačenog iznosa od 207.490,45 kuna, navede ispravan iznos od 160,00 kuna.</w:t>
      </w:r>
    </w:p>
    <w:p w:rsidRDefault="005039FC" w:rsidP="005039FC" w:rsidR="005039FC" w:rsidRPr="00135FE0">
      <w:pPr>
        <w:widowControl/>
        <w:ind w:firstLine="708"/>
        <w:jc w:val="both"/>
        <w:rPr>
          <w:sz w:val="24"/>
          <w:szCs w:val="24"/>
        </w:rPr>
      </w:pPr>
    </w:p>
    <w:p w:rsidRDefault="00832529" w:rsidP="005039FC" w:rsidR="00832529" w:rsidRPr="00135FE0">
      <w:pPr>
        <w:widowControl/>
        <w:ind w:firstLine="708"/>
        <w:jc w:val="both"/>
        <w:rPr>
          <w:sz w:val="24"/>
          <w:szCs w:val="24"/>
        </w:rPr>
      </w:pPr>
      <w:r w:rsidRPr="00135FE0">
        <w:rPr>
          <w:sz w:val="24"/>
          <w:szCs w:val="24"/>
        </w:rPr>
        <w:t xml:space="preserve">Vjerovnik u prijedlogu navodi kako je uvidom u Zapisnik od 6. ožujka 2019. godine, sa ročišta radi ispitivanja tražbina, vidljivo kako je tom vjerovniku priznata tražbina u iznosu od </w:t>
      </w:r>
      <w:r w:rsidR="00493105" w:rsidRPr="00135FE0">
        <w:rPr>
          <w:sz w:val="24"/>
          <w:szCs w:val="24"/>
        </w:rPr>
        <w:t>160,00 kuna, a prema prijavi vjerovnika.</w:t>
      </w:r>
    </w:p>
    <w:p w:rsidRDefault="005039FC" w:rsidP="005039FC" w:rsidR="005039FC" w:rsidRPr="00135FE0">
      <w:pPr>
        <w:widowControl/>
        <w:ind w:firstLine="708"/>
        <w:jc w:val="both"/>
        <w:rPr>
          <w:sz w:val="24"/>
          <w:szCs w:val="24"/>
        </w:rPr>
      </w:pPr>
    </w:p>
    <w:p w:rsidRDefault="00493105" w:rsidP="005039FC" w:rsidR="00493105" w:rsidRPr="00135FE0">
      <w:pPr>
        <w:widowControl/>
        <w:ind w:firstLine="708"/>
        <w:jc w:val="both"/>
        <w:rPr>
          <w:sz w:val="24"/>
          <w:szCs w:val="24"/>
        </w:rPr>
      </w:pPr>
      <w:r w:rsidRPr="00135FE0">
        <w:rPr>
          <w:sz w:val="24"/>
          <w:szCs w:val="24"/>
        </w:rPr>
        <w:t>Nadalje, vjerovnik ukazuje i na očitovanje dužnika od 21.2.2019. godine u dijelu u kojem je isti priznao navedeno potraživanje.</w:t>
      </w:r>
    </w:p>
    <w:p w:rsidRDefault="005039FC" w:rsidP="005039FC" w:rsidR="005039FC" w:rsidRPr="00135FE0">
      <w:pPr>
        <w:widowControl/>
        <w:ind w:firstLine="708"/>
        <w:jc w:val="both"/>
        <w:rPr>
          <w:sz w:val="24"/>
          <w:szCs w:val="24"/>
        </w:rPr>
      </w:pPr>
    </w:p>
    <w:p w:rsidRDefault="00D068C7" w:rsidP="005039FC" w:rsidR="00D068C7" w:rsidRPr="00135FE0">
      <w:pPr>
        <w:widowControl/>
        <w:ind w:firstLine="708"/>
        <w:jc w:val="both"/>
        <w:rPr>
          <w:sz w:val="24"/>
          <w:szCs w:val="24"/>
        </w:rPr>
      </w:pPr>
      <w:r w:rsidRPr="00135FE0">
        <w:rPr>
          <w:sz w:val="24"/>
          <w:szCs w:val="24"/>
        </w:rPr>
        <w:t xml:space="preserve">Ukazuje se i kako se vjerovnik nije odrekao prava na odvojeno namirenje. </w:t>
      </w:r>
    </w:p>
    <w:p w:rsidRDefault="005039FC" w:rsidP="005039FC" w:rsidR="005039FC" w:rsidRPr="00135FE0">
      <w:pPr>
        <w:widowControl/>
        <w:ind w:firstLine="708"/>
        <w:jc w:val="both"/>
        <w:rPr>
          <w:sz w:val="24"/>
          <w:szCs w:val="24"/>
        </w:rPr>
      </w:pPr>
    </w:p>
    <w:p w:rsidRDefault="00CD13D9" w:rsidP="005039FC" w:rsidR="00CD13D9" w:rsidRPr="00135FE0">
      <w:pPr>
        <w:widowControl/>
        <w:ind w:firstLine="708"/>
        <w:jc w:val="both"/>
        <w:rPr>
          <w:sz w:val="24"/>
          <w:szCs w:val="24"/>
        </w:rPr>
      </w:pPr>
      <w:r w:rsidRPr="00135FE0">
        <w:rPr>
          <w:sz w:val="24"/>
          <w:szCs w:val="24"/>
        </w:rPr>
        <w:t>Uvidom u spis sud je utvrdio:</w:t>
      </w:r>
      <w:r w:rsidRPr="00135FE0">
        <w:rPr>
          <w:sz w:val="24"/>
          <w:szCs w:val="24"/>
        </w:rPr>
        <w:tab/>
      </w:r>
    </w:p>
    <w:p w:rsidRDefault="00CD13D9" w:rsidP="00CD13D9" w:rsidR="00CD13D9" w:rsidRPr="00135FE0">
      <w:pPr>
        <w:widowControl/>
        <w:jc w:val="both"/>
        <w:rPr>
          <w:sz w:val="24"/>
          <w:szCs w:val="24"/>
        </w:rPr>
      </w:pPr>
      <w:r w:rsidRPr="00135FE0">
        <w:rPr>
          <w:sz w:val="24"/>
          <w:szCs w:val="24"/>
        </w:rPr>
        <w:tab/>
        <w:t xml:space="preserve">-Rješenjem od 9. studenoga 2018. godine otvoren predstečajni postupak nad  dužnikom, </w:t>
      </w:r>
    </w:p>
    <w:p w:rsidRDefault="00CD13D9" w:rsidP="00CD13D9" w:rsidR="00CD13D9" w:rsidRPr="00135FE0">
      <w:pPr>
        <w:widowControl/>
        <w:jc w:val="both"/>
        <w:rPr>
          <w:sz w:val="24"/>
          <w:szCs w:val="24"/>
        </w:rPr>
      </w:pPr>
      <w:r w:rsidRPr="00135FE0">
        <w:rPr>
          <w:sz w:val="24"/>
          <w:szCs w:val="24"/>
        </w:rPr>
        <w:tab/>
        <w:t xml:space="preserve">-kako je Rješenje od 9. studenoga 2018. godine bilo objavljeno na mrežnim stranicama e oglasna ploča dana 9. studenoga 2018. godine, </w:t>
      </w:r>
    </w:p>
    <w:p w:rsidRDefault="00CA39E8" w:rsidP="00CA39E8" w:rsidR="00CA39E8" w:rsidRPr="00135FE0">
      <w:pPr>
        <w:widowControl/>
        <w:jc w:val="both"/>
        <w:rPr>
          <w:sz w:val="24"/>
          <w:szCs w:val="24"/>
        </w:rPr>
      </w:pPr>
      <w:r w:rsidRPr="00135FE0">
        <w:rPr>
          <w:sz w:val="24"/>
          <w:szCs w:val="24"/>
        </w:rPr>
        <w:tab/>
        <w:t xml:space="preserve">-uvidom u Zapisnik sa ročišta radi ispitivanje tražbina održanog 6. ožujka 2019. godine sud je utvrdio kako je u tablici priznatih tražbina pod rednim brojem </w:t>
      </w:r>
      <w:r w:rsidR="006B5439" w:rsidRPr="00135FE0">
        <w:rPr>
          <w:sz w:val="24"/>
          <w:szCs w:val="24"/>
        </w:rPr>
        <w:t>391</w:t>
      </w:r>
      <w:r w:rsidRPr="00135FE0">
        <w:rPr>
          <w:sz w:val="24"/>
          <w:szCs w:val="24"/>
        </w:rPr>
        <w:t xml:space="preserve">. vjerovniku </w:t>
      </w:r>
      <w:r w:rsidR="006B5439" w:rsidRPr="00135FE0">
        <w:rPr>
          <w:sz w:val="24"/>
          <w:szCs w:val="24"/>
        </w:rPr>
        <w:t>OTP banka d.d.</w:t>
      </w:r>
      <w:r w:rsidRPr="00135FE0">
        <w:rPr>
          <w:sz w:val="24"/>
          <w:szCs w:val="24"/>
        </w:rPr>
        <w:t xml:space="preserve"> naveden iznos od </w:t>
      </w:r>
      <w:r w:rsidR="006B5439" w:rsidRPr="00135FE0">
        <w:rPr>
          <w:sz w:val="24"/>
          <w:szCs w:val="24"/>
        </w:rPr>
        <w:t>160,00</w:t>
      </w:r>
      <w:r w:rsidRPr="00135FE0">
        <w:rPr>
          <w:sz w:val="24"/>
          <w:szCs w:val="24"/>
        </w:rPr>
        <w:t xml:space="preserve"> k</w:t>
      </w:r>
      <w:r w:rsidR="006B5439" w:rsidRPr="00135FE0">
        <w:rPr>
          <w:sz w:val="24"/>
          <w:szCs w:val="24"/>
        </w:rPr>
        <w:t>una kao iznos priznate tražbine</w:t>
      </w:r>
    </w:p>
    <w:p w:rsidRDefault="006B5439" w:rsidP="00CA39E8" w:rsidR="00CA72E3" w:rsidRPr="00135FE0">
      <w:pPr>
        <w:widowControl/>
        <w:jc w:val="both"/>
        <w:rPr>
          <w:sz w:val="24"/>
          <w:szCs w:val="24"/>
        </w:rPr>
      </w:pPr>
      <w:r w:rsidRPr="00135FE0">
        <w:rPr>
          <w:sz w:val="24"/>
          <w:szCs w:val="24"/>
        </w:rPr>
        <w:tab/>
        <w:t>-uvidom u Rješenje o utvrđenim tražbinama od 12. lipnja 2019. godine, poslovnog broja St-2481/2018-196 sud je utvrdio kako je vjerovnik OTP banka d.d. navedena u točki I izreke, utvrđene tražbina, pod rednim brojem</w:t>
      </w:r>
      <w:r w:rsidR="00CA72E3" w:rsidRPr="00135FE0">
        <w:rPr>
          <w:sz w:val="24"/>
          <w:szCs w:val="24"/>
        </w:rPr>
        <w:t xml:space="preserve"> 391. sa iznosom utvrđene tražbina od 207.490,45 kuna.</w:t>
      </w:r>
    </w:p>
    <w:p w:rsidRDefault="005039FC" w:rsidP="005039FC" w:rsidR="005039FC" w:rsidRPr="00135FE0">
      <w:pPr>
        <w:widowControl/>
        <w:ind w:firstLine="708"/>
        <w:jc w:val="both"/>
        <w:rPr>
          <w:sz w:val="24"/>
          <w:szCs w:val="24"/>
        </w:rPr>
      </w:pPr>
    </w:p>
    <w:p w:rsidRDefault="005039FC" w:rsidP="005039FC" w:rsidR="005039FC" w:rsidRPr="00135FE0">
      <w:pPr>
        <w:widowControl/>
        <w:ind w:firstLine="708"/>
        <w:jc w:val="both"/>
        <w:rPr>
          <w:sz w:val="24"/>
          <w:szCs w:val="24"/>
        </w:rPr>
      </w:pPr>
      <w:r w:rsidRPr="00135FE0">
        <w:rPr>
          <w:sz w:val="24"/>
          <w:szCs w:val="24"/>
        </w:rPr>
        <w:t>Odluka je temeljena na odredbi članka 10. Stečajnog zakona u vezi članka 347. i 342. Zakona o parničnom postupku („Narodne novine“ broj: 53/1991, 91/1992, 112/1999, 129/2000, 88/2001, 117/2003, 88/2005, 2/2007, 96/2008, 84/2008, 123/2008, 57/2011, 25/2013, 89/2014).</w:t>
      </w:r>
    </w:p>
    <w:p w:rsidRDefault="005039FC" w:rsidP="005039FC" w:rsidR="005039FC" w:rsidRPr="00135FE0">
      <w:pPr>
        <w:widowControl/>
        <w:jc w:val="both"/>
        <w:rPr>
          <w:sz w:val="24"/>
          <w:szCs w:val="24"/>
        </w:rPr>
      </w:pPr>
    </w:p>
    <w:p w:rsidRDefault="005039FC" w:rsidP="005039FC" w:rsidR="00CA72E3" w:rsidRPr="00135FE0">
      <w:pPr>
        <w:widowControl/>
        <w:ind w:firstLine="708"/>
        <w:jc w:val="both"/>
        <w:rPr>
          <w:sz w:val="24"/>
          <w:szCs w:val="24"/>
        </w:rPr>
      </w:pPr>
      <w:r w:rsidRPr="00135FE0">
        <w:rPr>
          <w:sz w:val="24"/>
          <w:szCs w:val="24"/>
        </w:rPr>
        <w:t>Slijedom navedenoga, odlučeno je kao u izreci rješenja.</w:t>
      </w:r>
    </w:p>
    <w:p w:rsidRDefault="006B5439" w:rsidP="00CA39E8" w:rsidR="006B5439" w:rsidRPr="00135FE0">
      <w:pPr>
        <w:widowControl/>
        <w:jc w:val="both"/>
        <w:rPr>
          <w:sz w:val="24"/>
          <w:szCs w:val="24"/>
        </w:rPr>
      </w:pPr>
    </w:p>
    <w:p w:rsidRDefault="00CD13D9" w:rsidP="00CD13D9" w:rsidR="00CD13D9" w:rsidRPr="00135FE0">
      <w:pPr>
        <w:widowControl/>
        <w:ind w:firstLine="708" w:left="2124"/>
        <w:jc w:val="center"/>
        <w:rPr>
          <w:sz w:val="24"/>
          <w:szCs w:val="24"/>
        </w:rPr>
      </w:pPr>
      <w:r w:rsidRPr="00135FE0">
        <w:rPr>
          <w:sz w:val="24"/>
          <w:szCs w:val="24"/>
        </w:rPr>
        <w:t>Zagreb, 18. srpnja 2019.</w:t>
      </w:r>
      <w:r w:rsidRPr="00135FE0">
        <w:rPr>
          <w:sz w:val="24"/>
          <w:szCs w:val="24"/>
        </w:rPr>
        <w:tab/>
      </w:r>
      <w:r w:rsidRPr="00135FE0">
        <w:rPr>
          <w:sz w:val="24"/>
          <w:szCs w:val="24"/>
        </w:rPr>
        <w:tab/>
        <w:t xml:space="preserve">     </w:t>
      </w:r>
      <w:r w:rsidRPr="00135FE0">
        <w:rPr>
          <w:sz w:val="24"/>
          <w:szCs w:val="24"/>
        </w:rPr>
        <w:tab/>
      </w:r>
    </w:p>
    <w:p w:rsidRDefault="00CD13D9" w:rsidP="00CC0886" w:rsidR="00CD13D9" w:rsidRPr="00135FE0">
      <w:pPr>
        <w:widowControl/>
        <w:ind w:firstLine="708" w:left="2124"/>
        <w:rPr>
          <w:sz w:val="24"/>
          <w:szCs w:val="24"/>
        </w:rPr>
      </w:pPr>
    </w:p>
    <w:p w:rsidRDefault="00CC0886" w:rsidP="00CC0886" w:rsidR="00CD13D9" w:rsidRPr="00135FE0">
      <w:pPr>
        <w:widowControl/>
        <w:ind w:firstLine="708" w:left="6372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D13D9" w:rsidRPr="00135FE0">
        <w:rPr>
          <w:sz w:val="24"/>
          <w:szCs w:val="24"/>
        </w:rPr>
        <w:t xml:space="preserve">SUDAC:  </w:t>
      </w:r>
    </w:p>
    <w:p w:rsidRDefault="00CD13D9" w:rsidP="00CD13D9" w:rsidR="00CD13D9">
      <w:pPr>
        <w:widowControl/>
        <w:ind w:left="5040"/>
        <w:jc w:val="right"/>
        <w:rPr>
          <w:sz w:val="24"/>
          <w:szCs w:val="24"/>
        </w:rPr>
      </w:pPr>
      <w:r w:rsidRPr="00135FE0">
        <w:rPr>
          <w:sz w:val="24"/>
          <w:szCs w:val="24"/>
        </w:rPr>
        <w:t xml:space="preserve">               Nikola Ribarić</w:t>
      </w:r>
      <w:r w:rsidR="00CC0886">
        <w:rPr>
          <w:sz w:val="24"/>
          <w:szCs w:val="24"/>
        </w:rPr>
        <w:t>, v.r.</w:t>
      </w:r>
    </w:p>
    <w:p w:rsidRDefault="00CC0886" w:rsidP="00CD13D9" w:rsidR="00CC0886">
      <w:pPr>
        <w:widowControl/>
        <w:ind w:left="5040"/>
        <w:jc w:val="right"/>
        <w:rPr>
          <w:sz w:val="24"/>
          <w:szCs w:val="24"/>
        </w:rPr>
      </w:pPr>
    </w:p>
    <w:p w:rsidRDefault="00CC0886" w:rsidP="00CD13D9" w:rsidR="00CC0886">
      <w:pPr>
        <w:widowControl/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 –ovlašteni službenik</w:t>
      </w:r>
    </w:p>
    <w:p w:rsidRDefault="00CC0886" w:rsidP="00CC0886" w:rsidR="00CC0886" w:rsidRPr="00135FE0">
      <w:pPr>
        <w:widowControl/>
        <w:ind w:left="7164"/>
        <w:rPr>
          <w:sz w:val="24"/>
          <w:szCs w:val="24"/>
        </w:rPr>
      </w:pPr>
      <w:r>
        <w:rPr>
          <w:sz w:val="24"/>
          <w:szCs w:val="24"/>
        </w:rPr>
        <w:t xml:space="preserve">  Maja Hajtek</w:t>
      </w:r>
    </w:p>
    <w:p w:rsidRDefault="00CD13D9" w:rsidP="00CD13D9" w:rsidR="00CD13D9" w:rsidRPr="00135FE0">
      <w:pPr>
        <w:widowControl/>
        <w:ind w:left="5040"/>
        <w:jc w:val="right"/>
        <w:rPr>
          <w:sz w:val="24"/>
          <w:szCs w:val="24"/>
        </w:rPr>
      </w:pPr>
    </w:p>
    <w:p w:rsidRDefault="00CD13D9" w:rsidP="00CD13D9" w:rsidR="00CD13D9" w:rsidRPr="00135FE0">
      <w:pPr>
        <w:widowControl/>
        <w:ind w:left="5040"/>
        <w:jc w:val="right"/>
        <w:rPr>
          <w:sz w:val="24"/>
          <w:szCs w:val="24"/>
        </w:rPr>
      </w:pPr>
    </w:p>
    <w:p w:rsidRDefault="00CD13D9" w:rsidP="00CD13D9" w:rsidR="00CD13D9" w:rsidRPr="00135FE0">
      <w:pPr>
        <w:widowControl/>
        <w:rPr>
          <w:sz w:val="24"/>
          <w:szCs w:val="24"/>
        </w:rPr>
      </w:pPr>
      <w:r w:rsidRPr="00135FE0">
        <w:rPr>
          <w:sz w:val="24"/>
          <w:szCs w:val="24"/>
        </w:rPr>
        <w:t>UPUTA  O PRAVNOM LIJEKU:</w:t>
      </w:r>
    </w:p>
    <w:p w:rsidRDefault="00CD13D9" w:rsidP="00CC0886" w:rsidR="0012225A" w:rsidRPr="00135FE0">
      <w:pPr>
        <w:widowControl/>
        <w:jc w:val="both"/>
        <w:rPr>
          <w:sz w:val="24"/>
          <w:szCs w:val="24"/>
        </w:rPr>
      </w:pPr>
      <w:r w:rsidRPr="00135FE0">
        <w:rPr>
          <w:sz w:val="24"/>
          <w:szCs w:val="24"/>
        </w:rPr>
        <w:t>Protiv ovog rješenja dopuštena je žalba u roku od 8 dana od dostave odluke.  Dostava se smatra obavljenom istekom osmoga dana od dana objave pismena na mrežnoj stranici e-Oglasna ploča sudova (čl. 12. SZ-a). Žalba se podnosi ovom sudu u 2 primjerka za Visoki trgovački sud RH.</w:t>
      </w:r>
      <w:r w:rsidR="00CC0886" w:rsidRPr="00135FE0">
        <w:rPr>
          <w:sz w:val="24"/>
          <w:szCs w:val="24"/>
        </w:rPr>
        <w:t xml:space="preserve"> </w:t>
      </w:r>
    </w:p>
    <w:sectPr w:rsidSect="00700FD7" w:rsidR="0012225A" w:rsidRPr="00135FE0">
      <w:headerReference w:type="even" r:id="rId10"/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10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EF6" w:rsidR="006D2747">
      <w:r>
        <w:separator/>
      </w:r>
    </w:p>
  </w:endnote>
  <w:endnote w:id="0" w:type="continuationSeparator">
    <w:p w:rsidRDefault="00841EF6" w:rsidR="006D2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1519337"/>
      <w:docPartObj>
        <w:docPartGallery w:val="Page Numbers (Bottom of Page)"/>
        <w:docPartUnique/>
      </w:docPartObj>
    </w:sdtPr>
    <w:sdtEndPr/>
    <w:sdtContent>
      <w:p w:rsidRDefault="005039FC" w:rsidR="005206C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0886">
          <w:rPr>
            <w:noProof/>
          </w:rPr>
          <w:t>1</w:t>
        </w:r>
        <w:r>
          <w:fldChar w:fldCharType="end"/>
        </w:r>
      </w:p>
    </w:sdtContent>
  </w:sdt>
  <w:p w:rsidRDefault="00CC0886" w:rsidR="005206C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EF6" w:rsidR="006D2747">
      <w:r>
        <w:separator/>
      </w:r>
    </w:p>
  </w:footnote>
  <w:footnote w:id="0" w:type="continuationSeparator">
    <w:p w:rsidRDefault="00841EF6" w:rsidR="006D27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39FC" w:rsidP="005D5DBD" w:rsidR="0037640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C0886" w:rsidR="0037640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5FE0" w:rsidP="00135FE0" w:rsidR="00135FE0">
    <w:pPr>
      <w:pStyle w:val="Zaglavlje"/>
      <w:jc w:val="right"/>
    </w:pPr>
    <w:r w:rsidRPr="00700FD7">
      <w:rPr>
        <w:sz w:val="24"/>
        <w:szCs w:val="24"/>
      </w:rPr>
      <w:t>72. St-</w:t>
    </w:r>
    <w:r>
      <w:rPr>
        <w:sz w:val="24"/>
        <w:szCs w:val="24"/>
      </w:rPr>
      <w:t>2481/2018-244</w:t>
    </w:r>
  </w:p>
  <w:p w:rsidRDefault="00CC0886" w:rsidP="005206C4" w:rsidR="00376404" w:rsidRPr="005206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39FC" w:rsidR="00376404">
    <w:pPr>
      <w:pStyle w:val="Zaglavlje"/>
    </w:pPr>
    <w:r>
      <w:tab/>
    </w:r>
    <w:r>
      <w:tab/>
      <w:t>72. St -1379/2018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E4575F"/>
    <w:multiLevelType w:val="hybridMultilevel"/>
    <w:tmpl w:val="B43CE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3D9"/>
    <w:rsid w:val="000B7CE0"/>
    <w:rsid w:val="0012225A"/>
    <w:rsid w:val="00135FE0"/>
    <w:rsid w:val="00493105"/>
    <w:rsid w:val="005039FC"/>
    <w:rsid w:val="005A429F"/>
    <w:rsid w:val="006B5439"/>
    <w:rsid w:val="006D2747"/>
    <w:rsid w:val="00832529"/>
    <w:rsid w:val="00841EF6"/>
    <w:rsid w:val="00CA39E8"/>
    <w:rsid w:val="00CA72E3"/>
    <w:rsid w:val="00CC0886"/>
    <w:rsid w:val="00CD13D9"/>
    <w:rsid w:val="00D06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7CE0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D13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13D9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D13D9"/>
  </w:style>
  <w:style w:styleId="Podnoje" w:type="paragraph">
    <w:name w:val="footer"/>
    <w:basedOn w:val="Normal"/>
    <w:link w:val="PodnojeChar"/>
    <w:uiPriority w:val="99"/>
    <w:unhideWhenUsed/>
    <w:rsid w:val="00CD13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D13D9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D13D9"/>
    <w:pPr>
      <w:ind w:left="720"/>
      <w:contextualSpacing/>
    </w:pPr>
  </w:style>
  <w:style w:styleId="Bezproreda" w:type="paragraph">
    <w:name w:val="No Spacing"/>
    <w:uiPriority w:val="1"/>
    <w:qFormat/>
    <w:rsid w:val="00CD13D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5F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5FE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08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8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88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8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8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7CE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D13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13D9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D13D9"/>
  </w:style>
  <w:style w:styleId="Podnoje" w:type="paragraph">
    <w:name w:val="footer"/>
    <w:basedOn w:val="Normal"/>
    <w:link w:val="PodnojeChar"/>
    <w:uiPriority w:val="99"/>
    <w:unhideWhenUsed/>
    <w:rsid w:val="00CD13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D13D9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D13D9"/>
    <w:pPr>
      <w:ind w:left="720"/>
      <w:contextualSpacing/>
    </w:pPr>
  </w:style>
  <w:style w:styleId="Bezproreda" w:type="paragraph">
    <w:name w:val="No Spacing"/>
    <w:uiPriority w:val="1"/>
    <w:qFormat/>
    <w:rsid w:val="00CD13D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5F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5FE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08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8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88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8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8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St-2481/2018</izvorni_sadrzaj>
    <derivirana_varijabla naziv="DomainObject.Predmet.OznakaBroj_1">St-2481/2018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d.d.</izvorni_sadrzaj>
    <derivirana_varijabla naziv="DomainObject.Predmet.ProtustrankaFormated_1">  TEHNIKA d.d.</derivirana_varijabla>
  </DomainObject.Predmet.ProtustrankaFormated>
  <DomainObject.Predmet.ProtustrankaFormatedOIB>
    <izvorni_sadrzaj>  TEHNIKA d.d., OIB 73037001250</izvorni_sadrzaj>
    <derivirana_varijabla naziv="DomainObject.Predmet.ProtustrankaFormatedOIB_1">  TEHNIKA d.d., OIB 73037001250</derivirana_varijabla>
  </DomainObject.Predmet.ProtustrankaFormatedOIB>
  <DomainObject.Predmet.ProtustrankaFormatedWithAdress>
    <izvorni_sadrzaj> TEHNIKA d.d., Ulica grada Vukovara 274, 10000 Zagreb</izvorni_sadrzaj>
    <derivirana_varijabla naziv="DomainObject.Predmet.ProtustrankaFormatedWithAdress_1"> TEHNIKA d.d., Ulica grada Vukovara 274, 10000 Zagreb</derivirana_varijabla>
  </DomainObject.Predmet.ProtustrankaFormatedWithAdress>
  <DomainObject.Predmet.ProtustrankaFormatedWithAdressOIB>
    <izvorni_sadrzaj> TEHNIKA d.d., OIB 73037001250, Ulica grada Vukovara 274, 10000 Zagreb</izvorni_sadrzaj>
    <derivirana_varijabla naziv="DomainObject.Predmet.ProtustrankaFormatedWithAdressOIB_1"> TEHNIKA d.d., OIB 73037001250, Ulica grada Vukovara 274, 10000 Zagreb</derivirana_varijabla>
  </DomainObject.Predmet.ProtustrankaFormatedWithAdressOIB>
  <DomainObject.Predmet.ProtustrankaWithAdress>
    <izvorni_sadrzaj>TEHNIKA d.d. Ulica grada Vukovara 274, 10000 Zagreb</izvorni_sadrzaj>
    <derivirana_varijabla naziv="DomainObject.Predmet.ProtustrankaWithAdress_1">TEHNIKA d.d. Ulica grada Vukovara 274, 10000 Zagreb</derivirana_varijabla>
  </DomainObject.Predmet.ProtustrankaWithAdress>
  <DomainObject.Predmet.ProtustrankaWithAdressOIB>
    <izvorni_sadrzaj>TEHNIKA d.d., OIB 73037001250, Ulica grada Vukovara 274, 10000 Zagreb</izvorni_sadrzaj>
    <derivirana_varijabla naziv="DomainObject.Predmet.ProtustrankaWithAdressOIB_1">TEHNIKA d.d., OIB 73037001250, Ulica grada Vukovara 274, 10000 Zagreb</derivirana_varijabla>
  </DomainObject.Predmet.ProtustrankaWithAdressOIB>
  <DomainObject.Predmet.ProtustrankaNazivFormated>
    <izvorni_sadrzaj>TEHNIKA d.d.</izvorni_sadrzaj>
    <derivirana_varijabla naziv="DomainObject.Predmet.ProtustrankaNazivFormated_1">TEHNIKA d.d.</derivirana_varijabla>
  </DomainObject.Predmet.ProtustrankaNazivFormated>
  <DomainObject.Predmet.ProtustrankaNazivFormatedOIB>
    <izvorni_sadrzaj>TEHNIKA d.d., OIB 73037001250</izvorni_sadrzaj>
    <derivirana_varijabla naziv="DomainObject.Predmet.ProtustrankaNazivFormatedOIB_1">TEHNIKA d.d., OIB 73037001250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d.d.; Ilija Katić</izvorni_sadrzaj>
    <derivirana_varijabla naziv="DomainObject.Predmet.StrankaFormated_1">  TEHNIKA d.d.; Ilija Katić</derivirana_varijabla>
  </DomainObject.Predmet.StrankaFormated>
  <DomainObject.Predmet.StrankaFormatedOIB>
    <izvorni_sadrzaj>  TEHNIKA d.d., OIB 73037001250; Ilija Katić</izvorni_sadrzaj>
    <derivirana_varijabla naziv="DomainObject.Predmet.StrankaFormatedOIB_1">  TEHNIKA d.d., OIB 73037001250; Ilija Katić</derivirana_varijabla>
  </DomainObject.Predmet.StrankaFormatedOIB>
  <DomainObject.Predmet.StrankaFormatedWithAdress>
    <izvorni_sadrzaj> TEHNIKA d.d., Ulica grada Vukovara 274, 10000 Zagreb; Ilija Katić</izvorni_sadrzaj>
    <derivirana_varijabla naziv="DomainObject.Predmet.StrankaFormatedWithAdress_1"> TEHNIKA d.d., Ulica grada Vukovara 274, 10000 Zagreb; Ilija Katić</derivirana_varijabla>
  </DomainObject.Predmet.StrankaFormatedWithAdress>
  <DomainObject.Predmet.StrankaFormatedWithAdressOIB>
    <izvorni_sadrzaj> TEHNIKA d.d., OIB 73037001250, Ulica grada Vukovara 274, 10000 Zagreb; Ilija Katić</izvorni_sadrzaj>
    <derivirana_varijabla naziv="DomainObject.Predmet.StrankaFormatedWithAdressOIB_1"> TEHNIKA d.d., OIB 73037001250, Ulica grada Vukovara 274, 10000 Zagreb; Ilija Katić</derivirana_varijabla>
  </DomainObject.Predmet.StrankaFormatedWithAdressOIB>
  <DomainObject.Predmet.StrankaWithAdress>
    <izvorni_sadrzaj>TEHNIKA d.d. Ulica grada Vukovara 274,10000 Zagreb,Ilija Katić </izvorni_sadrzaj>
    <derivirana_varijabla naziv="DomainObject.Predmet.StrankaWithAdress_1">TEHNIKA d.d. Ulica grada Vukovara 274,10000 Zagreb,Ilija Katić </derivirana_varijabla>
  </DomainObject.Predmet.StrankaWithAdress>
  <DomainObject.Predmet.StrankaWithAdressOIB>
    <izvorni_sadrzaj>TEHNIKA d.d., OIB 73037001250, Ulica grada Vukovara 274,10000 Zagreb,Ilija Katić</izvorni_sadrzaj>
    <derivirana_varijabla naziv="DomainObject.Predmet.StrankaWithAdressOIB_1">TEHNIKA d.d., OIB 73037001250, Ulica grada Vukovara 274,10000 Zagreb,Ilija Katić</derivirana_varijabla>
  </DomainObject.Predmet.StrankaWithAdressOIB>
  <DomainObject.Predmet.StrankaNazivFormated>
    <izvorni_sadrzaj>TEHNIKA d.d.,Ilija Katić</izvorni_sadrzaj>
    <derivirana_varijabla naziv="DomainObject.Predmet.StrankaNazivFormated_1">TEHNIKA d.d.,Ilija Katić</derivirana_varijabla>
  </DomainObject.Predmet.StrankaNazivFormated>
  <DomainObject.Predmet.StrankaNazivFormatedOIB>
    <izvorni_sadrzaj>TEHNIKA d.d., OIB 73037001250,Ilija Katić</izvorni_sadrzaj>
    <derivirana_varijabla naziv="DomainObject.Predmet.StrankaNazivFormatedOIB_1">TEHNIKA d.d., OIB 73037001250,Ilija Katić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TEHNIKA d.d.</item>
      <item>Ilija Katić</item>
    </izvorni_sadrzaj>
    <derivirana_varijabla naziv="DomainObject.Predmet.StrankaListFormated_1">
      <item>TEHNIKA d.d.</item>
      <item>Ilija Katić</item>
    </derivirana_varijabla>
  </DomainObject.Predmet.StrankaListFormated>
  <DomainObject.Predmet.StrankaListFormatedOIB>
    <izvorni_sadrzaj>
      <item>TEHNIKA d.d., OIB 73037001250</item>
      <item>Ilija Katić</item>
    </izvorni_sadrzaj>
    <derivirana_varijabla naziv="DomainObject.Predmet.StrankaListFormatedOIB_1">
      <item>TEHNIKA d.d., OIB 73037001250</item>
      <item>Ilija Katić</item>
    </derivirana_varijabla>
  </DomainObject.Predmet.StrankaListFormatedOIB>
  <DomainObject.Predmet.StrankaListFormatedWithAdress>
    <izvorni_sadrzaj>
      <item>TEHNIKA d.d., Ulica grada Vukovara 274, 10000 Zagreb</item>
      <item>Ilija Katić</item>
    </izvorni_sadrzaj>
    <derivirana_varijabla naziv="DomainObject.Predmet.StrankaListFormatedWithAdress_1">
      <item>TEHNIKA d.d., Ulica grada Vukovara 274, 10000 Zagreb</item>
      <item>Ilija Katić</item>
    </derivirana_varijabla>
  </DomainObject.Predmet.StrankaListFormatedWithAdress>
  <DomainObject.Predmet.StrankaListFormatedWithAdressOIB>
    <izvorni_sadrzaj>
      <item>TEHNIKA d.d., OIB 73037001250, Ulica grada Vukovara 274, 10000 Zagreb</item>
      <item>Ilija Katić</item>
    </izvorni_sadrzaj>
    <derivirana_varijabla naziv="DomainObject.Predmet.StrankaListFormatedWithAdressOIB_1">
      <item>TEHNIKA d.d., OIB 73037001250, Ulica grada Vukovara 274, 10000 Zagreb</item>
      <item>Ilija Katić</item>
    </derivirana_varijabla>
  </DomainObject.Predmet.StrankaListFormatedWithAdressOIB>
  <DomainObject.Predmet.StrankaListNazivFormated>
    <izvorni_sadrzaj>
      <item>TEHNIKA d.d.</item>
      <item>Ilija Katić</item>
    </izvorni_sadrzaj>
    <derivirana_varijabla naziv="DomainObject.Predmet.StrankaListNazivFormated_1">
      <item>TEHNIKA d.d.</item>
      <item>Ilija Katić</item>
    </derivirana_varijabla>
  </DomainObject.Predmet.StrankaListNazivFormated>
  <DomainObject.Predmet.StrankaListNazivFormatedOIB>
    <izvorni_sadrzaj>
      <item>TEHNIKA d.d., OIB 73037001250</item>
      <item>Ilija Katić</item>
    </izvorni_sadrzaj>
    <derivirana_varijabla naziv="DomainObject.Predmet.StrankaListNazivFormatedOIB_1">
      <item>TEHNIKA d.d., OIB 73037001250</item>
      <item>Ilija Katić</item>
    </derivirana_varijabla>
  </DomainObject.Predmet.StrankaListNazivFormatedOIB>
  <DomainObject.Predmet.ProtuStrankaListFormated>
    <izvorni_sadrzaj>
      <item>TEHNIKA d.d.</item>
    </izvorni_sadrzaj>
    <derivirana_varijabla naziv="DomainObject.Predmet.ProtuStrankaListFormated_1">
      <item>TEHNIKA d.d.</item>
    </derivirana_varijabla>
  </DomainObject.Predmet.ProtuStrankaListFormated>
  <DomainObject.Predmet.ProtuStrankaListFormatedOIB>
    <izvorni_sadrzaj>
      <item>TEHNIKA d.d., OIB 73037001250</item>
    </izvorni_sadrzaj>
    <derivirana_varijabla naziv="DomainObject.Predmet.ProtuStrankaListFormatedOIB_1">
      <item>TEHNIKA d.d., OIB 73037001250</item>
    </derivirana_varijabla>
  </DomainObject.Predmet.ProtuStrankaListFormatedOIB>
  <DomainObject.Predmet.ProtuStrankaListFormatedWithAdress>
    <izvorni_sadrzaj>
      <item>TEHNIKA d.d., Ulica grada Vukovara 274, 10000 Zagreb</item>
    </izvorni_sadrzaj>
    <derivirana_varijabla naziv="DomainObject.Predmet.ProtuStrankaListFormatedWithAdress_1">
      <item>TEHNIKA d.d., Ulica grada Vukovara 274, 10000 Zagreb</item>
    </derivirana_varijabla>
  </DomainObject.Predmet.ProtuStrankaListFormatedWithAdress>
  <DomainObject.Predmet.ProtuStrankaListFormatedWithAdressOIB>
    <izvorni_sadrzaj>
      <item>TEHNIKA d.d., OIB 73037001250, Ulica grada Vukovara 274, 10000 Zagreb</item>
    </izvorni_sadrzaj>
    <derivirana_varijabla naziv="DomainObject.Predmet.ProtuStrankaListFormatedWithAdressOIB_1">
      <item>TEHNIKA d.d., OIB 73037001250, Ulica grada Vukovara 274, 10000 Zagreb</item>
    </derivirana_varijabla>
  </DomainObject.Predmet.ProtuStrankaListFormatedWithAdressOIB>
  <DomainObject.Predmet.ProtuStrankaListNazivFormated>
    <izvorni_sadrzaj>
      <item>TEHNIKA d.d.</item>
    </izvorni_sadrzaj>
    <derivirana_varijabla naziv="DomainObject.Predmet.ProtuStrankaListNazivFormated_1">
      <item>TEHNIKA d.d.</item>
    </derivirana_varijabla>
  </DomainObject.Predmet.ProtuStrankaListNazivFormated>
  <DomainObject.Predmet.ProtuStrankaListNazivFormatedOIB>
    <izvorni_sadrzaj>
      <item>TEHNIKA d.d., OIB 73037001250</item>
    </izvorni_sadrzaj>
    <derivirana_varijabla naziv="DomainObject.Predmet.ProtuStrankaListNazivFormatedOIB_1">
      <item>TEHNIKA d.d., OIB 73037001250</item>
    </derivirana_varijabla>
  </DomainObject.Predmet.ProtuStrankaListNazivFormatedOIB>
  <DomainObject.Predmet.OstaliList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</izvorni_sadrzaj>
    <derivirana_varijabla naziv="DomainObject.Predmet.OstaliList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</derivirana_varijabla>
  </DomainObject.Predmet.OstaliListFormated>
  <DomainObject.Predmet.OstaliList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</izvorni_sadrzaj>
    <derivirana_varijabla naziv="DomainObject.Predmet.OstaliList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</derivirana_varijabla>
  </DomainObject.Predmet.OstaliListFormatedOIB>
  <DomainObject.Predmet.OstaliListFormatedWithAdress>
    <izvorni_sadrzaj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  <item>Ico Škarpa, Trg Hrvatske bratske zajednice 2a/II, 21000 Split</item>
      <item>ZAGREBAČKA BANKA DIONIČKO DRUŠTVO, Trg bana Josipa Jelačića 10, 10000 Zagreb</item>
      <item>GRAD KUTINA, Trg kralja Tomislava 12, 44320 Kutina</item>
      <item>Odvjetničko društvo ČAVIĆ &amp; PARTNERI društvo s ograničenom odgovornošću, Ulica grada Vukovara 269d , 10000 Zagreb</item>
    </izvorni_sadrzaj>
    <derivirana_varijabla naziv="DomainObject.Predmet.OstaliListFormatedWithAdress_1"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  <item>Ico Škarpa, Trg Hrvatske bratske zajednice 2a/II, 21000 Split</item>
      <item>ZAGREBAČKA BANKA DIONIČKO DRUŠTVO, Trg bana Josipa Jelačića 10, 10000 Zagreb</item>
      <item>GRAD KUTINA, Trg kralja Tomislava 12, 44320 Kutina</item>
      <item>Odvjetničko društvo ČAVIĆ &amp; PARTNERI društvo s ograničenom odgovornošću, Ulica grada Vukovara 269d , 10000 Zagreb</item>
    </derivirana_varijabla>
  </DomainObject.Predmet.OstaliListFormatedWithAdress>
  <DomainObject.Predmet.OstaliListFormatedWithAdressOIB>
    <izvorni_sadrzaj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  <item>Ico Škarpa, OIB 84750619325, Trg Hrvatske bratske zajednice 2a/II, 21000 Split</item>
      <item>ZAGREBAČKA BANKA DIONIČKO DRUŠTVO, OIB 92963223473, Trg bana Josipa Jelačića 10, 10000 Zagreb</item>
      <item>GRAD KUTINA, OIB 41888874500, Trg kralja Tomislava 12, 44320 Kutina</item>
      <item>Odvjetničko društvo ČAVIĆ &amp; PARTNERI društvo s ograničenom odgovornošću, OIB 88254971044, Ulica grada Vukovara 269d , 10000 Zagreb</item>
    </izvorni_sadrzaj>
    <derivirana_varijabla naziv="DomainObject.Predmet.OstaliListFormatedWithAdressOIB_1"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  <item>Ico Škarpa, OIB 84750619325, Trg Hrvatske bratske zajednice 2a/II, 21000 Split</item>
      <item>ZAGREBAČKA BANKA DIONIČKO DRUŠTVO, OIB 92963223473, Trg bana Josipa Jelačića 10, 10000 Zagreb</item>
      <item>GRAD KUTINA, OIB 41888874500, Trg kralja Tomislava 12, 44320 Kutina</item>
      <item>Odvjetničko društvo ČAVIĆ &amp; PARTNERI društvo s ograničenom odgovornošću, OIB 88254971044, Ulica grada Vukovara 269d , 10000 Zagreb</item>
    </derivirana_varijabla>
  </DomainObject.Predmet.OstaliListFormatedWithAdressOIB>
  <DomainObject.Predmet.OstaliListNaziv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</izvorni_sadrzaj>
    <derivirana_varijabla naziv="DomainObject.Predmet.OstaliListNaziv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</derivirana_varijabla>
  </DomainObject.Predmet.OstaliListNazivFormated>
  <DomainObject.Predmet.OstaliListNaziv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</izvorni_sadrzaj>
    <derivirana_varijabla naziv="DomainObject.Predmet.OstaliListNaziv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TEHNIKA d.d. i dr.</izvorni_sadrzaj>
    <derivirana_varijabla naziv="DomainObject.Predmet.StrankaIDrugi_1">TEHNIKA d.d. i dr.</derivirana_varijabla>
  </DomainObject.Predmet.StrankaIDrugi>
  <DomainObject.Predmet.ProtustrankaIDrugi>
    <izvorni_sadrzaj>TEHNIKA d.d.</izvorni_sadrzaj>
    <derivirana_varijabla naziv="DomainObject.Predmet.ProtustrankaIDrugi_1">TEHNIKA d.d.</derivirana_varijabla>
  </DomainObject.Predmet.ProtustrankaIDrugi>
  <DomainObject.Predmet.StrankaIDrugiAdressOIB>
    <izvorni_sadrzaj>TEHNIKA d.d., OIB 73037001250, Ulica grada Vukovara 274, 10000 Zagreb i dr.</izvorni_sadrzaj>
    <derivirana_varijabla naziv="DomainObject.Predmet.StrankaIDrugiAdressOIB_1">TEHNIKA d.d., OIB 73037001250, Ulica grada Vukovara 274, 10000 Zagreb i dr.</derivirana_varijabla>
  </DomainObject.Predmet.StrankaIDrugiAdressOIB>
  <DomainObject.Predmet.ProtustrankaIDrugiAdressOIB>
    <izvorni_sadrzaj>TEHNIKA d.d., OIB 73037001250, Ulica grada Vukovara 274, 10000 Zagreb</izvorni_sadrzaj>
    <derivirana_varijabla naziv="DomainObject.Predmet.ProtustrankaIDrugiAdressOIB_1">TEHNIKA d.d., OIB 73037001250,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</izvorni_sadrzaj>
    <derivirana_varijabla naziv="DomainObject.Predmet.SudioniciListNaziv_1"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</derivirana_varijabla>
  </DomainObject.Predmet.SudioniciListNaziv>
  <DomainObject.Predmet.SudioniciListAdressOIB>
    <izvorni_sadrzaj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  <item>Ico Škarpa, OIB 84750619325, Trg Hrvatske bratske zajednice 2a/II,21000 Split</item>
      <item>ZAGREBAČKA BANKA DIONIČKO DRUŠTVO, OIB 92963223473, Trg bana Josipa Jelačića 10,10000 Zagreb</item>
      <item>GRAD KUTINA, OIB 41888874500, Trg kralja Tomislava 12,44320 Kutina</item>
      <item>Odvjetničko društvo ČAVIĆ &amp; PARTNERI društvo s ograničenom odgovornošću, OIB 88254971044, Ulica grada Vukovara 269d ,10000 Zagreb</item>
    </izvorni_sadrzaj>
    <derivirana_varijabla naziv="DomainObject.Predmet.SudioniciListAdressOIB_1"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  <item>Ico Škarpa, OIB 84750619325, Trg Hrvatske bratske zajednice 2a/II,21000 Split</item>
      <item>ZAGREBAČKA BANKA DIONIČKO DRUŠTVO, OIB 92963223473, Trg bana Josipa Jelačića 10,10000 Zagreb</item>
      <item>GRAD KUTINA, OIB 41888874500, Trg kralja Tomislava 12,44320 Kutina</item>
      <item>Odvjetničko društvo ČAVIĆ &amp; PARTNERI društvo s ograničenom odgovornošću, OIB 88254971044, Ulica grada Vukovara 269d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  <item>, OIB 84750619325</item>
      <item>, OIB 92963223473</item>
      <item>, OIB 41888874500</item>
      <item>, OIB 88254971044</item>
    </izvorni_sadrzaj>
    <derivirana_varijabla naziv="DomainObject.Predmet.SudioniciListNazivOIB_1"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  <item>, OIB 84750619325</item>
      <item>, OIB 92963223473</item>
      <item>, OIB 41888874500</item>
      <item>, OIB 88254971044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2019.</izvorni_sadrzaj>
    <derivirana_varijabla naziv="DomainObject.Predmet.DatumZadnjeOdrzaneSudskeRadnje_1">24. svibnja 2019.</derivirana_varijabla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St-2481/2018-239</izvorni_sadrzaj>
    <derivirana_varijabla naziv="DomainObject.PredzadnjaOdlukaIzPredmeta.Oznaka_1">St-2481/2018-239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2680</properties:Characters>
  <properties:Lines>107</properties:Lines>
  <properties:Paragraphs>49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2019-07-18T13:29:00Z</dcterms:created>
  <dc:creator>Nikola Ribarić</dc:creator>
  <dc:description/>
  <cp:keywords/>
  <cp:lastModifiedBy>Maja Hajtek</cp:lastModifiedBy>
  <cp:lastPrinted>2019-07-19T10:43:00Z</cp:lastPrinted>
  <dcterms:modified xmlns:xsi="http://www.w3.org/2001/XMLSchema-instance" xsi:type="dcterms:W3CDTF">2019-07-19T10:43:00Z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utvrđene tražbine OTP banka 18.7.2019. - 244.docx)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