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494d" w14:paraId="768494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209CC">
        <w:rPr>
          <w:sz w:val="24"/>
          <w:szCs w:val="24"/>
          <w:lang w:val="hr-HR"/>
        </w:rPr>
        <w:t>83</w:t>
      </w:r>
      <w:r w:rsidR="005B27D0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B27D0">
        <w:t>GRADNJA DALMACIJA d.o.o., Zadar, Široka ulica 10, OIB: 38615601297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B27D0">
        <w:rPr>
          <w:sz w:val="24"/>
          <w:szCs w:val="24"/>
          <w:lang w:val="hr-HR"/>
        </w:rPr>
        <w:t>TOMISLAV BAKIĆ, Zadar, Ulica Sv. Vinka Paulskog 16, OIB: 44223918661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B27D0">
        <w:rPr>
          <w:sz w:val="24"/>
          <w:szCs w:val="24"/>
          <w:lang w:val="hr-HR"/>
        </w:rPr>
        <w:t>834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5B27D0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B27D0" w:rsidRPr="005B27D0">
        <w:rPr>
          <w:sz w:val="24"/>
          <w:szCs w:val="24"/>
        </w:rPr>
        <w:t>GRADNJA DALMACIJA d.o.o., Zadar</w:t>
      </w:r>
      <w:r w:rsidR="00886EB2" w:rsidRPr="005B27D0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B27D0">
        <w:rPr>
          <w:szCs w:val="24"/>
        </w:rPr>
        <w:t xml:space="preserve">TOMISLAV BAKIĆ, Zadar, Ulica Sv. Vinka Paulskog 16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C5F4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B27D0">
      <w:rPr>
        <w:sz w:val="24"/>
        <w:szCs w:val="24"/>
        <w:lang w:val="hr-HR"/>
      </w:rPr>
      <w:t>834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C5F4F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5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F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5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F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</izvorni_sadrzaj>
    <derivirana_varijabla naziv="DomainObject.Predmet.SudioniciListNaziv_1">
      <item>FINA</item>
      <item>GRADNJA DALMACIJA d.o.o. za promet nekretninama, gradnju i trgovinu</item>
      <item>Tomislav Bakić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</izvorni_sadrzaj>
    <derivirana_varijabla naziv="DomainObject.Predmet.SudioniciListNazivOIB_1">
      <item>, OIB 85821130368</item>
      <item>, OIB 38615601297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4A415-0459-4C92-A430-C0E109D26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1673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2016-06-08T12:18:00Z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2016-06-10T08:45:00Z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