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74f49" w14:paraId="3174f4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30FCD" w:rsidP="00C30FCD" w:rsidR="00C30FCD" w:rsidRPr="00C30FCD">
      <w:pPr>
        <w:spacing w:after="0"/>
        <w:rPr>
          <w:rFonts w:cs="Times New Roman" w:eastAsia="Times New Roman"/>
          <w:lang w:eastAsia="hr-HR"/>
        </w:rPr>
      </w:pPr>
      <w:r w:rsidRPr="00C30FCD">
        <w:rPr>
          <w:rFonts w:cs="Times New Roman" w:eastAsia="Times New Roman"/>
          <w:lang w:eastAsia="hr-HR"/>
        </w:rPr>
        <w:t>TRGOVAČKI SUD U SPLITU</w:t>
      </w:r>
    </w:p>
    <w:p w:rsidRDefault="00C30FCD" w:rsidP="00C30FCD" w:rsidR="00C30FCD" w:rsidRPr="00C30FCD">
      <w:pPr>
        <w:spacing w:after="0"/>
        <w:rPr>
          <w:rFonts w:cs="Times New Roman" w:eastAsia="Times New Roman"/>
          <w:lang w:eastAsia="hr-HR"/>
        </w:rPr>
      </w:pPr>
      <w:r w:rsidRPr="00C30FCD">
        <w:rPr>
          <w:rFonts w:cs="Times New Roman" w:eastAsia="Times New Roman"/>
          <w:lang w:eastAsia="hr-HR"/>
        </w:rPr>
        <w:t xml:space="preserve">                      ZA</w:t>
      </w:r>
    </w:p>
    <w:p w:rsidRDefault="00C30FCD" w:rsidP="00C30FCD" w:rsidR="00C30FCD" w:rsidRPr="00C30FCD">
      <w:pPr>
        <w:spacing w:after="0"/>
        <w:rPr>
          <w:rFonts w:cs="Times New Roman" w:eastAsia="Times New Roman"/>
          <w:u w:val="single"/>
          <w:lang w:eastAsia="hr-HR"/>
        </w:rPr>
      </w:pPr>
      <w:r w:rsidRPr="00C30FCD">
        <w:rPr>
          <w:rFonts w:cs="Times New Roman" w:eastAsia="Times New Roman"/>
          <w:u w:val="single"/>
          <w:lang w:eastAsia="hr-HR"/>
        </w:rPr>
        <w:t>VISOKI  TRGOVAČKI SUD RH</w:t>
      </w:r>
    </w:p>
    <w:p w:rsidRDefault="00C30FCD" w:rsidP="00C30FCD" w:rsidR="00C30FCD" w:rsidRPr="00C30FCD">
      <w:pPr>
        <w:spacing w:after="0"/>
        <w:rPr>
          <w:rFonts w:cs="Times New Roman" w:eastAsia="Times New Roman"/>
          <w:u w:val="single"/>
          <w:lang w:eastAsia="hr-HR"/>
        </w:rPr>
      </w:pPr>
      <w:r w:rsidRPr="00C30FCD">
        <w:rPr>
          <w:rFonts w:cs="Times New Roman" w:eastAsia="Times New Roman"/>
          <w:lang w:eastAsia="hr-HR"/>
        </w:rPr>
        <w:t xml:space="preserve">                </w:t>
      </w:r>
      <w:r w:rsidRPr="00C30FCD">
        <w:rPr>
          <w:rFonts w:cs="Times New Roman" w:eastAsia="Times New Roman"/>
          <w:u w:val="single"/>
          <w:lang w:eastAsia="hr-HR"/>
        </w:rPr>
        <w:t>Z A G R E B</w:t>
      </w:r>
    </w:p>
    <w:p w:rsidRDefault="00C30FCD" w:rsidP="00C30FCD" w:rsidR="00C30FCD" w:rsidRPr="00C30FCD">
      <w:pPr>
        <w:spacing w:after="0"/>
        <w:rPr>
          <w:rFonts w:cs="Times New Roman" w:eastAsia="Times New Roman"/>
          <w:lang w:eastAsia="hr-HR"/>
        </w:rPr>
      </w:pPr>
    </w:p>
    <w:p w:rsidRDefault="00C30FCD" w:rsidP="00C30FCD" w:rsidR="00C30FCD" w:rsidRPr="00C30FCD">
      <w:pPr>
        <w:spacing w:after="0"/>
        <w:rPr>
          <w:rFonts w:cs="Times New Roman" w:eastAsia="Times New Roman"/>
          <w:lang w:eastAsia="hr-HR"/>
        </w:rPr>
      </w:pPr>
    </w:p>
    <w:p w:rsidRDefault="00C30FCD" w:rsidP="00C30FCD" w:rsidR="00C30FCD" w:rsidRPr="00C30FCD">
      <w:pPr>
        <w:spacing w:after="0"/>
        <w:rPr>
          <w:rFonts w:cs="Times New Roman" w:eastAsia="Times New Roman"/>
          <w:lang w:eastAsia="hr-HR"/>
        </w:rPr>
      </w:pPr>
    </w:p>
    <w:p w:rsidRDefault="00C30FCD" w:rsidP="00C30FCD" w:rsidR="00C30FCD" w:rsidRPr="00C30FCD">
      <w:pPr>
        <w:spacing w:after="0"/>
        <w:rPr>
          <w:rFonts w:cs="Times New Roman" w:eastAsia="Times New Roman"/>
          <w:lang w:eastAsia="hr-HR"/>
        </w:rPr>
      </w:pPr>
    </w:p>
    <w:p w:rsidRDefault="00C30FCD" w:rsidP="00C30FCD" w:rsidR="00C30FCD" w:rsidRPr="00C30FCD">
      <w:pPr>
        <w:spacing w:after="0"/>
        <w:rPr>
          <w:rFonts w:cs="Times New Roman" w:eastAsia="Times New Roman"/>
          <w:lang w:eastAsia="hr-HR"/>
        </w:rPr>
      </w:pPr>
    </w:p>
    <w:p w:rsidRDefault="00C30FCD" w:rsidP="00C30FCD" w:rsidR="00C30FCD" w:rsidRPr="00C30FCD">
      <w:pPr>
        <w:spacing w:after="0"/>
        <w:rPr>
          <w:rFonts w:cs="Times New Roman" w:eastAsia="Times New Roman"/>
          <w:lang w:eastAsia="hr-HR"/>
        </w:rPr>
      </w:pPr>
    </w:p>
    <w:p w:rsidRDefault="00C30FCD" w:rsidP="00C30FCD" w:rsidR="00C30FCD" w:rsidRPr="00C30FCD">
      <w:pPr>
        <w:spacing w:after="0"/>
        <w:jc w:val="both"/>
        <w:rPr>
          <w:rFonts w:cs="Times New Roman" w:eastAsia="Times New Roman"/>
          <w:b/>
          <w:i/>
          <w:lang w:eastAsia="hr-HR"/>
        </w:rPr>
      </w:pPr>
      <w:r w:rsidRPr="00C30FCD">
        <w:rPr>
          <w:rFonts w:cs="Times New Roman" w:eastAsia="Times New Roman"/>
          <w:b/>
          <w:i/>
          <w:lang w:eastAsia="hr-HR"/>
        </w:rPr>
        <w:t xml:space="preserve">Dostavlja se spis radi donošenja odluke povodom žalbe. </w:t>
      </w:r>
    </w:p>
    <w:p w:rsidRDefault="00C30FCD" w:rsidP="00C30FCD" w:rsidR="00C30FCD" w:rsidRPr="00C30FCD">
      <w:pPr>
        <w:spacing w:after="0"/>
        <w:jc w:val="both"/>
        <w:rPr>
          <w:rFonts w:cs="Times New Roman" w:eastAsia="Times New Roman"/>
          <w:lang w:eastAsia="hr-HR"/>
        </w:rPr>
      </w:pPr>
    </w:p>
    <w:p w:rsidRDefault="00C30FCD" w:rsidP="00C30FCD" w:rsidR="00C30FCD" w:rsidRPr="00C30FCD">
      <w:pPr>
        <w:spacing w:after="0"/>
        <w:jc w:val="both"/>
        <w:rPr>
          <w:rFonts w:cs="Times New Roman" w:eastAsia="Times New Roman"/>
          <w:u w:val="single"/>
          <w:lang w:eastAsia="hr-HR"/>
        </w:rPr>
      </w:pPr>
      <w:r w:rsidRPr="00C30FCD">
        <w:rPr>
          <w:rFonts w:cs="Times New Roman" w:eastAsia="Times New Roman"/>
          <w:b/>
          <w:i/>
          <w:u w:val="single"/>
          <w:lang w:eastAsia="hr-HR"/>
        </w:rPr>
        <w:t>Naziv, datum i broj pobijane  odluke</w:t>
      </w:r>
      <w:r w:rsidRPr="00C30FCD">
        <w:rPr>
          <w:rFonts w:cs="Times New Roman" w:eastAsia="Times New Roman"/>
          <w:b/>
          <w:u w:val="single"/>
          <w:lang w:eastAsia="hr-HR"/>
        </w:rPr>
        <w:t xml:space="preserve">: </w:t>
      </w:r>
    </w:p>
    <w:p w:rsidRDefault="00C30FCD" w:rsidP="00C30FCD" w:rsidR="00C30FCD" w:rsidRPr="00C30FCD">
      <w:pPr>
        <w:spacing w:after="0"/>
        <w:jc w:val="both"/>
        <w:rPr>
          <w:rFonts w:cs="Times New Roman" w:eastAsia="Times New Roman"/>
          <w:lang w:eastAsia="hr-HR"/>
        </w:rPr>
      </w:pPr>
      <w:r w:rsidRPr="00C30FCD">
        <w:rPr>
          <w:rFonts w:cs="Times New Roman" w:eastAsia="Times New Roman"/>
          <w:lang w:eastAsia="hr-HR"/>
        </w:rPr>
        <w:t>Rješenje o upućivanju u parnicu u svezi dijela osporene tražbine, od 18. svibnja 2017, broj: 14. St-45/2015. (list: od 551. do 555, SVEZAK 2. priloženog DUPLIKATA SPISA).</w:t>
      </w:r>
    </w:p>
    <w:p w:rsidRDefault="00C30FCD" w:rsidP="00C30FCD" w:rsidR="00C30FCD" w:rsidRPr="00C30FCD">
      <w:pPr>
        <w:spacing w:after="0"/>
        <w:jc w:val="both"/>
        <w:rPr>
          <w:rFonts w:cs="Times New Roman" w:eastAsia="Times New Roman"/>
          <w:b/>
          <w:i/>
          <w:u w:val="single"/>
          <w:lang w:eastAsia="hr-HR"/>
        </w:rPr>
      </w:pPr>
      <w:r w:rsidRPr="00C30FCD">
        <w:rPr>
          <w:rFonts w:cs="Times New Roman" w:eastAsia="Times New Roman"/>
          <w:b/>
          <w:i/>
          <w:u w:val="single"/>
          <w:lang w:eastAsia="hr-HR"/>
        </w:rPr>
        <w:t>Tko i kada je izjavio Žalbu:</w:t>
      </w:r>
    </w:p>
    <w:p w:rsidRDefault="00C30FCD" w:rsidP="00C30FCD" w:rsidR="00C30FCD" w:rsidRPr="00C30FCD">
      <w:pPr>
        <w:spacing w:after="0"/>
        <w:jc w:val="both"/>
        <w:rPr>
          <w:rFonts w:cs="Times New Roman" w:eastAsia="Times New Roman"/>
          <w:lang w:eastAsia="hr-HR"/>
        </w:rPr>
      </w:pPr>
      <w:r w:rsidRPr="00C30FCD">
        <w:rPr>
          <w:rFonts w:cs="Times New Roman" w:eastAsia="Times New Roman"/>
          <w:lang w:eastAsia="hr-HR"/>
        </w:rPr>
        <w:t xml:space="preserve">Vjerovnik TECHCOM </w:t>
      </w:r>
      <w:proofErr w:type="spellStart"/>
      <w:r w:rsidRPr="00C30FCD">
        <w:rPr>
          <w:rFonts w:cs="Times New Roman" w:eastAsia="Times New Roman"/>
          <w:lang w:eastAsia="hr-HR"/>
        </w:rPr>
        <w:t>GmbH</w:t>
      </w:r>
      <w:proofErr w:type="spellEnd"/>
      <w:r w:rsidRPr="00C30FCD">
        <w:rPr>
          <w:rFonts w:cs="Times New Roman" w:eastAsia="Times New Roman"/>
          <w:lang w:eastAsia="hr-HR"/>
        </w:rPr>
        <w:t xml:space="preserve">, Njemačka, po punom. odvjetnicima u Odvjetničkom društvu KALLAY &amp; PARTNERI, d.o.o., Zagreb (Žalbu potpisao odvjetnik Vedran </w:t>
      </w:r>
      <w:proofErr w:type="spellStart"/>
      <w:r w:rsidRPr="00C30FCD">
        <w:rPr>
          <w:rFonts w:cs="Times New Roman" w:eastAsia="Times New Roman"/>
          <w:lang w:eastAsia="hr-HR"/>
        </w:rPr>
        <w:t>Plasaj</w:t>
      </w:r>
      <w:proofErr w:type="spellEnd"/>
      <w:r w:rsidRPr="00C30FCD">
        <w:rPr>
          <w:rFonts w:cs="Times New Roman" w:eastAsia="Times New Roman"/>
          <w:lang w:eastAsia="hr-HR"/>
        </w:rPr>
        <w:t>), poštom preporučeno, predajom na poštu Zagreb 26. svibnja 2017 (list, sa prilozima Žalbi: od 626. do 634, SVEZAK 2. priloženog DUPLIKATA SPISA).</w:t>
      </w:r>
    </w:p>
    <w:p w:rsidRDefault="00C30FCD" w:rsidP="00C30FCD" w:rsidR="00C30FCD" w:rsidRPr="00C30FCD">
      <w:pPr>
        <w:spacing w:after="0"/>
        <w:jc w:val="both"/>
        <w:rPr>
          <w:rFonts w:cs="Times New Roman" w:eastAsia="Times New Roman"/>
          <w:b/>
          <w:i/>
          <w:u w:val="single"/>
          <w:lang w:eastAsia="hr-HR"/>
        </w:rPr>
      </w:pPr>
      <w:r w:rsidRPr="00C30FCD">
        <w:rPr>
          <w:rFonts w:cs="Times New Roman" w:eastAsia="Times New Roman"/>
          <w:b/>
          <w:i/>
          <w:u w:val="single"/>
          <w:lang w:eastAsia="hr-HR"/>
        </w:rPr>
        <w:t>Kada je pobijana odluka dostavljena podnositelju Žalbe:</w:t>
      </w:r>
    </w:p>
    <w:p w:rsidRDefault="00C30FCD" w:rsidP="00C30FCD" w:rsidR="00C30FCD" w:rsidRPr="00C30FCD">
      <w:pPr>
        <w:spacing w:after="0"/>
        <w:jc w:val="both"/>
        <w:rPr>
          <w:rFonts w:cs="Times New Roman" w:eastAsia="Times New Roman"/>
          <w:lang w:eastAsia="hr-HR"/>
        </w:rPr>
      </w:pPr>
      <w:r w:rsidRPr="00C30FCD">
        <w:rPr>
          <w:rFonts w:cs="Times New Roman" w:eastAsia="Times New Roman"/>
          <w:lang w:eastAsia="hr-HR"/>
        </w:rPr>
        <w:t xml:space="preserve">Rješenje je dostavljeno Žalitelju osobno i preko e-Oglasne ploče Suda. Preko e-Oglasne ploče Suda 26. svibnja 2017 (istekom osmog dana od dana objave Rješenja na e-Oglasnoj ploči Suda a Rješenje je objavljeno na e-Oglasnoj ploči Suda 18. svibnja 2017, list: 556, SVEZAK 2. priloženog DUPLIKATA SPISA). Rješenje je i osobno dostavljeno Žalitelju 22. svibnja 2017. (list: 558, SVEZAK 2. priloženog DUPLIKATA SPISA). </w:t>
      </w:r>
    </w:p>
    <w:p w:rsidRDefault="00C30FCD" w:rsidP="00C30FCD" w:rsidR="00C30FCD" w:rsidRPr="00C30FCD">
      <w:pPr>
        <w:spacing w:after="0"/>
        <w:jc w:val="both"/>
        <w:rPr>
          <w:rFonts w:cs="Times New Roman" w:eastAsia="Times New Roman"/>
          <w:u w:val="single"/>
          <w:lang w:eastAsia="hr-HR"/>
        </w:rPr>
      </w:pPr>
      <w:r w:rsidRPr="00C30FCD">
        <w:rPr>
          <w:rFonts w:cs="Times New Roman" w:eastAsia="Times New Roman"/>
          <w:b/>
          <w:i/>
          <w:u w:val="single"/>
          <w:lang w:eastAsia="hr-HR"/>
        </w:rPr>
        <w:t>Odgovor na Žalbu:</w:t>
      </w:r>
      <w:r w:rsidRPr="00C30FCD">
        <w:rPr>
          <w:rFonts w:cs="Times New Roman" w:eastAsia="Times New Roman"/>
          <w:u w:val="single"/>
          <w:lang w:eastAsia="hr-HR"/>
        </w:rPr>
        <w:t xml:space="preserve">  </w:t>
      </w:r>
    </w:p>
    <w:p w:rsidRDefault="00C30FCD" w:rsidP="00C30FCD" w:rsidR="00C30FCD" w:rsidRPr="00C30FCD">
      <w:pPr>
        <w:spacing w:after="0"/>
        <w:jc w:val="both"/>
        <w:rPr>
          <w:rFonts w:cs="Times New Roman" w:eastAsia="Times New Roman"/>
          <w:lang w:eastAsia="hr-HR"/>
        </w:rPr>
      </w:pPr>
      <w:r w:rsidRPr="00C30FCD">
        <w:rPr>
          <w:rFonts w:cs="Times New Roman" w:eastAsia="Times New Roman"/>
          <w:lang w:eastAsia="hr-HR"/>
        </w:rPr>
        <w:t>Nije podnesen.</w:t>
      </w:r>
    </w:p>
    <w:p w:rsidRDefault="00C30FCD" w:rsidP="00C30FCD" w:rsidR="00C30FCD" w:rsidRPr="00C30FCD">
      <w:pPr>
        <w:spacing w:after="0"/>
        <w:jc w:val="both"/>
        <w:rPr>
          <w:rFonts w:cs="Times New Roman" w:eastAsia="Times New Roman"/>
          <w:lang w:eastAsia="hr-HR"/>
        </w:rPr>
      </w:pPr>
      <w:r w:rsidRPr="00C30FCD">
        <w:rPr>
          <w:rFonts w:cs="Times New Roman" w:eastAsia="Times New Roman"/>
          <w:b/>
          <w:i/>
          <w:u w:val="single"/>
          <w:lang w:eastAsia="hr-HR"/>
        </w:rPr>
        <w:t>Prilažu se</w:t>
      </w:r>
      <w:r w:rsidRPr="00C30FCD">
        <w:rPr>
          <w:rFonts w:cs="Times New Roman" w:eastAsia="Times New Roman"/>
          <w:i/>
          <w:u w:val="single"/>
          <w:lang w:eastAsia="hr-HR"/>
        </w:rPr>
        <w:t>:</w:t>
      </w:r>
      <w:r w:rsidRPr="00C30FCD">
        <w:rPr>
          <w:rFonts w:cs="Times New Roman" w:eastAsia="Times New Roman"/>
          <w:lang w:eastAsia="hr-HR"/>
        </w:rPr>
        <w:t xml:space="preserve"> prijepis odluke, Žalba, dostavnice te </w:t>
      </w:r>
      <w:proofErr w:type="spellStart"/>
      <w:r w:rsidRPr="00C30FCD">
        <w:rPr>
          <w:rFonts w:cs="Times New Roman" w:eastAsia="Times New Roman"/>
          <w:u w:val="single"/>
          <w:lang w:eastAsia="hr-HR"/>
        </w:rPr>
        <w:t>preslik</w:t>
      </w:r>
      <w:proofErr w:type="spellEnd"/>
      <w:r w:rsidRPr="00C30FCD">
        <w:rPr>
          <w:rFonts w:cs="Times New Roman" w:eastAsia="Times New Roman"/>
          <w:u w:val="single"/>
          <w:lang w:eastAsia="hr-HR"/>
        </w:rPr>
        <w:t xml:space="preserve"> dijela spisa</w:t>
      </w:r>
      <w:r w:rsidRPr="00C30FCD">
        <w:rPr>
          <w:rFonts w:cs="Times New Roman" w:eastAsia="Times New Roman"/>
          <w:lang w:eastAsia="hr-HR"/>
        </w:rPr>
        <w:t xml:space="preserve"> na koji se Žalba odnosi, uključujući i </w:t>
      </w:r>
      <w:proofErr w:type="spellStart"/>
      <w:r w:rsidRPr="00C30FCD">
        <w:rPr>
          <w:rFonts w:cs="Times New Roman" w:eastAsia="Times New Roman"/>
          <w:lang w:eastAsia="hr-HR"/>
        </w:rPr>
        <w:t>preslik</w:t>
      </w:r>
      <w:proofErr w:type="spellEnd"/>
      <w:r w:rsidRPr="00C30FCD">
        <w:rPr>
          <w:rFonts w:cs="Times New Roman" w:eastAsia="Times New Roman"/>
          <w:lang w:eastAsia="hr-HR"/>
        </w:rPr>
        <w:t xml:space="preserve"> prijave tražbine vjerovnika: TECHOM </w:t>
      </w:r>
      <w:proofErr w:type="spellStart"/>
      <w:r w:rsidRPr="00C30FCD">
        <w:rPr>
          <w:rFonts w:cs="Times New Roman" w:eastAsia="Times New Roman"/>
          <w:lang w:eastAsia="hr-HR"/>
        </w:rPr>
        <w:t>GmbH</w:t>
      </w:r>
      <w:proofErr w:type="spellEnd"/>
      <w:r w:rsidRPr="00C30FCD">
        <w:rPr>
          <w:rFonts w:cs="Times New Roman" w:eastAsia="Times New Roman"/>
          <w:lang w:eastAsia="hr-HR"/>
        </w:rPr>
        <w:t>, Njemačka i Sporazum o zasnivanju lebdećeg založnog prava za istog Vjerovnika, sve sukladno članku 11, stavku 6, Stečajnog zakona (</w:t>
      </w:r>
      <w:r w:rsidRPr="00C30FCD">
        <w:rPr>
          <w:rFonts w:cs="Times New Roman" w:eastAsia="Times New Roman"/>
          <w:i/>
          <w:lang w:eastAsia="hr-HR"/>
        </w:rPr>
        <w:t>Narodne novine</w:t>
      </w:r>
      <w:r w:rsidRPr="00C30FCD">
        <w:rPr>
          <w:rFonts w:cs="Times New Roman" w:eastAsia="Times New Roman"/>
          <w:lang w:eastAsia="hr-HR"/>
        </w:rPr>
        <w:t xml:space="preserve">, br.-i: 44/96–133/12, dalje: SZ, u vezi sa člankom 441, Stečajnog zakona, </w:t>
      </w:r>
      <w:r w:rsidRPr="00C30FCD">
        <w:rPr>
          <w:rFonts w:cs="Times New Roman" w:eastAsia="Times New Roman"/>
          <w:i/>
          <w:lang w:eastAsia="hr-HR"/>
        </w:rPr>
        <w:t>Narodne novine</w:t>
      </w:r>
      <w:r w:rsidRPr="00C30FCD">
        <w:rPr>
          <w:rFonts w:cs="Times New Roman" w:eastAsia="Times New Roman"/>
          <w:lang w:eastAsia="hr-HR"/>
        </w:rPr>
        <w:t xml:space="preserve">, br.: 71/15, dalje: SZ/15, list: 1–634, priloženog DUPLIKATA SPISA, SVEZAK 1 – 2).  </w:t>
      </w:r>
    </w:p>
    <w:p w:rsidRDefault="00C30FCD" w:rsidP="00C30FCD" w:rsidR="00C30FCD" w:rsidRPr="00C30FCD">
      <w:pPr>
        <w:spacing w:after="0"/>
        <w:jc w:val="both"/>
        <w:rPr>
          <w:rFonts w:cs="Times New Roman" w:eastAsia="Times New Roman"/>
          <w:lang w:eastAsia="hr-HR"/>
        </w:rPr>
      </w:pPr>
    </w:p>
    <w:p w:rsidRDefault="00C30FCD" w:rsidP="00C30FCD" w:rsidR="00C30FCD" w:rsidRPr="00C30FCD">
      <w:pPr>
        <w:spacing w:after="0"/>
        <w:jc w:val="both"/>
        <w:rPr>
          <w:rFonts w:cs="Times New Roman" w:eastAsia="Times New Roman"/>
          <w:lang w:eastAsia="hr-HR"/>
        </w:rPr>
      </w:pPr>
      <w:r w:rsidRPr="00C30FCD">
        <w:rPr>
          <w:rFonts w:cs="Times New Roman" w:eastAsia="Times New Roman"/>
          <w:lang w:eastAsia="hr-HR"/>
        </w:rPr>
        <w:t>U postupku koji je prethodio donošenju pobijanog rješenja, prema stajalištu ovog Suda prvog stupnja, nisu povrijeđene odredbe postupka.</w:t>
      </w:r>
    </w:p>
    <w:p w:rsidRDefault="00C30FCD" w:rsidP="00C30FCD" w:rsidR="00C30FCD" w:rsidRPr="00C30FCD">
      <w:pPr>
        <w:spacing w:after="0"/>
        <w:jc w:val="both"/>
        <w:rPr>
          <w:rFonts w:cs="Times New Roman" w:eastAsia="Times New Roman"/>
          <w:lang w:eastAsia="hr-HR"/>
        </w:rPr>
      </w:pPr>
    </w:p>
    <w:p w:rsidRDefault="00C30FCD" w:rsidP="00C30FCD" w:rsidR="00C30FCD" w:rsidRPr="00C30FCD">
      <w:pPr>
        <w:spacing w:after="0"/>
        <w:jc w:val="both"/>
        <w:rPr>
          <w:rFonts w:cs="Times New Roman" w:eastAsia="Times New Roman"/>
          <w:lang w:eastAsia="hr-HR"/>
        </w:rPr>
      </w:pPr>
      <w:r w:rsidRPr="00C30FCD">
        <w:rPr>
          <w:rFonts w:cs="Times New Roman" w:eastAsia="Times New Roman"/>
          <w:lang w:eastAsia="hr-HR"/>
        </w:rPr>
        <w:t>Split, 09. lipnja 2017.                                                           SUDAC: Jozo Ćaleta,</w:t>
      </w:r>
    </w:p>
    <w:p w:rsidRDefault="00C30FCD" w:rsidP="00C30FCD" w:rsidR="00C30FCD" w:rsidRPr="00C30FCD">
      <w:pPr>
        <w:spacing w:after="0"/>
        <w:rPr>
          <w:rFonts w:cs="Times New Roman" w:eastAsia="Times New Roman"/>
          <w:lang w:eastAsia="hr-HR"/>
        </w:rPr>
      </w:pPr>
    </w:p>
    <w:p w:rsidRDefault="00C30FCD" w:rsidP="00C30FCD" w:rsidR="00C30FCD" w:rsidRPr="00C30FCD">
      <w:pPr>
        <w:spacing w:after="0"/>
        <w:jc w:val="both"/>
        <w:rPr>
          <w:rFonts w:cs="Times New Roman" w:eastAsia="Times New Roman"/>
          <w:lang w:eastAsia="hr-HR"/>
        </w:rPr>
      </w:pPr>
      <w:r w:rsidRPr="00C30FCD">
        <w:rPr>
          <w:rFonts w:cs="Times New Roman" w:eastAsia="Times New Roman"/>
          <w:u w:val="single"/>
          <w:lang w:eastAsia="hr-HR"/>
        </w:rPr>
        <w:t>Prilog:</w:t>
      </w:r>
      <w:r w:rsidRPr="00C30FCD">
        <w:rPr>
          <w:rFonts w:cs="Times New Roman" w:eastAsia="Times New Roman"/>
          <w:lang w:eastAsia="hr-HR"/>
        </w:rPr>
        <w:t xml:space="preserve"> kao u tekstu pod </w:t>
      </w:r>
      <w:r w:rsidRPr="00C30FCD">
        <w:rPr>
          <w:rFonts w:cs="Times New Roman" w:eastAsia="Times New Roman"/>
          <w:b/>
          <w:i/>
          <w:lang w:eastAsia="hr-HR"/>
        </w:rPr>
        <w:t>Prilažu se</w:t>
      </w:r>
      <w:r w:rsidRPr="00C30FCD">
        <w:rPr>
          <w:rFonts w:cs="Times New Roman" w:eastAsia="Times New Roman"/>
          <w:lang w:eastAsia="hr-HR"/>
        </w:rPr>
        <w:t>.</w:t>
      </w:r>
    </w:p>
    <w:p w:rsidRDefault="00C30FCD" w:rsidP="00C30FCD" w:rsidR="00C30FCD" w:rsidRPr="00C30FCD">
      <w:pPr>
        <w:spacing w:after="0"/>
        <w:jc w:val="both"/>
        <w:rPr>
          <w:rFonts w:cs="Times New Roman" w:eastAsia="Times New Roman"/>
          <w:lang w:eastAsia="hr-HR"/>
        </w:rPr>
      </w:pPr>
    </w:p>
    <w:p w:rsidRDefault="00C30FCD" w:rsidP="00C30FCD" w:rsidR="00AE649C" w:rsidRPr="00B76F3C">
      <w:pPr>
        <w:spacing w:after="0"/>
        <w:jc w:val="both"/>
      </w:pPr>
      <w:r w:rsidRPr="00C30FCD">
        <w:rPr>
          <w:rFonts w:cs="Times New Roman" w:eastAsia="Times New Roman"/>
          <w:lang w:eastAsia="hr-HR"/>
        </w:rPr>
        <w:t>Ovaj se Popratni dopis objavljuje i na e-Oglasnoj ploči Suda. Rok: 20. dana.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FC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90486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St-45/2015-408</izvorni_sadrzaj>
    <derivirana_varijabla naziv="DomainObject.Oznaka_1">St-45/2015-408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ožujka 2017.</izvorni_sadrzaj>
    <derivirana_varijabla naziv="DomainObject.Predmet.SpisIzvanSuda.DatumIzlazaSpisa_1">23.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St-45/2015-408</izvorni_sadrzaj>
    <derivirana_varijabla naziv="DomainObject.PoslovniBrojDokumenta_1">St-45/2015-408</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31E20E-B818-4152-A3E0-2FAB01A083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294</properties:Words>
  <properties:Characters>1635</properties:Characters>
  <properties:Lines>45</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2017-06-09T07:46:00Z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St-45/2015-408 / Odluka - Popratno izvješće za viši sud</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