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d101c" w14:paraId="9dd101c" w:rsidRDefault="001E3364" w:rsidP="001E3364" w:rsidR="001E3364">
      <w:pPr>
        <w:jc w:val="center"/>
        <w15:collapsed w:val="false"/>
        <w:rPr>
          <w:sz w:val="24"/>
          <w:szCs w:val="24"/>
        </w:rPr>
      </w:pPr>
      <w:bookmarkStart w:name="_GoBack" w:id="0"/>
      <w:bookmarkEnd w:id="0"/>
    </w:p>
    <w:p w:rsidRDefault="001E3364" w:rsidP="001E3364" w:rsidR="001E3364">
      <w:pPr>
        <w:jc w:val="center"/>
        <w:rPr>
          <w:sz w:val="24"/>
          <w:szCs w:val="24"/>
        </w:rPr>
      </w:pPr>
    </w:p>
    <w:p w:rsidRDefault="001E3364" w:rsidP="001E3364" w:rsidR="001E3364">
      <w:pPr>
        <w:jc w:val="center"/>
        <w:rPr>
          <w:sz w:val="24"/>
          <w:szCs w:val="24"/>
        </w:rPr>
      </w:pPr>
    </w:p>
    <w:p w:rsidRDefault="001E3364" w:rsidP="001E3364" w:rsidR="001E3364">
      <w:pPr>
        <w:jc w:val="center"/>
        <w:rPr>
          <w:sz w:val="24"/>
          <w:szCs w:val="24"/>
        </w:rPr>
      </w:pPr>
    </w:p>
    <w:p w:rsidRDefault="001E3364" w:rsidP="001E3364" w:rsidR="001E3364">
      <w:pPr>
        <w:jc w:val="center"/>
        <w:rPr>
          <w:sz w:val="24"/>
          <w:szCs w:val="24"/>
        </w:rPr>
      </w:pPr>
    </w:p>
    <w:p w:rsidRDefault="001E3364" w:rsidP="001E3364" w:rsidR="001E3364">
      <w:pPr>
        <w:jc w:val="center"/>
        <w:rPr>
          <w:sz w:val="24"/>
          <w:szCs w:val="24"/>
        </w:rPr>
      </w:pPr>
    </w:p>
    <w:p w:rsidRDefault="001E3364" w:rsidP="001E3364" w:rsidR="001E3364">
      <w:pPr>
        <w:jc w:val="center"/>
        <w:rPr>
          <w:sz w:val="32"/>
          <w:szCs w:val="24"/>
        </w:rPr>
      </w:pPr>
    </w:p>
    <w:p w:rsidRDefault="001E3364" w:rsidP="001E3364" w:rsidR="001E3364">
      <w:pPr>
        <w:jc w:val="center"/>
        <w:rPr>
          <w:b/>
          <w:sz w:val="32"/>
          <w:szCs w:val="24"/>
        </w:rPr>
      </w:pPr>
      <w:r>
        <w:rPr>
          <w:b/>
          <w:sz w:val="32"/>
          <w:szCs w:val="24"/>
        </w:rPr>
        <w:t>ANAMIL proizvodnja, trgovina i usluge d.o.o.</w:t>
      </w:r>
    </w:p>
    <w:p w:rsidRDefault="001E3364" w:rsidP="001E3364" w:rsidR="001E3364">
      <w:pPr>
        <w:jc w:val="center"/>
        <w:rPr>
          <w:b/>
          <w:sz w:val="32"/>
          <w:szCs w:val="24"/>
        </w:rPr>
      </w:pPr>
    </w:p>
    <w:p w:rsidRDefault="001E3364" w:rsidP="001E3364" w:rsidR="001E3364">
      <w:pPr>
        <w:jc w:val="center"/>
        <w:rPr>
          <w:b/>
          <w:sz w:val="32"/>
          <w:szCs w:val="24"/>
        </w:rPr>
      </w:pPr>
      <w:r>
        <w:rPr>
          <w:b/>
          <w:sz w:val="32"/>
          <w:szCs w:val="24"/>
        </w:rPr>
        <w:t xml:space="preserve">PLAN RESTRUKTURIRANJA U PREDSTEČAJNOM POSTUPKU </w:t>
      </w:r>
    </w:p>
    <w:p w:rsidRDefault="001E3364" w:rsidP="001E3364" w:rsidR="001E3364">
      <w:pPr>
        <w:jc w:val="center"/>
        <w:rPr>
          <w:b/>
          <w:sz w:val="32"/>
          <w:szCs w:val="24"/>
        </w:rPr>
      </w:pPr>
      <w:r>
        <w:rPr>
          <w:b/>
          <w:sz w:val="32"/>
          <w:szCs w:val="24"/>
        </w:rPr>
        <w:t>(PLAN FINANCIJSKOG I OPERATIVNOG RESTRUKTURIRANJA)</w:t>
      </w:r>
    </w:p>
    <w:p w:rsidRDefault="001E3364" w:rsidP="001E3364" w:rsidR="001E3364">
      <w:pPr>
        <w:jc w:val="center"/>
        <w:rPr>
          <w:b/>
          <w:sz w:val="32"/>
          <w:szCs w:val="24"/>
        </w:rPr>
      </w:pPr>
      <w:r>
        <w:rPr>
          <w:b/>
          <w:sz w:val="32"/>
          <w:szCs w:val="24"/>
        </w:rPr>
        <w:t>2018 - 2024</w:t>
      </w:r>
    </w:p>
    <w:p w:rsidRDefault="001E3364" w:rsidP="001E3364" w:rsidR="001E3364">
      <w:pPr>
        <w:jc w:val="center"/>
        <w:rPr>
          <w:b/>
          <w:sz w:val="24"/>
          <w:szCs w:val="24"/>
        </w:rPr>
      </w:pPr>
    </w:p>
    <w:p w:rsidRDefault="001E3364" w:rsidP="001E3364" w:rsidR="001E3364">
      <w:pPr>
        <w:jc w:val="center"/>
        <w:rPr>
          <w:b/>
          <w:sz w:val="24"/>
          <w:szCs w:val="24"/>
        </w:rPr>
      </w:pPr>
    </w:p>
    <w:p w:rsidRDefault="001E3364" w:rsidP="001E3364" w:rsidR="001E3364">
      <w:pPr>
        <w:jc w:val="center"/>
        <w:rPr>
          <w:b/>
          <w:sz w:val="24"/>
          <w:szCs w:val="24"/>
        </w:rPr>
      </w:pPr>
    </w:p>
    <w:p w:rsidRDefault="001E3364" w:rsidP="001E3364" w:rsidR="001E3364">
      <w:pPr>
        <w:jc w:val="center"/>
        <w:rPr>
          <w:b/>
          <w:sz w:val="24"/>
          <w:szCs w:val="24"/>
        </w:rPr>
      </w:pPr>
    </w:p>
    <w:p w:rsidRDefault="001E3364" w:rsidP="001E3364" w:rsidR="001E3364">
      <w:pPr>
        <w:jc w:val="center"/>
        <w:rPr>
          <w:b/>
          <w:sz w:val="24"/>
          <w:szCs w:val="24"/>
        </w:rPr>
      </w:pPr>
    </w:p>
    <w:p w:rsidRDefault="001E3364" w:rsidP="001E3364" w:rsidR="001E3364">
      <w:pPr>
        <w:jc w:val="center"/>
        <w:rPr>
          <w:b/>
          <w:sz w:val="24"/>
          <w:szCs w:val="24"/>
        </w:rPr>
      </w:pPr>
    </w:p>
    <w:p w:rsidRDefault="001E3364" w:rsidP="001E3364" w:rsidR="001E3364">
      <w:pPr>
        <w:jc w:val="center"/>
        <w:rPr>
          <w:b/>
          <w:sz w:val="24"/>
          <w:szCs w:val="24"/>
        </w:rPr>
      </w:pPr>
    </w:p>
    <w:p w:rsidRDefault="001E3364" w:rsidP="001E3364" w:rsidR="001E3364">
      <w:pPr>
        <w:jc w:val="center"/>
        <w:rPr>
          <w:b/>
          <w:sz w:val="24"/>
          <w:szCs w:val="24"/>
        </w:rPr>
      </w:pPr>
    </w:p>
    <w:p w:rsidRDefault="001E3364" w:rsidP="001E3364" w:rsidR="001E3364">
      <w:pPr>
        <w:jc w:val="center"/>
        <w:rPr>
          <w:sz w:val="24"/>
          <w:szCs w:val="24"/>
        </w:rPr>
      </w:pPr>
      <w:r>
        <w:rPr>
          <w:sz w:val="24"/>
          <w:szCs w:val="24"/>
        </w:rPr>
        <w:t>U Zagrebu, srpanj 2018.</w:t>
      </w:r>
    </w:p>
    <w:p w:rsidRDefault="001E3364" w:rsidP="001E3364" w:rsidR="001E3364">
      <w:pPr>
        <w:rPr>
          <w:b/>
          <w:sz w:val="24"/>
          <w:szCs w:val="24"/>
        </w:rPr>
      </w:pPr>
    </w:p>
    <w:p w:rsidRDefault="001E3364" w:rsidP="001E3364" w:rsidR="001E3364">
      <w:pPr>
        <w:spacing w:after="0"/>
        <w:rPr>
          <w:b/>
          <w:sz w:val="24"/>
          <w:szCs w:val="24"/>
        </w:rPr>
        <w:sectPr w:rsidR="001E3364">
          <w:pgSz w:h="16838" w:w="11906"/>
          <w:pgMar w:gutter="0" w:footer="708" w:header="708" w:left="1417" w:bottom="1276" w:right="1417" w:top="1418"/>
          <w:pgNumType w:start="0"/>
          <w:cols w:space="720"/>
        </w:sectPr>
      </w:pPr>
    </w:p>
    <w:p w:rsidRDefault="001E3364" w:rsidP="001E3364" w:rsidR="001E3364">
      <w:pPr>
        <w:jc w:val="center"/>
        <w:rPr>
          <w:b/>
          <w:sz w:val="24"/>
          <w:szCs w:val="24"/>
        </w:rPr>
      </w:pPr>
    </w:p>
    <w:sdt>
      <w:sdtPr>
        <w:rPr>
          <w:b/>
          <w:bCs/>
          <w:sz w:val="24"/>
          <w:szCs w:val="24"/>
        </w:rPr>
        <w:id w:val="-1544812179"/>
        <w:docPartObj>
          <w:docPartGallery w:val="Table of Contents"/>
          <w:docPartUnique/>
        </w:docPartObj>
      </w:sdtPr>
      <w:sdtEndPr/>
      <w:sdtContent>
        <w:p w:rsidRDefault="001E3364" w:rsidP="001E3364" w:rsidR="001E3364">
          <w:pPr>
            <w:rPr>
              <w:b/>
              <w:color w:themeColor="accent1" w:val="4F81BD"/>
              <w:sz w:val="24"/>
              <w:szCs w:val="24"/>
            </w:rPr>
          </w:pPr>
          <w:r>
            <w:rPr>
              <w:b/>
              <w:color w:themeColor="accent1" w:val="4F81BD"/>
              <w:sz w:val="24"/>
              <w:szCs w:val="24"/>
            </w:rPr>
            <w:t>Sadržaj</w:t>
          </w:r>
        </w:p>
        <w:p w:rsidRDefault="001E3364" w:rsidP="001E3364" w:rsidR="001E3364">
          <w:pPr>
            <w:pStyle w:val="Sadraj1"/>
            <w:tabs>
              <w:tab w:pos="440" w:val="left"/>
              <w:tab w:pos="9062" w:leader="dot" w:val="right"/>
            </w:tabs>
            <w:rPr>
              <w:rFonts w:eastAsiaTheme="minorEastAsia"/>
              <w:noProof/>
              <w:lang w:eastAsia="hr-HR"/>
            </w:rPr>
          </w:pPr>
          <w:r>
            <w:rPr>
              <w:sz w:val="24"/>
              <w:szCs w:val="24"/>
            </w:rPr>
            <w:fldChar w:fldCharType="begin"/>
          </w:r>
          <w:r>
            <w:rPr>
              <w:sz w:val="24"/>
              <w:szCs w:val="24"/>
            </w:rPr>
            <w:instrText xml:space="preserve"> TOC \o "1-3" \h \z \u </w:instrText>
          </w:r>
          <w:r>
            <w:rPr>
              <w:sz w:val="24"/>
              <w:szCs w:val="24"/>
            </w:rPr>
            <w:fldChar w:fldCharType="separate"/>
          </w:r>
          <w:hyperlink r:id="rId7" w:anchor="_Toc521023680" w:history="true">
            <w:r>
              <w:rPr>
                <w:rStyle w:val="Hiperveza"/>
                <w:noProof/>
              </w:rPr>
              <w:t>1.</w:t>
            </w:r>
            <w:r>
              <w:rPr>
                <w:rStyle w:val="Hiperveza"/>
                <w:rFonts w:eastAsiaTheme="minorEastAsia"/>
                <w:noProof/>
                <w:color w:val="auto"/>
                <w:lang w:eastAsia="hr-HR"/>
              </w:rPr>
              <w:tab/>
            </w:r>
            <w:r>
              <w:rPr>
                <w:rStyle w:val="Hiperveza"/>
                <w:noProof/>
              </w:rPr>
              <w:t>Uvod</w:t>
            </w:r>
            <w:r>
              <w:rPr>
                <w:rStyle w:val="Hiperveza"/>
                <w:noProof/>
                <w:webHidden/>
                <w:color w:val="auto"/>
              </w:rPr>
              <w:tab/>
            </w:r>
            <w:r>
              <w:rPr>
                <w:rStyle w:val="Hiperveza"/>
                <w:noProof/>
                <w:webHidden/>
                <w:color w:val="auto"/>
              </w:rPr>
              <w:fldChar w:fldCharType="begin"/>
            </w:r>
            <w:r>
              <w:rPr>
                <w:rStyle w:val="Hiperveza"/>
                <w:noProof/>
                <w:webHidden/>
                <w:color w:val="auto"/>
              </w:rPr>
              <w:instrText xml:space="preserve"> PAGEREF _Toc521023680 \h </w:instrText>
            </w:r>
            <w:r>
              <w:rPr>
                <w:rStyle w:val="Hiperveza"/>
                <w:noProof/>
                <w:webHidden/>
                <w:color w:val="auto"/>
              </w:rPr>
            </w:r>
            <w:r>
              <w:rPr>
                <w:rStyle w:val="Hiperveza"/>
                <w:noProof/>
                <w:webHidden/>
                <w:color w:val="auto"/>
              </w:rPr>
              <w:fldChar w:fldCharType="separate"/>
            </w:r>
            <w:r>
              <w:rPr>
                <w:rStyle w:val="Hiperveza"/>
                <w:noProof/>
                <w:webHidden/>
                <w:color w:val="auto"/>
              </w:rPr>
              <w:t>2</w:t>
            </w:r>
            <w:r>
              <w:rPr>
                <w:rStyle w:val="Hiperveza"/>
                <w:noProof/>
                <w:webHidden/>
                <w:color w:val="auto"/>
              </w:rPr>
              <w:fldChar w:fldCharType="end"/>
            </w:r>
          </w:hyperlink>
        </w:p>
        <w:p w:rsidRDefault="001403B6" w:rsidP="001E3364" w:rsidR="001E3364">
          <w:pPr>
            <w:pStyle w:val="Sadraj2"/>
            <w:tabs>
              <w:tab w:pos="9062" w:leader="dot" w:val="right"/>
            </w:tabs>
            <w:rPr>
              <w:rFonts w:eastAsiaTheme="minorEastAsia"/>
              <w:noProof/>
              <w:lang w:eastAsia="hr-HR"/>
            </w:rPr>
          </w:pPr>
          <w:hyperlink r:id="rId8" w:anchor="_Toc521023681" w:history="true">
            <w:r w:rsidR="001E3364">
              <w:rPr>
                <w:rStyle w:val="Hiperveza"/>
                <w:noProof/>
              </w:rPr>
              <w:t>Osnovni podaci o Društvu</w:t>
            </w:r>
            <w:r w:rsidR="001E3364">
              <w:rPr>
                <w:rStyle w:val="Hiperveza"/>
                <w:noProof/>
                <w:webHidden/>
                <w:color w:val="auto"/>
              </w:rPr>
              <w:tab/>
            </w:r>
            <w:r w:rsidR="001E3364">
              <w:rPr>
                <w:rStyle w:val="Hiperveza"/>
                <w:noProof/>
                <w:webHidden/>
                <w:color w:val="auto"/>
              </w:rPr>
              <w:fldChar w:fldCharType="begin"/>
            </w:r>
            <w:r w:rsidR="001E3364">
              <w:rPr>
                <w:rStyle w:val="Hiperveza"/>
                <w:noProof/>
                <w:webHidden/>
                <w:color w:val="auto"/>
              </w:rPr>
              <w:instrText xml:space="preserve"> PAGEREF _Toc521023681 \h </w:instrText>
            </w:r>
            <w:r w:rsidR="001E3364">
              <w:rPr>
                <w:rStyle w:val="Hiperveza"/>
                <w:noProof/>
                <w:webHidden/>
                <w:color w:val="auto"/>
              </w:rPr>
            </w:r>
            <w:r w:rsidR="001E3364">
              <w:rPr>
                <w:rStyle w:val="Hiperveza"/>
                <w:noProof/>
                <w:webHidden/>
                <w:color w:val="auto"/>
              </w:rPr>
              <w:fldChar w:fldCharType="separate"/>
            </w:r>
            <w:r w:rsidR="001E3364">
              <w:rPr>
                <w:rStyle w:val="Hiperveza"/>
                <w:noProof/>
                <w:webHidden/>
                <w:color w:val="auto"/>
              </w:rPr>
              <w:t>2</w:t>
            </w:r>
            <w:r w:rsidR="001E3364">
              <w:rPr>
                <w:rStyle w:val="Hiperveza"/>
                <w:noProof/>
                <w:webHidden/>
                <w:color w:val="auto"/>
              </w:rPr>
              <w:fldChar w:fldCharType="end"/>
            </w:r>
          </w:hyperlink>
        </w:p>
        <w:p w:rsidRDefault="001403B6" w:rsidP="001E3364" w:rsidR="001E3364">
          <w:pPr>
            <w:pStyle w:val="Sadraj2"/>
            <w:tabs>
              <w:tab w:pos="9062" w:leader="dot" w:val="right"/>
            </w:tabs>
            <w:rPr>
              <w:rFonts w:eastAsiaTheme="minorEastAsia"/>
              <w:noProof/>
              <w:lang w:eastAsia="hr-HR"/>
            </w:rPr>
          </w:pPr>
          <w:hyperlink r:id="rId9" w:anchor="_Toc521023682" w:history="true">
            <w:r w:rsidR="001E3364">
              <w:rPr>
                <w:rStyle w:val="Hiperveza"/>
                <w:noProof/>
              </w:rPr>
              <w:t>Djelatnost Društva</w:t>
            </w:r>
            <w:r w:rsidR="001E3364">
              <w:rPr>
                <w:rStyle w:val="Hiperveza"/>
                <w:noProof/>
                <w:webHidden/>
                <w:color w:val="auto"/>
              </w:rPr>
              <w:tab/>
            </w:r>
            <w:r w:rsidR="001E3364">
              <w:rPr>
                <w:rStyle w:val="Hiperveza"/>
                <w:noProof/>
                <w:webHidden/>
                <w:color w:val="auto"/>
              </w:rPr>
              <w:fldChar w:fldCharType="begin"/>
            </w:r>
            <w:r w:rsidR="001E3364">
              <w:rPr>
                <w:rStyle w:val="Hiperveza"/>
                <w:noProof/>
                <w:webHidden/>
                <w:color w:val="auto"/>
              </w:rPr>
              <w:instrText xml:space="preserve"> PAGEREF _Toc521023682 \h </w:instrText>
            </w:r>
            <w:r w:rsidR="001E3364">
              <w:rPr>
                <w:rStyle w:val="Hiperveza"/>
                <w:noProof/>
                <w:webHidden/>
                <w:color w:val="auto"/>
              </w:rPr>
            </w:r>
            <w:r w:rsidR="001E3364">
              <w:rPr>
                <w:rStyle w:val="Hiperveza"/>
                <w:noProof/>
                <w:webHidden/>
                <w:color w:val="auto"/>
              </w:rPr>
              <w:fldChar w:fldCharType="separate"/>
            </w:r>
            <w:r w:rsidR="001E3364">
              <w:rPr>
                <w:rStyle w:val="Hiperveza"/>
                <w:noProof/>
                <w:webHidden/>
                <w:color w:val="auto"/>
              </w:rPr>
              <w:t>2</w:t>
            </w:r>
            <w:r w:rsidR="001E3364">
              <w:rPr>
                <w:rStyle w:val="Hiperveza"/>
                <w:noProof/>
                <w:webHidden/>
                <w:color w:val="auto"/>
              </w:rPr>
              <w:fldChar w:fldCharType="end"/>
            </w:r>
          </w:hyperlink>
        </w:p>
        <w:p w:rsidRDefault="001403B6" w:rsidP="001E3364" w:rsidR="001E3364">
          <w:pPr>
            <w:pStyle w:val="Sadraj2"/>
            <w:tabs>
              <w:tab w:pos="9062" w:leader="dot" w:val="right"/>
            </w:tabs>
            <w:rPr>
              <w:rFonts w:eastAsiaTheme="minorEastAsia"/>
              <w:noProof/>
              <w:lang w:eastAsia="hr-HR"/>
            </w:rPr>
          </w:pPr>
          <w:hyperlink r:id="rId10" w:anchor="_Toc521023683" w:history="true">
            <w:r w:rsidR="001E3364">
              <w:rPr>
                <w:rStyle w:val="Hiperveza"/>
                <w:noProof/>
              </w:rPr>
              <w:t>Razlozi za predstečajni postupak i restrukturiranje Društva</w:t>
            </w:r>
            <w:r w:rsidR="001E3364">
              <w:rPr>
                <w:rStyle w:val="Hiperveza"/>
                <w:noProof/>
                <w:webHidden/>
                <w:color w:val="auto"/>
              </w:rPr>
              <w:tab/>
            </w:r>
            <w:r w:rsidR="001E3364">
              <w:rPr>
                <w:rStyle w:val="Hiperveza"/>
                <w:noProof/>
                <w:webHidden/>
                <w:color w:val="auto"/>
              </w:rPr>
              <w:fldChar w:fldCharType="begin"/>
            </w:r>
            <w:r w:rsidR="001E3364">
              <w:rPr>
                <w:rStyle w:val="Hiperveza"/>
                <w:noProof/>
                <w:webHidden/>
                <w:color w:val="auto"/>
              </w:rPr>
              <w:instrText xml:space="preserve"> PAGEREF _Toc521023683 \h </w:instrText>
            </w:r>
            <w:r w:rsidR="001E3364">
              <w:rPr>
                <w:rStyle w:val="Hiperveza"/>
                <w:noProof/>
                <w:webHidden/>
                <w:color w:val="auto"/>
              </w:rPr>
            </w:r>
            <w:r w:rsidR="001E3364">
              <w:rPr>
                <w:rStyle w:val="Hiperveza"/>
                <w:noProof/>
                <w:webHidden/>
                <w:color w:val="auto"/>
              </w:rPr>
              <w:fldChar w:fldCharType="separate"/>
            </w:r>
            <w:r w:rsidR="001E3364">
              <w:rPr>
                <w:rStyle w:val="Hiperveza"/>
                <w:noProof/>
                <w:webHidden/>
                <w:color w:val="auto"/>
              </w:rPr>
              <w:t>3</w:t>
            </w:r>
            <w:r w:rsidR="001E3364">
              <w:rPr>
                <w:rStyle w:val="Hiperveza"/>
                <w:noProof/>
                <w:webHidden/>
                <w:color w:val="auto"/>
              </w:rPr>
              <w:fldChar w:fldCharType="end"/>
            </w:r>
          </w:hyperlink>
        </w:p>
        <w:p w:rsidRDefault="001403B6" w:rsidP="001E3364" w:rsidR="001E3364">
          <w:pPr>
            <w:pStyle w:val="Sadraj1"/>
            <w:tabs>
              <w:tab w:pos="440" w:val="left"/>
              <w:tab w:pos="9062" w:leader="dot" w:val="right"/>
            </w:tabs>
            <w:rPr>
              <w:rFonts w:eastAsiaTheme="minorEastAsia"/>
              <w:noProof/>
              <w:lang w:eastAsia="hr-HR"/>
            </w:rPr>
          </w:pPr>
          <w:hyperlink r:id="rId11" w:anchor="_Toc521023684" w:history="true">
            <w:r w:rsidR="001E3364">
              <w:rPr>
                <w:rStyle w:val="Hiperveza"/>
                <w:noProof/>
              </w:rPr>
              <w:t>2.</w:t>
            </w:r>
            <w:r w:rsidR="001E3364">
              <w:rPr>
                <w:rStyle w:val="Hiperveza"/>
                <w:rFonts w:eastAsiaTheme="minorEastAsia"/>
                <w:noProof/>
                <w:color w:val="auto"/>
                <w:lang w:eastAsia="hr-HR"/>
              </w:rPr>
              <w:tab/>
            </w:r>
            <w:r w:rsidR="001E3364">
              <w:rPr>
                <w:rStyle w:val="Hiperveza"/>
                <w:noProof/>
              </w:rPr>
              <w:t>Činjenice i okolnosti iz kojih proizlazi postojanje prijeteće nesposobnosti za plaćanje</w:t>
            </w:r>
            <w:r w:rsidR="001E3364">
              <w:rPr>
                <w:rStyle w:val="Hiperveza"/>
                <w:noProof/>
                <w:webHidden/>
                <w:color w:val="auto"/>
              </w:rPr>
              <w:tab/>
            </w:r>
            <w:r w:rsidR="001E3364">
              <w:rPr>
                <w:rStyle w:val="Hiperveza"/>
                <w:noProof/>
                <w:webHidden/>
                <w:color w:val="auto"/>
              </w:rPr>
              <w:fldChar w:fldCharType="begin"/>
            </w:r>
            <w:r w:rsidR="001E3364">
              <w:rPr>
                <w:rStyle w:val="Hiperveza"/>
                <w:noProof/>
                <w:webHidden/>
                <w:color w:val="auto"/>
              </w:rPr>
              <w:instrText xml:space="preserve"> PAGEREF _Toc521023684 \h </w:instrText>
            </w:r>
            <w:r w:rsidR="001E3364">
              <w:rPr>
                <w:rStyle w:val="Hiperveza"/>
                <w:noProof/>
                <w:webHidden/>
                <w:color w:val="auto"/>
              </w:rPr>
            </w:r>
            <w:r w:rsidR="001E3364">
              <w:rPr>
                <w:rStyle w:val="Hiperveza"/>
                <w:noProof/>
                <w:webHidden/>
                <w:color w:val="auto"/>
              </w:rPr>
              <w:fldChar w:fldCharType="separate"/>
            </w:r>
            <w:r w:rsidR="001E3364">
              <w:rPr>
                <w:rStyle w:val="Hiperveza"/>
                <w:noProof/>
                <w:webHidden/>
                <w:color w:val="auto"/>
              </w:rPr>
              <w:t>5</w:t>
            </w:r>
            <w:r w:rsidR="001E3364">
              <w:rPr>
                <w:rStyle w:val="Hiperveza"/>
                <w:noProof/>
                <w:webHidden/>
                <w:color w:val="auto"/>
              </w:rPr>
              <w:fldChar w:fldCharType="end"/>
            </w:r>
          </w:hyperlink>
        </w:p>
        <w:p w:rsidRDefault="001403B6" w:rsidP="001E3364" w:rsidR="001E3364">
          <w:pPr>
            <w:pStyle w:val="Sadraj2"/>
            <w:tabs>
              <w:tab w:pos="9062" w:leader="dot" w:val="right"/>
            </w:tabs>
            <w:rPr>
              <w:rFonts w:eastAsiaTheme="minorEastAsia"/>
              <w:noProof/>
              <w:lang w:eastAsia="hr-HR"/>
            </w:rPr>
          </w:pPr>
          <w:hyperlink r:id="rId12" w:anchor="_Toc521023685" w:history="true">
            <w:r w:rsidR="001E3364">
              <w:rPr>
                <w:rStyle w:val="Hiperveza"/>
                <w:noProof/>
              </w:rPr>
              <w:t>Analiza povijesnog poslovanja</w:t>
            </w:r>
            <w:r w:rsidR="001E3364">
              <w:rPr>
                <w:rStyle w:val="Hiperveza"/>
                <w:noProof/>
                <w:webHidden/>
                <w:color w:val="auto"/>
              </w:rPr>
              <w:tab/>
            </w:r>
            <w:r w:rsidR="001E3364">
              <w:rPr>
                <w:rStyle w:val="Hiperveza"/>
                <w:noProof/>
                <w:webHidden/>
                <w:color w:val="auto"/>
              </w:rPr>
              <w:fldChar w:fldCharType="begin"/>
            </w:r>
            <w:r w:rsidR="001E3364">
              <w:rPr>
                <w:rStyle w:val="Hiperveza"/>
                <w:noProof/>
                <w:webHidden/>
                <w:color w:val="auto"/>
              </w:rPr>
              <w:instrText xml:space="preserve"> PAGEREF _Toc521023685 \h </w:instrText>
            </w:r>
            <w:r w:rsidR="001E3364">
              <w:rPr>
                <w:rStyle w:val="Hiperveza"/>
                <w:noProof/>
                <w:webHidden/>
                <w:color w:val="auto"/>
              </w:rPr>
            </w:r>
            <w:r w:rsidR="001E3364">
              <w:rPr>
                <w:rStyle w:val="Hiperveza"/>
                <w:noProof/>
                <w:webHidden/>
                <w:color w:val="auto"/>
              </w:rPr>
              <w:fldChar w:fldCharType="separate"/>
            </w:r>
            <w:r w:rsidR="001E3364">
              <w:rPr>
                <w:rStyle w:val="Hiperveza"/>
                <w:noProof/>
                <w:webHidden/>
                <w:color w:val="auto"/>
              </w:rPr>
              <w:t>5</w:t>
            </w:r>
            <w:r w:rsidR="001E3364">
              <w:rPr>
                <w:rStyle w:val="Hiperveza"/>
                <w:noProof/>
                <w:webHidden/>
                <w:color w:val="auto"/>
              </w:rPr>
              <w:fldChar w:fldCharType="end"/>
            </w:r>
          </w:hyperlink>
        </w:p>
        <w:p w:rsidRDefault="001403B6" w:rsidP="001E3364" w:rsidR="001E3364">
          <w:pPr>
            <w:pStyle w:val="Sadraj2"/>
            <w:tabs>
              <w:tab w:pos="9062" w:leader="dot" w:val="right"/>
            </w:tabs>
            <w:rPr>
              <w:rFonts w:eastAsiaTheme="minorEastAsia"/>
              <w:noProof/>
              <w:lang w:eastAsia="hr-HR"/>
            </w:rPr>
          </w:pPr>
          <w:hyperlink r:id="rId13" w:anchor="_Toc521023686" w:history="true">
            <w:r w:rsidR="001E3364">
              <w:rPr>
                <w:rStyle w:val="Hiperveza"/>
                <w:noProof/>
              </w:rPr>
              <w:t>Analiza aktualnog financijskog stanja</w:t>
            </w:r>
            <w:r w:rsidR="001E3364">
              <w:rPr>
                <w:rStyle w:val="Hiperveza"/>
                <w:noProof/>
                <w:webHidden/>
                <w:color w:val="auto"/>
              </w:rPr>
              <w:tab/>
            </w:r>
            <w:r w:rsidR="001E3364">
              <w:rPr>
                <w:rStyle w:val="Hiperveza"/>
                <w:noProof/>
                <w:webHidden/>
                <w:color w:val="auto"/>
              </w:rPr>
              <w:fldChar w:fldCharType="begin"/>
            </w:r>
            <w:r w:rsidR="001E3364">
              <w:rPr>
                <w:rStyle w:val="Hiperveza"/>
                <w:noProof/>
                <w:webHidden/>
                <w:color w:val="auto"/>
              </w:rPr>
              <w:instrText xml:space="preserve"> PAGEREF _Toc521023686 \h </w:instrText>
            </w:r>
            <w:r w:rsidR="001E3364">
              <w:rPr>
                <w:rStyle w:val="Hiperveza"/>
                <w:noProof/>
                <w:webHidden/>
                <w:color w:val="auto"/>
              </w:rPr>
            </w:r>
            <w:r w:rsidR="001E3364">
              <w:rPr>
                <w:rStyle w:val="Hiperveza"/>
                <w:noProof/>
                <w:webHidden/>
                <w:color w:val="auto"/>
              </w:rPr>
              <w:fldChar w:fldCharType="separate"/>
            </w:r>
            <w:r w:rsidR="001E3364">
              <w:rPr>
                <w:rStyle w:val="Hiperveza"/>
                <w:noProof/>
                <w:webHidden/>
                <w:color w:val="auto"/>
              </w:rPr>
              <w:t>10</w:t>
            </w:r>
            <w:r w:rsidR="001E3364">
              <w:rPr>
                <w:rStyle w:val="Hiperveza"/>
                <w:noProof/>
                <w:webHidden/>
                <w:color w:val="auto"/>
              </w:rPr>
              <w:fldChar w:fldCharType="end"/>
            </w:r>
          </w:hyperlink>
        </w:p>
        <w:p w:rsidRDefault="001403B6" w:rsidP="001E3364" w:rsidR="001E3364">
          <w:pPr>
            <w:pStyle w:val="Sadraj1"/>
            <w:tabs>
              <w:tab w:pos="440" w:val="left"/>
              <w:tab w:pos="9062" w:leader="dot" w:val="right"/>
            </w:tabs>
            <w:rPr>
              <w:rFonts w:eastAsiaTheme="minorEastAsia"/>
              <w:noProof/>
              <w:lang w:eastAsia="hr-HR"/>
            </w:rPr>
          </w:pPr>
          <w:hyperlink r:id="rId14" w:anchor="_Toc521023687" w:history="true">
            <w:r w:rsidR="001E3364">
              <w:rPr>
                <w:rStyle w:val="Hiperveza"/>
                <w:noProof/>
              </w:rPr>
              <w:t>3.</w:t>
            </w:r>
            <w:r w:rsidR="001E3364">
              <w:rPr>
                <w:rStyle w:val="Hiperveza"/>
                <w:rFonts w:eastAsiaTheme="minorEastAsia"/>
                <w:noProof/>
                <w:color w:val="auto"/>
                <w:lang w:eastAsia="hr-HR"/>
              </w:rPr>
              <w:tab/>
            </w:r>
            <w:r w:rsidR="001E3364">
              <w:rPr>
                <w:rStyle w:val="Hiperveza"/>
                <w:noProof/>
              </w:rPr>
              <w:t>Izračun manjka likvidnih sredstava na dan priloženih financijskih izvještaja, odnosno na 06. srpnja 2018. godine</w:t>
            </w:r>
            <w:r w:rsidR="001E3364">
              <w:rPr>
                <w:rStyle w:val="Hiperveza"/>
                <w:noProof/>
                <w:webHidden/>
                <w:color w:val="auto"/>
              </w:rPr>
              <w:tab/>
            </w:r>
            <w:r w:rsidR="001E3364">
              <w:rPr>
                <w:rStyle w:val="Hiperveza"/>
                <w:noProof/>
                <w:webHidden/>
                <w:color w:val="auto"/>
              </w:rPr>
              <w:fldChar w:fldCharType="begin"/>
            </w:r>
            <w:r w:rsidR="001E3364">
              <w:rPr>
                <w:rStyle w:val="Hiperveza"/>
                <w:noProof/>
                <w:webHidden/>
                <w:color w:val="auto"/>
              </w:rPr>
              <w:instrText xml:space="preserve"> PAGEREF _Toc521023687 \h </w:instrText>
            </w:r>
            <w:r w:rsidR="001E3364">
              <w:rPr>
                <w:rStyle w:val="Hiperveza"/>
                <w:noProof/>
                <w:webHidden/>
                <w:color w:val="auto"/>
              </w:rPr>
            </w:r>
            <w:r w:rsidR="001E3364">
              <w:rPr>
                <w:rStyle w:val="Hiperveza"/>
                <w:noProof/>
                <w:webHidden/>
                <w:color w:val="auto"/>
              </w:rPr>
              <w:fldChar w:fldCharType="separate"/>
            </w:r>
            <w:r w:rsidR="001E3364">
              <w:rPr>
                <w:rStyle w:val="Hiperveza"/>
                <w:noProof/>
                <w:webHidden/>
                <w:color w:val="auto"/>
              </w:rPr>
              <w:t>11</w:t>
            </w:r>
            <w:r w:rsidR="001E3364">
              <w:rPr>
                <w:rStyle w:val="Hiperveza"/>
                <w:noProof/>
                <w:webHidden/>
                <w:color w:val="auto"/>
              </w:rPr>
              <w:fldChar w:fldCharType="end"/>
            </w:r>
          </w:hyperlink>
        </w:p>
        <w:p w:rsidRDefault="001403B6" w:rsidP="001E3364" w:rsidR="001E3364">
          <w:pPr>
            <w:pStyle w:val="Sadraj1"/>
            <w:tabs>
              <w:tab w:pos="440" w:val="left"/>
              <w:tab w:pos="9062" w:leader="dot" w:val="right"/>
            </w:tabs>
            <w:rPr>
              <w:rFonts w:eastAsiaTheme="minorEastAsia"/>
              <w:noProof/>
              <w:lang w:eastAsia="hr-HR"/>
            </w:rPr>
          </w:pPr>
          <w:hyperlink r:id="rId15" w:anchor="_Toc521023688" w:history="true">
            <w:r w:rsidR="001E3364">
              <w:rPr>
                <w:rStyle w:val="Hiperveza"/>
                <w:noProof/>
              </w:rPr>
              <w:t>4.</w:t>
            </w:r>
            <w:r w:rsidR="001E3364">
              <w:rPr>
                <w:rStyle w:val="Hiperveza"/>
                <w:rFonts w:eastAsiaTheme="minorEastAsia"/>
                <w:noProof/>
                <w:color w:val="auto"/>
                <w:lang w:eastAsia="hr-HR"/>
              </w:rPr>
              <w:tab/>
            </w:r>
            <w:r w:rsidR="001E3364">
              <w:rPr>
                <w:rStyle w:val="Hiperveza"/>
                <w:noProof/>
              </w:rPr>
              <w:t>Mjere financijskoga restrukturiranja i izračun njihovih učinaka na manjak likvidnih sredstava</w:t>
            </w:r>
            <w:r w:rsidR="001E3364">
              <w:rPr>
                <w:rStyle w:val="Hiperveza"/>
                <w:noProof/>
                <w:webHidden/>
                <w:color w:val="auto"/>
              </w:rPr>
              <w:tab/>
            </w:r>
            <w:r w:rsidR="001E3364">
              <w:rPr>
                <w:rStyle w:val="Hiperveza"/>
                <w:noProof/>
                <w:webHidden/>
                <w:color w:val="auto"/>
              </w:rPr>
              <w:fldChar w:fldCharType="begin"/>
            </w:r>
            <w:r w:rsidR="001E3364">
              <w:rPr>
                <w:rStyle w:val="Hiperveza"/>
                <w:noProof/>
                <w:webHidden/>
                <w:color w:val="auto"/>
              </w:rPr>
              <w:instrText xml:space="preserve"> PAGEREF _Toc521023688 \h </w:instrText>
            </w:r>
            <w:r w:rsidR="001E3364">
              <w:rPr>
                <w:rStyle w:val="Hiperveza"/>
                <w:noProof/>
                <w:webHidden/>
                <w:color w:val="auto"/>
              </w:rPr>
            </w:r>
            <w:r w:rsidR="001E3364">
              <w:rPr>
                <w:rStyle w:val="Hiperveza"/>
                <w:noProof/>
                <w:webHidden/>
                <w:color w:val="auto"/>
              </w:rPr>
              <w:fldChar w:fldCharType="separate"/>
            </w:r>
            <w:r w:rsidR="001E3364">
              <w:rPr>
                <w:rStyle w:val="Hiperveza"/>
                <w:noProof/>
                <w:webHidden/>
                <w:color w:val="auto"/>
              </w:rPr>
              <w:t>13</w:t>
            </w:r>
            <w:r w:rsidR="001E3364">
              <w:rPr>
                <w:rStyle w:val="Hiperveza"/>
                <w:noProof/>
                <w:webHidden/>
                <w:color w:val="auto"/>
              </w:rPr>
              <w:fldChar w:fldCharType="end"/>
            </w:r>
          </w:hyperlink>
        </w:p>
        <w:p w:rsidRDefault="001403B6" w:rsidP="001E3364" w:rsidR="001E3364">
          <w:pPr>
            <w:pStyle w:val="Sadraj1"/>
            <w:tabs>
              <w:tab w:pos="440" w:val="left"/>
              <w:tab w:pos="9062" w:leader="dot" w:val="right"/>
            </w:tabs>
            <w:rPr>
              <w:rFonts w:eastAsiaTheme="minorEastAsia"/>
              <w:noProof/>
              <w:lang w:eastAsia="hr-HR"/>
            </w:rPr>
          </w:pPr>
          <w:hyperlink r:id="rId16" w:anchor="_Toc521023689" w:history="true">
            <w:r w:rsidR="001E3364">
              <w:rPr>
                <w:rStyle w:val="Hiperveza"/>
                <w:noProof/>
              </w:rPr>
              <w:t>5.</w:t>
            </w:r>
            <w:r w:rsidR="001E3364">
              <w:rPr>
                <w:rStyle w:val="Hiperveza"/>
                <w:rFonts w:eastAsiaTheme="minorEastAsia"/>
                <w:noProof/>
                <w:color w:val="auto"/>
                <w:lang w:eastAsia="hr-HR"/>
              </w:rPr>
              <w:tab/>
            </w:r>
            <w:r w:rsidR="001E3364">
              <w:rPr>
                <w:rStyle w:val="Hiperveza"/>
                <w:noProof/>
              </w:rPr>
              <w:t>Mjere operativnoga restrukturiranja i izračun njihovih učinaka na poslovanje</w:t>
            </w:r>
            <w:r w:rsidR="001E3364">
              <w:rPr>
                <w:rStyle w:val="Hiperveza"/>
                <w:noProof/>
                <w:webHidden/>
                <w:color w:val="auto"/>
              </w:rPr>
              <w:tab/>
            </w:r>
            <w:r w:rsidR="001E3364">
              <w:rPr>
                <w:rStyle w:val="Hiperveza"/>
                <w:noProof/>
                <w:webHidden/>
                <w:color w:val="auto"/>
              </w:rPr>
              <w:fldChar w:fldCharType="begin"/>
            </w:r>
            <w:r w:rsidR="001E3364">
              <w:rPr>
                <w:rStyle w:val="Hiperveza"/>
                <w:noProof/>
                <w:webHidden/>
                <w:color w:val="auto"/>
              </w:rPr>
              <w:instrText xml:space="preserve"> PAGEREF _Toc521023689 \h </w:instrText>
            </w:r>
            <w:r w:rsidR="001E3364">
              <w:rPr>
                <w:rStyle w:val="Hiperveza"/>
                <w:noProof/>
                <w:webHidden/>
                <w:color w:val="auto"/>
              </w:rPr>
            </w:r>
            <w:r w:rsidR="001E3364">
              <w:rPr>
                <w:rStyle w:val="Hiperveza"/>
                <w:noProof/>
                <w:webHidden/>
                <w:color w:val="auto"/>
              </w:rPr>
              <w:fldChar w:fldCharType="separate"/>
            </w:r>
            <w:r w:rsidR="001E3364">
              <w:rPr>
                <w:rStyle w:val="Hiperveza"/>
                <w:noProof/>
                <w:webHidden/>
                <w:color w:val="auto"/>
              </w:rPr>
              <w:t>15</w:t>
            </w:r>
            <w:r w:rsidR="001E3364">
              <w:rPr>
                <w:rStyle w:val="Hiperveza"/>
                <w:noProof/>
                <w:webHidden/>
                <w:color w:val="auto"/>
              </w:rPr>
              <w:fldChar w:fldCharType="end"/>
            </w:r>
          </w:hyperlink>
        </w:p>
        <w:p w:rsidRDefault="001403B6" w:rsidP="001E3364" w:rsidR="001E3364">
          <w:pPr>
            <w:pStyle w:val="Sadraj1"/>
            <w:tabs>
              <w:tab w:pos="440" w:val="left"/>
              <w:tab w:pos="9062" w:leader="dot" w:val="right"/>
            </w:tabs>
            <w:rPr>
              <w:rFonts w:eastAsiaTheme="minorEastAsia"/>
              <w:noProof/>
              <w:lang w:eastAsia="hr-HR"/>
            </w:rPr>
          </w:pPr>
          <w:hyperlink r:id="rId17" w:anchor="_Toc521023690" w:history="true">
            <w:r w:rsidR="001E3364">
              <w:rPr>
                <w:rStyle w:val="Hiperveza"/>
                <w:noProof/>
              </w:rPr>
              <w:t>6.</w:t>
            </w:r>
            <w:r w:rsidR="001E3364">
              <w:rPr>
                <w:rStyle w:val="Hiperveza"/>
                <w:rFonts w:eastAsiaTheme="minorEastAsia"/>
                <w:noProof/>
                <w:color w:val="auto"/>
                <w:lang w:eastAsia="hr-HR"/>
              </w:rPr>
              <w:tab/>
            </w:r>
            <w:r w:rsidR="001E3364">
              <w:rPr>
                <w:rStyle w:val="Hiperveza"/>
                <w:noProof/>
              </w:rPr>
              <w:t>Plan poslovanja za razdoblje od 2018. do 2024. godine, uz detaljno obrazloženje razloga za utvrđivanje svake pozicije plana</w:t>
            </w:r>
            <w:r w:rsidR="001E3364">
              <w:rPr>
                <w:rStyle w:val="Hiperveza"/>
                <w:noProof/>
                <w:webHidden/>
                <w:color w:val="auto"/>
              </w:rPr>
              <w:tab/>
            </w:r>
            <w:r w:rsidR="001E3364">
              <w:rPr>
                <w:rStyle w:val="Hiperveza"/>
                <w:noProof/>
                <w:webHidden/>
                <w:color w:val="auto"/>
              </w:rPr>
              <w:fldChar w:fldCharType="begin"/>
            </w:r>
            <w:r w:rsidR="001E3364">
              <w:rPr>
                <w:rStyle w:val="Hiperveza"/>
                <w:noProof/>
                <w:webHidden/>
                <w:color w:val="auto"/>
              </w:rPr>
              <w:instrText xml:space="preserve"> PAGEREF _Toc521023690 \h </w:instrText>
            </w:r>
            <w:r w:rsidR="001E3364">
              <w:rPr>
                <w:rStyle w:val="Hiperveza"/>
                <w:noProof/>
                <w:webHidden/>
                <w:color w:val="auto"/>
              </w:rPr>
            </w:r>
            <w:r w:rsidR="001E3364">
              <w:rPr>
                <w:rStyle w:val="Hiperveza"/>
                <w:noProof/>
                <w:webHidden/>
                <w:color w:val="auto"/>
              </w:rPr>
              <w:fldChar w:fldCharType="separate"/>
            </w:r>
            <w:r w:rsidR="001E3364">
              <w:rPr>
                <w:rStyle w:val="Hiperveza"/>
                <w:noProof/>
                <w:webHidden/>
                <w:color w:val="auto"/>
              </w:rPr>
              <w:t>17</w:t>
            </w:r>
            <w:r w:rsidR="001E3364">
              <w:rPr>
                <w:rStyle w:val="Hiperveza"/>
                <w:noProof/>
                <w:webHidden/>
                <w:color w:val="auto"/>
              </w:rPr>
              <w:fldChar w:fldCharType="end"/>
            </w:r>
          </w:hyperlink>
        </w:p>
        <w:p w:rsidRDefault="001403B6" w:rsidP="001E3364" w:rsidR="001E3364">
          <w:pPr>
            <w:pStyle w:val="Sadraj1"/>
            <w:tabs>
              <w:tab w:pos="440" w:val="left"/>
              <w:tab w:pos="9062" w:leader="dot" w:val="right"/>
            </w:tabs>
            <w:rPr>
              <w:rFonts w:eastAsiaTheme="minorEastAsia"/>
              <w:noProof/>
              <w:lang w:eastAsia="hr-HR"/>
            </w:rPr>
          </w:pPr>
          <w:hyperlink r:id="rId18" w:anchor="_Toc521023691" w:history="true">
            <w:r w:rsidR="001E3364">
              <w:rPr>
                <w:rStyle w:val="Hiperveza"/>
                <w:noProof/>
              </w:rPr>
              <w:t>7.</w:t>
            </w:r>
            <w:r w:rsidR="001E3364">
              <w:rPr>
                <w:rStyle w:val="Hiperveza"/>
                <w:rFonts w:eastAsiaTheme="minorEastAsia"/>
                <w:noProof/>
                <w:color w:val="auto"/>
                <w:lang w:eastAsia="hr-HR"/>
              </w:rPr>
              <w:tab/>
            </w:r>
            <w:r w:rsidR="001E3364">
              <w:rPr>
                <w:rStyle w:val="Hiperveza"/>
                <w:noProof/>
              </w:rPr>
              <w:t>Planirana bilanca na zadnji dan razdoblja za koje je sastavljen plan poslovanja</w:t>
            </w:r>
            <w:r w:rsidR="001E3364">
              <w:rPr>
                <w:rStyle w:val="Hiperveza"/>
                <w:noProof/>
                <w:webHidden/>
                <w:color w:val="auto"/>
              </w:rPr>
              <w:tab/>
            </w:r>
            <w:r w:rsidR="001E3364">
              <w:rPr>
                <w:rStyle w:val="Hiperveza"/>
                <w:noProof/>
                <w:webHidden/>
                <w:color w:val="auto"/>
              </w:rPr>
              <w:fldChar w:fldCharType="begin"/>
            </w:r>
            <w:r w:rsidR="001E3364">
              <w:rPr>
                <w:rStyle w:val="Hiperveza"/>
                <w:noProof/>
                <w:webHidden/>
                <w:color w:val="auto"/>
              </w:rPr>
              <w:instrText xml:space="preserve"> PAGEREF _Toc521023691 \h </w:instrText>
            </w:r>
            <w:r w:rsidR="001E3364">
              <w:rPr>
                <w:rStyle w:val="Hiperveza"/>
                <w:noProof/>
                <w:webHidden/>
                <w:color w:val="auto"/>
              </w:rPr>
            </w:r>
            <w:r w:rsidR="001E3364">
              <w:rPr>
                <w:rStyle w:val="Hiperveza"/>
                <w:noProof/>
                <w:webHidden/>
                <w:color w:val="auto"/>
              </w:rPr>
              <w:fldChar w:fldCharType="separate"/>
            </w:r>
            <w:r w:rsidR="001E3364">
              <w:rPr>
                <w:rStyle w:val="Hiperveza"/>
                <w:noProof/>
                <w:webHidden/>
                <w:color w:val="auto"/>
              </w:rPr>
              <w:t>30</w:t>
            </w:r>
            <w:r w:rsidR="001E3364">
              <w:rPr>
                <w:rStyle w:val="Hiperveza"/>
                <w:noProof/>
                <w:webHidden/>
                <w:color w:val="auto"/>
              </w:rPr>
              <w:fldChar w:fldCharType="end"/>
            </w:r>
          </w:hyperlink>
        </w:p>
        <w:p w:rsidRDefault="001403B6" w:rsidP="001E3364" w:rsidR="001E3364">
          <w:pPr>
            <w:pStyle w:val="Sadraj1"/>
            <w:tabs>
              <w:tab w:pos="440" w:val="left"/>
              <w:tab w:pos="9062" w:leader="dot" w:val="right"/>
            </w:tabs>
            <w:rPr>
              <w:rFonts w:eastAsiaTheme="minorEastAsia"/>
              <w:noProof/>
              <w:lang w:eastAsia="hr-HR"/>
            </w:rPr>
          </w:pPr>
          <w:hyperlink r:id="rId19" w:anchor="_Toc521023692" w:history="true">
            <w:r w:rsidR="001E3364">
              <w:rPr>
                <w:rStyle w:val="Hiperveza"/>
                <w:noProof/>
              </w:rPr>
              <w:t>8.</w:t>
            </w:r>
            <w:r w:rsidR="001E3364">
              <w:rPr>
                <w:rStyle w:val="Hiperveza"/>
                <w:rFonts w:eastAsiaTheme="minorEastAsia"/>
                <w:noProof/>
                <w:color w:val="auto"/>
                <w:lang w:eastAsia="hr-HR"/>
              </w:rPr>
              <w:tab/>
            </w:r>
            <w:r w:rsidR="001E3364">
              <w:rPr>
                <w:rStyle w:val="Hiperveza"/>
                <w:noProof/>
              </w:rPr>
              <w:t>Analiza svih tražbina prema visini i vrsti (tražbine radnika i prijašnjih dužnikovih radnika, tražbine za koje se vodi postupak, neosigurane tražbine i druge tražbine)</w:t>
            </w:r>
            <w:r w:rsidR="001E3364">
              <w:rPr>
                <w:rStyle w:val="Hiperveza"/>
                <w:noProof/>
                <w:webHidden/>
                <w:color w:val="auto"/>
              </w:rPr>
              <w:tab/>
            </w:r>
            <w:r w:rsidR="001E3364">
              <w:rPr>
                <w:rStyle w:val="Hiperveza"/>
                <w:noProof/>
                <w:webHidden/>
                <w:color w:val="auto"/>
              </w:rPr>
              <w:fldChar w:fldCharType="begin"/>
            </w:r>
            <w:r w:rsidR="001E3364">
              <w:rPr>
                <w:rStyle w:val="Hiperveza"/>
                <w:noProof/>
                <w:webHidden/>
                <w:color w:val="auto"/>
              </w:rPr>
              <w:instrText xml:space="preserve"> PAGEREF _Toc521023692 \h </w:instrText>
            </w:r>
            <w:r w:rsidR="001E3364">
              <w:rPr>
                <w:rStyle w:val="Hiperveza"/>
                <w:noProof/>
                <w:webHidden/>
                <w:color w:val="auto"/>
              </w:rPr>
            </w:r>
            <w:r w:rsidR="001E3364">
              <w:rPr>
                <w:rStyle w:val="Hiperveza"/>
                <w:noProof/>
                <w:webHidden/>
                <w:color w:val="auto"/>
              </w:rPr>
              <w:fldChar w:fldCharType="separate"/>
            </w:r>
            <w:r w:rsidR="001E3364">
              <w:rPr>
                <w:rStyle w:val="Hiperveza"/>
                <w:noProof/>
                <w:webHidden/>
                <w:color w:val="auto"/>
              </w:rPr>
              <w:t>34</w:t>
            </w:r>
            <w:r w:rsidR="001E3364">
              <w:rPr>
                <w:rStyle w:val="Hiperveza"/>
                <w:noProof/>
                <w:webHidden/>
                <w:color w:val="auto"/>
              </w:rPr>
              <w:fldChar w:fldCharType="end"/>
            </w:r>
          </w:hyperlink>
        </w:p>
        <w:p w:rsidRDefault="001403B6" w:rsidP="001E3364" w:rsidR="001E3364">
          <w:pPr>
            <w:pStyle w:val="Sadraj1"/>
            <w:tabs>
              <w:tab w:pos="440" w:val="left"/>
              <w:tab w:pos="9062" w:leader="dot" w:val="right"/>
            </w:tabs>
            <w:rPr>
              <w:rFonts w:eastAsiaTheme="minorEastAsia"/>
              <w:noProof/>
              <w:lang w:eastAsia="hr-HR"/>
            </w:rPr>
          </w:pPr>
          <w:hyperlink r:id="rId20" w:anchor="_Toc521023693" w:history="true">
            <w:r w:rsidR="001E3364">
              <w:rPr>
                <w:rStyle w:val="Hiperveza"/>
                <w:noProof/>
              </w:rPr>
              <w:t>9.</w:t>
            </w:r>
            <w:r w:rsidR="001E3364">
              <w:rPr>
                <w:rStyle w:val="Hiperveza"/>
                <w:rFonts w:eastAsiaTheme="minorEastAsia"/>
                <w:noProof/>
                <w:color w:val="auto"/>
                <w:lang w:eastAsia="hr-HR"/>
              </w:rPr>
              <w:tab/>
            </w:r>
            <w:r w:rsidR="001E3364">
              <w:rPr>
                <w:rStyle w:val="Hiperveza"/>
                <w:noProof/>
              </w:rPr>
              <w:t>Ponuda vjerovnicima razvrstanim u skupine odgovarajućom primjenom pravila o razvrstavanju sudionika u stečajnom planu o načinu, rokovima i uvjetima namirenja tražbina</w:t>
            </w:r>
            <w:r w:rsidR="001E3364">
              <w:rPr>
                <w:rStyle w:val="Hiperveza"/>
                <w:noProof/>
                <w:webHidden/>
                <w:color w:val="auto"/>
              </w:rPr>
              <w:tab/>
            </w:r>
            <w:r w:rsidR="001E3364">
              <w:rPr>
                <w:rStyle w:val="Hiperveza"/>
                <w:noProof/>
                <w:webHidden/>
                <w:color w:val="auto"/>
              </w:rPr>
              <w:fldChar w:fldCharType="begin"/>
            </w:r>
            <w:r w:rsidR="001E3364">
              <w:rPr>
                <w:rStyle w:val="Hiperveza"/>
                <w:noProof/>
                <w:webHidden/>
                <w:color w:val="auto"/>
              </w:rPr>
              <w:instrText xml:space="preserve"> PAGEREF _Toc521023693 \h </w:instrText>
            </w:r>
            <w:r w:rsidR="001E3364">
              <w:rPr>
                <w:rStyle w:val="Hiperveza"/>
                <w:noProof/>
                <w:webHidden/>
                <w:color w:val="auto"/>
              </w:rPr>
            </w:r>
            <w:r w:rsidR="001E3364">
              <w:rPr>
                <w:rStyle w:val="Hiperveza"/>
                <w:noProof/>
                <w:webHidden/>
                <w:color w:val="auto"/>
              </w:rPr>
              <w:fldChar w:fldCharType="separate"/>
            </w:r>
            <w:r w:rsidR="001E3364">
              <w:rPr>
                <w:rStyle w:val="Hiperveza"/>
                <w:noProof/>
                <w:webHidden/>
                <w:color w:val="auto"/>
              </w:rPr>
              <w:t>35</w:t>
            </w:r>
            <w:r w:rsidR="001E3364">
              <w:rPr>
                <w:rStyle w:val="Hiperveza"/>
                <w:noProof/>
                <w:webHidden/>
                <w:color w:val="auto"/>
              </w:rPr>
              <w:fldChar w:fldCharType="end"/>
            </w:r>
          </w:hyperlink>
        </w:p>
        <w:p w:rsidRDefault="001403B6" w:rsidP="001E3364" w:rsidR="001E3364">
          <w:pPr>
            <w:pStyle w:val="Sadraj1"/>
            <w:tabs>
              <w:tab w:pos="660" w:val="left"/>
              <w:tab w:pos="9062" w:leader="dot" w:val="right"/>
            </w:tabs>
            <w:rPr>
              <w:rFonts w:eastAsiaTheme="minorEastAsia"/>
              <w:noProof/>
              <w:lang w:eastAsia="hr-HR"/>
            </w:rPr>
          </w:pPr>
          <w:hyperlink r:id="rId21" w:anchor="_Toc521023694" w:history="true">
            <w:r w:rsidR="001E3364">
              <w:rPr>
                <w:rStyle w:val="Hiperveza"/>
                <w:noProof/>
              </w:rPr>
              <w:t>10.</w:t>
            </w:r>
            <w:r w:rsidR="001E3364">
              <w:rPr>
                <w:rStyle w:val="Hiperveza"/>
                <w:rFonts w:eastAsiaTheme="minorEastAsia"/>
                <w:noProof/>
                <w:color w:val="auto"/>
                <w:lang w:eastAsia="hr-HR"/>
              </w:rPr>
              <w:tab/>
            </w:r>
            <w:r w:rsidR="001E3364">
              <w:rPr>
                <w:rStyle w:val="Hiperveza"/>
                <w:noProof/>
              </w:rPr>
              <w:t>Rok za dobrovoljno ispunjenje</w:t>
            </w:r>
            <w:r w:rsidR="001E3364">
              <w:rPr>
                <w:rStyle w:val="Hiperveza"/>
                <w:noProof/>
                <w:webHidden/>
                <w:color w:val="auto"/>
              </w:rPr>
              <w:tab/>
            </w:r>
            <w:r w:rsidR="001E3364">
              <w:rPr>
                <w:rStyle w:val="Hiperveza"/>
                <w:noProof/>
                <w:webHidden/>
                <w:color w:val="auto"/>
              </w:rPr>
              <w:fldChar w:fldCharType="begin"/>
            </w:r>
            <w:r w:rsidR="001E3364">
              <w:rPr>
                <w:rStyle w:val="Hiperveza"/>
                <w:noProof/>
                <w:webHidden/>
                <w:color w:val="auto"/>
              </w:rPr>
              <w:instrText xml:space="preserve"> PAGEREF _Toc521023694 \h </w:instrText>
            </w:r>
            <w:r w:rsidR="001E3364">
              <w:rPr>
                <w:rStyle w:val="Hiperveza"/>
                <w:noProof/>
                <w:webHidden/>
                <w:color w:val="auto"/>
              </w:rPr>
            </w:r>
            <w:r w:rsidR="001E3364">
              <w:rPr>
                <w:rStyle w:val="Hiperveza"/>
                <w:noProof/>
                <w:webHidden/>
                <w:color w:val="auto"/>
              </w:rPr>
              <w:fldChar w:fldCharType="separate"/>
            </w:r>
            <w:r w:rsidR="001E3364">
              <w:rPr>
                <w:rStyle w:val="Hiperveza"/>
                <w:noProof/>
                <w:webHidden/>
                <w:color w:val="auto"/>
              </w:rPr>
              <w:t>50</w:t>
            </w:r>
            <w:r w:rsidR="001E3364">
              <w:rPr>
                <w:rStyle w:val="Hiperveza"/>
                <w:noProof/>
                <w:webHidden/>
                <w:color w:val="auto"/>
              </w:rPr>
              <w:fldChar w:fldCharType="end"/>
            </w:r>
          </w:hyperlink>
        </w:p>
        <w:p w:rsidRDefault="001403B6" w:rsidP="001E3364" w:rsidR="001E3364">
          <w:pPr>
            <w:pStyle w:val="Sadraj1"/>
            <w:tabs>
              <w:tab w:pos="660" w:val="left"/>
              <w:tab w:pos="9062" w:leader="dot" w:val="right"/>
            </w:tabs>
            <w:rPr>
              <w:rFonts w:eastAsiaTheme="minorEastAsia"/>
              <w:noProof/>
              <w:lang w:eastAsia="hr-HR"/>
            </w:rPr>
          </w:pPr>
          <w:hyperlink r:id="rId22" w:anchor="_Toc521023695" w:history="true">
            <w:r w:rsidR="001E3364">
              <w:rPr>
                <w:rStyle w:val="Hiperveza"/>
                <w:noProof/>
              </w:rPr>
              <w:t>11.</w:t>
            </w:r>
            <w:r w:rsidR="001E3364">
              <w:rPr>
                <w:rStyle w:val="Hiperveza"/>
                <w:rFonts w:eastAsiaTheme="minorEastAsia"/>
                <w:noProof/>
                <w:color w:val="auto"/>
                <w:lang w:eastAsia="hr-HR"/>
              </w:rPr>
              <w:tab/>
            </w:r>
            <w:r w:rsidR="001E3364">
              <w:rPr>
                <w:rStyle w:val="Hiperveza"/>
                <w:noProof/>
              </w:rPr>
              <w:t>Najava novog zaduženja u novcu radi privremenog financiranja</w:t>
            </w:r>
            <w:r w:rsidR="001E3364">
              <w:rPr>
                <w:rStyle w:val="Hiperveza"/>
                <w:noProof/>
                <w:webHidden/>
                <w:color w:val="auto"/>
              </w:rPr>
              <w:tab/>
            </w:r>
            <w:r w:rsidR="001E3364">
              <w:rPr>
                <w:rStyle w:val="Hiperveza"/>
                <w:noProof/>
                <w:webHidden/>
                <w:color w:val="auto"/>
              </w:rPr>
              <w:fldChar w:fldCharType="begin"/>
            </w:r>
            <w:r w:rsidR="001E3364">
              <w:rPr>
                <w:rStyle w:val="Hiperveza"/>
                <w:noProof/>
                <w:webHidden/>
                <w:color w:val="auto"/>
              </w:rPr>
              <w:instrText xml:space="preserve"> PAGEREF _Toc521023695 \h </w:instrText>
            </w:r>
            <w:r w:rsidR="001E3364">
              <w:rPr>
                <w:rStyle w:val="Hiperveza"/>
                <w:noProof/>
                <w:webHidden/>
                <w:color w:val="auto"/>
              </w:rPr>
            </w:r>
            <w:r w:rsidR="001E3364">
              <w:rPr>
                <w:rStyle w:val="Hiperveza"/>
                <w:noProof/>
                <w:webHidden/>
                <w:color w:val="auto"/>
              </w:rPr>
              <w:fldChar w:fldCharType="separate"/>
            </w:r>
            <w:r w:rsidR="001E3364">
              <w:rPr>
                <w:rStyle w:val="Hiperveza"/>
                <w:noProof/>
                <w:webHidden/>
                <w:color w:val="auto"/>
              </w:rPr>
              <w:t>51</w:t>
            </w:r>
            <w:r w:rsidR="001E3364">
              <w:rPr>
                <w:rStyle w:val="Hiperveza"/>
                <w:noProof/>
                <w:webHidden/>
                <w:color w:val="auto"/>
              </w:rPr>
              <w:fldChar w:fldCharType="end"/>
            </w:r>
          </w:hyperlink>
        </w:p>
        <w:p w:rsidRDefault="001403B6" w:rsidP="001E3364" w:rsidR="001E3364">
          <w:pPr>
            <w:pStyle w:val="Sadraj1"/>
            <w:tabs>
              <w:tab w:pos="660" w:val="left"/>
              <w:tab w:pos="9062" w:leader="dot" w:val="right"/>
            </w:tabs>
            <w:rPr>
              <w:rFonts w:eastAsiaTheme="minorEastAsia"/>
              <w:noProof/>
              <w:lang w:eastAsia="hr-HR"/>
            </w:rPr>
          </w:pPr>
          <w:hyperlink r:id="rId23" w:anchor="_Toc521023696" w:history="true">
            <w:r w:rsidR="001E3364">
              <w:rPr>
                <w:rStyle w:val="Hiperveza"/>
                <w:noProof/>
              </w:rPr>
              <w:t>12.</w:t>
            </w:r>
            <w:r w:rsidR="001E3364">
              <w:rPr>
                <w:rStyle w:val="Hiperveza"/>
                <w:rFonts w:eastAsiaTheme="minorEastAsia"/>
                <w:noProof/>
                <w:color w:val="auto"/>
                <w:lang w:eastAsia="hr-HR"/>
              </w:rPr>
              <w:tab/>
            </w:r>
            <w:r w:rsidR="001E3364">
              <w:rPr>
                <w:rStyle w:val="Hiperveza"/>
                <w:noProof/>
              </w:rPr>
              <w:t>Planirani iznos troškova restrukturiranja</w:t>
            </w:r>
            <w:r w:rsidR="001E3364">
              <w:rPr>
                <w:rStyle w:val="Hiperveza"/>
                <w:noProof/>
                <w:webHidden/>
                <w:color w:val="auto"/>
              </w:rPr>
              <w:tab/>
            </w:r>
            <w:r w:rsidR="001E3364">
              <w:rPr>
                <w:rStyle w:val="Hiperveza"/>
                <w:noProof/>
                <w:webHidden/>
                <w:color w:val="auto"/>
              </w:rPr>
              <w:fldChar w:fldCharType="begin"/>
            </w:r>
            <w:r w:rsidR="001E3364">
              <w:rPr>
                <w:rStyle w:val="Hiperveza"/>
                <w:noProof/>
                <w:webHidden/>
                <w:color w:val="auto"/>
              </w:rPr>
              <w:instrText xml:space="preserve"> PAGEREF _Toc521023696 \h </w:instrText>
            </w:r>
            <w:r w:rsidR="001E3364">
              <w:rPr>
                <w:rStyle w:val="Hiperveza"/>
                <w:noProof/>
                <w:webHidden/>
                <w:color w:val="auto"/>
              </w:rPr>
            </w:r>
            <w:r w:rsidR="001E3364">
              <w:rPr>
                <w:rStyle w:val="Hiperveza"/>
                <w:noProof/>
                <w:webHidden/>
                <w:color w:val="auto"/>
              </w:rPr>
              <w:fldChar w:fldCharType="separate"/>
            </w:r>
            <w:r w:rsidR="001E3364">
              <w:rPr>
                <w:rStyle w:val="Hiperveza"/>
                <w:noProof/>
                <w:webHidden/>
                <w:color w:val="auto"/>
              </w:rPr>
              <w:t>52</w:t>
            </w:r>
            <w:r w:rsidR="001E3364">
              <w:rPr>
                <w:rStyle w:val="Hiperveza"/>
                <w:noProof/>
                <w:webHidden/>
                <w:color w:val="auto"/>
              </w:rPr>
              <w:fldChar w:fldCharType="end"/>
            </w:r>
          </w:hyperlink>
        </w:p>
        <w:p w:rsidRDefault="001403B6" w:rsidP="001E3364" w:rsidR="001E3364">
          <w:pPr>
            <w:pStyle w:val="Sadraj1"/>
            <w:tabs>
              <w:tab w:pos="9062" w:leader="dot" w:val="right"/>
            </w:tabs>
            <w:rPr>
              <w:rFonts w:eastAsiaTheme="minorEastAsia"/>
              <w:noProof/>
              <w:lang w:eastAsia="hr-HR"/>
            </w:rPr>
          </w:pPr>
          <w:hyperlink r:id="rId24" w:anchor="_Toc521023697" w:history="true">
            <w:r w:rsidR="001E3364">
              <w:rPr>
                <w:rStyle w:val="Hiperveza"/>
                <w:noProof/>
              </w:rPr>
              <w:t>PRILOG 1  - OČEVIDNIK O REDOSLJEDU PLAĆANJA</w:t>
            </w:r>
            <w:r w:rsidR="001E3364">
              <w:rPr>
                <w:rStyle w:val="Hiperveza"/>
                <w:noProof/>
                <w:webHidden/>
                <w:color w:val="auto"/>
              </w:rPr>
              <w:tab/>
            </w:r>
            <w:r w:rsidR="001E3364">
              <w:rPr>
                <w:rStyle w:val="Hiperveza"/>
                <w:noProof/>
                <w:webHidden/>
                <w:color w:val="auto"/>
              </w:rPr>
              <w:fldChar w:fldCharType="begin"/>
            </w:r>
            <w:r w:rsidR="001E3364">
              <w:rPr>
                <w:rStyle w:val="Hiperveza"/>
                <w:noProof/>
                <w:webHidden/>
                <w:color w:val="auto"/>
              </w:rPr>
              <w:instrText xml:space="preserve"> PAGEREF _Toc521023697 \h </w:instrText>
            </w:r>
            <w:r w:rsidR="001E3364">
              <w:rPr>
                <w:rStyle w:val="Hiperveza"/>
                <w:noProof/>
                <w:webHidden/>
                <w:color w:val="auto"/>
              </w:rPr>
            </w:r>
            <w:r w:rsidR="001E3364">
              <w:rPr>
                <w:rStyle w:val="Hiperveza"/>
                <w:noProof/>
                <w:webHidden/>
                <w:color w:val="auto"/>
              </w:rPr>
              <w:fldChar w:fldCharType="separate"/>
            </w:r>
            <w:r w:rsidR="001E3364">
              <w:rPr>
                <w:rStyle w:val="Hiperveza"/>
                <w:noProof/>
                <w:webHidden/>
                <w:color w:val="auto"/>
              </w:rPr>
              <w:t>53</w:t>
            </w:r>
            <w:r w:rsidR="001E3364">
              <w:rPr>
                <w:rStyle w:val="Hiperveza"/>
                <w:noProof/>
                <w:webHidden/>
                <w:color w:val="auto"/>
              </w:rPr>
              <w:fldChar w:fldCharType="end"/>
            </w:r>
          </w:hyperlink>
        </w:p>
        <w:p w:rsidRDefault="001403B6" w:rsidP="001E3364" w:rsidR="001E3364">
          <w:pPr>
            <w:pStyle w:val="Sadraj1"/>
            <w:tabs>
              <w:tab w:pos="9062" w:leader="dot" w:val="right"/>
            </w:tabs>
            <w:rPr>
              <w:rFonts w:eastAsiaTheme="minorEastAsia"/>
              <w:noProof/>
              <w:lang w:eastAsia="hr-HR"/>
            </w:rPr>
          </w:pPr>
          <w:hyperlink r:id="rId25" w:anchor="_Toc521023698" w:history="true">
            <w:r w:rsidR="001E3364">
              <w:rPr>
                <w:rStyle w:val="Hiperveza"/>
                <w:noProof/>
              </w:rPr>
              <w:t>PRILOG 2: OTPLATNI PLAN RAZLUČNIH VJEROVNIKA</w:t>
            </w:r>
            <w:r w:rsidR="001E3364">
              <w:rPr>
                <w:rStyle w:val="Hiperveza"/>
                <w:noProof/>
                <w:webHidden/>
                <w:color w:val="auto"/>
              </w:rPr>
              <w:tab/>
            </w:r>
            <w:r w:rsidR="001E3364">
              <w:rPr>
                <w:rStyle w:val="Hiperveza"/>
                <w:noProof/>
                <w:webHidden/>
                <w:color w:val="auto"/>
              </w:rPr>
              <w:fldChar w:fldCharType="begin"/>
            </w:r>
            <w:r w:rsidR="001E3364">
              <w:rPr>
                <w:rStyle w:val="Hiperveza"/>
                <w:noProof/>
                <w:webHidden/>
                <w:color w:val="auto"/>
              </w:rPr>
              <w:instrText xml:space="preserve"> PAGEREF _Toc521023698 \h </w:instrText>
            </w:r>
            <w:r w:rsidR="001E3364">
              <w:rPr>
                <w:rStyle w:val="Hiperveza"/>
                <w:noProof/>
                <w:webHidden/>
                <w:color w:val="auto"/>
              </w:rPr>
            </w:r>
            <w:r w:rsidR="001E3364">
              <w:rPr>
                <w:rStyle w:val="Hiperveza"/>
                <w:noProof/>
                <w:webHidden/>
                <w:color w:val="auto"/>
              </w:rPr>
              <w:fldChar w:fldCharType="separate"/>
            </w:r>
            <w:r w:rsidR="001E3364">
              <w:rPr>
                <w:rStyle w:val="Hiperveza"/>
                <w:noProof/>
                <w:webHidden/>
                <w:color w:val="auto"/>
              </w:rPr>
              <w:t>54</w:t>
            </w:r>
            <w:r w:rsidR="001E3364">
              <w:rPr>
                <w:rStyle w:val="Hiperveza"/>
                <w:noProof/>
                <w:webHidden/>
                <w:color w:val="auto"/>
              </w:rPr>
              <w:fldChar w:fldCharType="end"/>
            </w:r>
          </w:hyperlink>
        </w:p>
        <w:p w:rsidRDefault="001E3364" w:rsidP="001E3364" w:rsidR="001E3364">
          <w:pPr>
            <w:rPr>
              <w:sz w:val="24"/>
              <w:szCs w:val="24"/>
            </w:rPr>
          </w:pPr>
          <w:r>
            <w:rPr>
              <w:b/>
              <w:bCs/>
              <w:sz w:val="24"/>
              <w:szCs w:val="24"/>
            </w:rPr>
            <w:fldChar w:fldCharType="end"/>
          </w:r>
        </w:p>
      </w:sdtContent>
    </w:sdt>
    <w:p w:rsidRDefault="001E3364" w:rsidP="001E3364" w:rsidR="001E3364">
      <w:pPr>
        <w:rPr>
          <w:sz w:val="24"/>
          <w:szCs w:val="24"/>
        </w:rPr>
      </w:pPr>
      <w:r>
        <w:rPr>
          <w:sz w:val="24"/>
          <w:szCs w:val="24"/>
        </w:rPr>
        <w:br w:type="page"/>
      </w:r>
    </w:p>
    <w:p w:rsidRDefault="001E3364" w:rsidP="001E3364" w:rsidR="001E3364">
      <w:pPr>
        <w:pStyle w:val="Naslov1"/>
        <w:numPr>
          <w:ilvl w:val="0"/>
          <w:numId w:val="2"/>
        </w:numPr>
        <w:rPr>
          <w:rFonts w:hAnsiTheme="minorHAnsi" w:asciiTheme="minorHAnsi"/>
          <w:sz w:val="24"/>
          <w:szCs w:val="24"/>
        </w:rPr>
      </w:pPr>
      <w:bookmarkStart w:name="_Toc521023680" w:id="1"/>
      <w:r>
        <w:rPr>
          <w:rFonts w:hAnsiTheme="minorHAnsi" w:asciiTheme="minorHAnsi"/>
          <w:sz w:val="24"/>
          <w:szCs w:val="24"/>
        </w:rPr>
        <w:lastRenderedPageBreak/>
        <w:t>Uvod</w:t>
      </w:r>
      <w:bookmarkEnd w:id="1"/>
    </w:p>
    <w:p w:rsidRDefault="001E3364" w:rsidP="001E3364" w:rsidR="001E3364">
      <w:pPr>
        <w:pStyle w:val="Naslov2"/>
        <w:rPr>
          <w:rFonts w:hAnsiTheme="minorHAnsi" w:asciiTheme="minorHAnsi"/>
        </w:rPr>
      </w:pPr>
      <w:bookmarkStart w:name="_Toc521023681" w:id="2"/>
      <w:r>
        <w:rPr>
          <w:rFonts w:hAnsiTheme="minorHAnsi" w:asciiTheme="minorHAnsi"/>
        </w:rPr>
        <w:t>Osnovni podaci o Društvu</w:t>
      </w:r>
      <w:bookmarkEnd w:id="2"/>
    </w:p>
    <w:p w:rsidRDefault="001E3364" w:rsidP="001E3364" w:rsidR="001E3364">
      <w:pPr>
        <w:jc w:val="both"/>
        <w:rPr>
          <w:sz w:val="24"/>
          <w:szCs w:val="24"/>
        </w:rPr>
      </w:pPr>
      <w:r>
        <w:rPr>
          <w:sz w:val="24"/>
          <w:szCs w:val="24"/>
        </w:rPr>
        <w:t xml:space="preserve">Ovaj plan restrukturiranja u predstečajnom postupku nad pravnom osobom </w:t>
      </w:r>
      <w:r>
        <w:rPr>
          <w:b/>
          <w:i/>
          <w:sz w:val="24"/>
          <w:szCs w:val="24"/>
        </w:rPr>
        <w:t>ANAMIL proizvodnja, trgovina i usluge d.o.o.,</w:t>
      </w:r>
      <w:r>
        <w:rPr>
          <w:sz w:val="24"/>
          <w:szCs w:val="24"/>
        </w:rPr>
        <w:t xml:space="preserve"> Zagreb, Josipa Lončara 2 c, MBS: 080442834, OIB: 29315506757 (dalje u tekstu: Društvo ili Dužnik) pripremljen je u skladu sa Stečajnim zakonom (NN 71/15, 104/17, dalje u tekstu: Zakon).</w:t>
      </w:r>
    </w:p>
    <w:p w:rsidRDefault="001E3364" w:rsidP="001E3364" w:rsidR="001E3364">
      <w:pPr>
        <w:jc w:val="both"/>
        <w:rPr>
          <w:sz w:val="24"/>
          <w:szCs w:val="24"/>
        </w:rPr>
      </w:pPr>
      <w:r>
        <w:rPr>
          <w:sz w:val="24"/>
          <w:szCs w:val="24"/>
        </w:rPr>
        <w:t>Društvo je osnovano 1991. godine, i ima temeljni kapital u iznosu od 10.424.900,00 kuna.</w:t>
      </w:r>
    </w:p>
    <w:p w:rsidRDefault="001E3364" w:rsidP="001E3364" w:rsidR="001E3364">
      <w:pPr>
        <w:jc w:val="both"/>
        <w:rPr>
          <w:sz w:val="24"/>
          <w:szCs w:val="24"/>
        </w:rPr>
      </w:pPr>
      <w:r>
        <w:rPr>
          <w:sz w:val="24"/>
          <w:szCs w:val="24"/>
        </w:rPr>
        <w:t>Osobe ovlaštene za zastupanje Društva su:</w:t>
      </w:r>
    </w:p>
    <w:p w:rsidRDefault="001E3364" w:rsidP="001E3364" w:rsidR="001E3364">
      <w:pPr>
        <w:pStyle w:val="Odlomakpopisa"/>
        <w:numPr>
          <w:ilvl w:val="0"/>
          <w:numId w:val="4"/>
        </w:numPr>
        <w:ind w:left="708"/>
        <w:jc w:val="both"/>
        <w:rPr>
          <w:sz w:val="24"/>
          <w:szCs w:val="24"/>
        </w:rPr>
      </w:pPr>
      <w:r>
        <w:rPr>
          <w:sz w:val="24"/>
          <w:szCs w:val="24"/>
        </w:rPr>
        <w:t>Milan Radišić, OIB: 19221326034, Zagreb, Zadvorska 14, Brezovica, direktor, zastupa društvo pojedinačno i samostalno,</w:t>
      </w:r>
    </w:p>
    <w:p w:rsidRDefault="001E3364" w:rsidP="001E3364" w:rsidR="001E3364">
      <w:pPr>
        <w:pStyle w:val="Odlomakpopisa"/>
        <w:numPr>
          <w:ilvl w:val="0"/>
          <w:numId w:val="4"/>
        </w:numPr>
        <w:ind w:left="709"/>
        <w:jc w:val="both"/>
        <w:rPr>
          <w:sz w:val="24"/>
          <w:szCs w:val="24"/>
        </w:rPr>
      </w:pPr>
      <w:r>
        <w:rPr>
          <w:sz w:val="24"/>
          <w:szCs w:val="24"/>
        </w:rPr>
        <w:t>Ana Radišić, OIB: 74458596939, Zagreb, Zadvorska 14, Brezovica, prokurist</w:t>
      </w:r>
    </w:p>
    <w:p w:rsidRDefault="001E3364" w:rsidP="001E3364" w:rsidR="001E3364">
      <w:pPr>
        <w:jc w:val="both"/>
        <w:rPr>
          <w:sz w:val="24"/>
          <w:szCs w:val="24"/>
        </w:rPr>
      </w:pPr>
      <w:r>
        <w:rPr>
          <w:sz w:val="24"/>
          <w:szCs w:val="24"/>
        </w:rPr>
        <w:t xml:space="preserve">Društvo ima 46 zaposlenika. </w:t>
      </w:r>
    </w:p>
    <w:p w:rsidRDefault="001E3364" w:rsidP="001E3364" w:rsidR="001E3364">
      <w:pPr>
        <w:pStyle w:val="Naslov2"/>
        <w:rPr>
          <w:rFonts w:hAnsiTheme="minorHAnsi" w:asciiTheme="minorHAnsi"/>
        </w:rPr>
      </w:pPr>
      <w:bookmarkStart w:name="_Toc521023682" w:id="3"/>
      <w:r>
        <w:rPr>
          <w:rFonts w:hAnsiTheme="minorHAnsi" w:asciiTheme="minorHAnsi"/>
        </w:rPr>
        <w:t>Djelatnost Društva</w:t>
      </w:r>
      <w:bookmarkEnd w:id="3"/>
    </w:p>
    <w:p w:rsidRDefault="001E3364" w:rsidP="001E3364" w:rsidR="001E3364">
      <w:pPr>
        <w:jc w:val="both"/>
        <w:rPr>
          <w:sz w:val="24"/>
          <w:szCs w:val="24"/>
        </w:rPr>
      </w:pPr>
      <w:r>
        <w:rPr>
          <w:sz w:val="24"/>
          <w:szCs w:val="24"/>
        </w:rPr>
        <w:t>Društvo je registrirano za djelatnost Proizvodnja ostalih gotovih proizvoda od metala, d. n. (25.99).</w:t>
      </w:r>
    </w:p>
    <w:p w:rsidRDefault="001E3364" w:rsidP="001E3364" w:rsidR="001E3364">
      <w:pPr>
        <w:jc w:val="both"/>
        <w:rPr>
          <w:sz w:val="24"/>
          <w:szCs w:val="24"/>
        </w:rPr>
      </w:pPr>
      <w:r>
        <w:rPr>
          <w:sz w:val="24"/>
          <w:szCs w:val="24"/>
        </w:rPr>
        <w:t>Osnovna djelatnost Društva je proizvodanja i prodaja proizvoda za kućanstva.</w:t>
      </w:r>
    </w:p>
    <w:p w:rsidRDefault="001E3364" w:rsidP="001E3364" w:rsidR="001E3364">
      <w:pPr>
        <w:jc w:val="both"/>
        <w:rPr>
          <w:sz w:val="24"/>
          <w:szCs w:val="24"/>
        </w:rPr>
      </w:pPr>
      <w:r>
        <w:rPr>
          <w:sz w:val="24"/>
          <w:szCs w:val="24"/>
        </w:rPr>
        <w:t>Predmet poslovanja Društva je stoga obavljanje sljedećih djelatnosti:</w:t>
      </w:r>
    </w:p>
    <w:p w:rsidRDefault="001E3364" w:rsidP="001E3364" w:rsidR="001E3364">
      <w:pPr>
        <w:pStyle w:val="Odlomakpopisa"/>
        <w:numPr>
          <w:ilvl w:val="0"/>
          <w:numId w:val="6"/>
        </w:numPr>
        <w:jc w:val="both"/>
        <w:rPr>
          <w:sz w:val="24"/>
          <w:szCs w:val="24"/>
        </w:rPr>
      </w:pPr>
      <w:r>
        <w:rPr>
          <w:sz w:val="24"/>
          <w:szCs w:val="24"/>
        </w:rPr>
        <w:t>Proizvodnja</w:t>
      </w:r>
    </w:p>
    <w:p w:rsidRDefault="001E3364" w:rsidP="001E3364" w:rsidR="001E3364">
      <w:pPr>
        <w:pStyle w:val="Odlomakpopisa"/>
        <w:numPr>
          <w:ilvl w:val="0"/>
          <w:numId w:val="6"/>
        </w:numPr>
        <w:jc w:val="both"/>
        <w:rPr>
          <w:sz w:val="24"/>
          <w:szCs w:val="24"/>
        </w:rPr>
      </w:pPr>
      <w:r>
        <w:rPr>
          <w:sz w:val="24"/>
          <w:szCs w:val="24"/>
        </w:rPr>
        <w:t>Kupnja i prodaja robe na domaćem i inozemnom tržištu</w:t>
      </w:r>
    </w:p>
    <w:p w:rsidRDefault="001E3364" w:rsidP="001E3364" w:rsidR="001E3364">
      <w:pPr>
        <w:pStyle w:val="Odlomakpopisa"/>
        <w:numPr>
          <w:ilvl w:val="0"/>
          <w:numId w:val="6"/>
        </w:numPr>
        <w:jc w:val="both"/>
        <w:rPr>
          <w:sz w:val="24"/>
          <w:szCs w:val="24"/>
        </w:rPr>
      </w:pPr>
      <w:r>
        <w:rPr>
          <w:sz w:val="24"/>
          <w:szCs w:val="24"/>
        </w:rPr>
        <w:t>Usluge skladištenja</w:t>
      </w:r>
    </w:p>
    <w:p w:rsidRDefault="001E3364" w:rsidP="001E3364" w:rsidR="001E3364">
      <w:pPr>
        <w:pStyle w:val="Odlomakpopisa"/>
        <w:numPr>
          <w:ilvl w:val="0"/>
          <w:numId w:val="6"/>
        </w:numPr>
        <w:jc w:val="both"/>
        <w:rPr>
          <w:sz w:val="24"/>
          <w:szCs w:val="24"/>
        </w:rPr>
      </w:pPr>
      <w:r>
        <w:rPr>
          <w:sz w:val="24"/>
          <w:szCs w:val="24"/>
        </w:rPr>
        <w:t>Transport</w:t>
      </w:r>
    </w:p>
    <w:p w:rsidRDefault="001E3364" w:rsidP="001E3364" w:rsidR="001E3364">
      <w:pPr>
        <w:pStyle w:val="Odlomakpopisa"/>
        <w:numPr>
          <w:ilvl w:val="0"/>
          <w:numId w:val="6"/>
        </w:numPr>
        <w:jc w:val="both"/>
        <w:rPr>
          <w:sz w:val="24"/>
          <w:szCs w:val="24"/>
        </w:rPr>
      </w:pPr>
      <w:r>
        <w:rPr>
          <w:sz w:val="24"/>
          <w:szCs w:val="24"/>
        </w:rPr>
        <w:t>Iznajmljivanje vlastitih skladišnih i uredskih prostora</w:t>
      </w:r>
    </w:p>
    <w:p w:rsidRDefault="001E3364" w:rsidP="001E3364" w:rsidR="001E3364">
      <w:pPr>
        <w:jc w:val="both"/>
        <w:rPr>
          <w:sz w:val="24"/>
          <w:szCs w:val="24"/>
        </w:rPr>
      </w:pPr>
      <w:r>
        <w:rPr>
          <w:sz w:val="24"/>
          <w:szCs w:val="24"/>
        </w:rPr>
        <w:t xml:space="preserve">Društvo je proizvodno s proizvodnim pogonima u Zagrebu i Belišću. U proizvodnom pogonu u Zagrebu obavlja se proizvodnja aluminijskih i prozirnih prijanjajućih folija, papira za pečenje, spužvastih proizvoda i ostalih kućanskih pomagala, programa ALUPACK. </w:t>
      </w:r>
    </w:p>
    <w:p w:rsidRDefault="001E3364" w:rsidP="001E3364" w:rsidR="001E3364">
      <w:pPr>
        <w:jc w:val="both"/>
        <w:rPr>
          <w:sz w:val="24"/>
          <w:szCs w:val="24"/>
        </w:rPr>
      </w:pPr>
      <w:r>
        <w:rPr>
          <w:sz w:val="24"/>
          <w:szCs w:val="24"/>
        </w:rPr>
        <w:t>Brend ALUPACK zaštićeno je intelektualno vlasništvo suvlasnika Društva Milana Radišića, koji je i Direktor .</w:t>
      </w:r>
    </w:p>
    <w:p w:rsidRDefault="001E3364" w:rsidP="001E3364" w:rsidR="001E3364">
      <w:pPr>
        <w:jc w:val="both"/>
        <w:rPr>
          <w:sz w:val="24"/>
          <w:szCs w:val="24"/>
        </w:rPr>
      </w:pPr>
      <w:r>
        <w:rPr>
          <w:sz w:val="24"/>
          <w:szCs w:val="24"/>
        </w:rPr>
        <w:t xml:space="preserve">Program kućanskih proizvoda ALUPACK vrlo je dobro prihvaćen od strane kupaca kako na hrvatskom, tako i na tržištu regije i Europske unije (dalje: EU). Proizvodnja je smještena u objektu Društva na Slavonskoj aveniji 24a. </w:t>
      </w:r>
    </w:p>
    <w:p w:rsidRDefault="001E3364" w:rsidP="001E3364" w:rsidR="001E3364">
      <w:pPr>
        <w:jc w:val="both"/>
        <w:rPr>
          <w:sz w:val="24"/>
          <w:szCs w:val="24"/>
        </w:rPr>
      </w:pPr>
      <w:r>
        <w:rPr>
          <w:sz w:val="24"/>
          <w:szCs w:val="24"/>
        </w:rPr>
        <w:t>Svi strojevi i oprema na kojima se obavlja proizvodnja, su u vlasništvu Društva. Strogo se vodi briga o kvaliteti proizvoda te zadovoljstvu kupaca, stoga je tržište osigurano za proizvedene količine.</w:t>
      </w:r>
    </w:p>
    <w:p w:rsidRDefault="001E3364" w:rsidP="001E3364" w:rsidR="001E3364">
      <w:pPr>
        <w:jc w:val="both"/>
        <w:rPr>
          <w:sz w:val="24"/>
          <w:szCs w:val="24"/>
        </w:rPr>
      </w:pPr>
      <w:r>
        <w:rPr>
          <w:sz w:val="24"/>
          <w:szCs w:val="24"/>
        </w:rPr>
        <w:lastRenderedPageBreak/>
        <w:t>U proizvodnom pogonu Belišće, tj. tvornici spiralne ambalaže (dalje: TSA) obavlja se proizvodnja sve papirne ambalaže. Spiralna ambalaža koristi se jednim dijelom u proizvodnji ALUPACK folija u pogonu u Zagrebu, gdje se prosječno utroši 100 tona/mjesečno.</w:t>
      </w:r>
    </w:p>
    <w:p w:rsidRDefault="001E3364" w:rsidP="001E3364" w:rsidR="001E3364">
      <w:pPr>
        <w:jc w:val="both"/>
        <w:rPr>
          <w:sz w:val="24"/>
          <w:szCs w:val="24"/>
        </w:rPr>
      </w:pPr>
      <w:r>
        <w:rPr>
          <w:sz w:val="24"/>
          <w:szCs w:val="24"/>
        </w:rPr>
        <w:t xml:space="preserve">Kapaciteti proizvodnje su 6.000 tona/mjesečno i plasiraju se na tržište regije i EU, a ugovoren je izvoz za Katar. </w:t>
      </w:r>
    </w:p>
    <w:p w:rsidRDefault="001E3364" w:rsidP="001E3364" w:rsidR="001E3364">
      <w:pPr>
        <w:jc w:val="both"/>
        <w:rPr>
          <w:sz w:val="24"/>
          <w:szCs w:val="24"/>
        </w:rPr>
      </w:pPr>
      <w:r>
        <w:rPr>
          <w:sz w:val="24"/>
          <w:szCs w:val="24"/>
        </w:rPr>
        <w:t>Uz proizvodnju papirnih cijevi, svih namjena i profila, odvija se i proizvodnja kartonskih kutnika korištenih pri ambalažiranju i paletiranju robe.</w:t>
      </w:r>
    </w:p>
    <w:p w:rsidRDefault="001E3364" w:rsidP="001E3364" w:rsidR="001E3364">
      <w:pPr>
        <w:jc w:val="both"/>
        <w:rPr>
          <w:sz w:val="24"/>
          <w:szCs w:val="24"/>
        </w:rPr>
      </w:pPr>
      <w:r>
        <w:rPr>
          <w:sz w:val="24"/>
          <w:szCs w:val="24"/>
        </w:rPr>
        <w:t>Uz gore navedene proizvode, u pogonu TSA u Belišću proizvodi se i širok asortiman proizvoda papirne konfekcije (vrećice, plastificirani papir) namijenjenih trgovinama, pekarama, ugostiteljstvu.</w:t>
      </w:r>
    </w:p>
    <w:p w:rsidRDefault="001E3364" w:rsidP="001E3364" w:rsidR="001E3364">
      <w:pPr>
        <w:jc w:val="both"/>
        <w:rPr>
          <w:sz w:val="24"/>
          <w:szCs w:val="24"/>
        </w:rPr>
      </w:pPr>
      <w:r>
        <w:rPr>
          <w:sz w:val="24"/>
          <w:szCs w:val="24"/>
        </w:rPr>
        <w:t>Sva proizvodnja smještena je u vlastitim prostorima i odvija se na vlastitim strojevima. Društvo u svom vlasništvu ima slobodnih uredskih i skladišnih prostora koji su stavljeni u dugoročni najam.</w:t>
      </w:r>
    </w:p>
    <w:p w:rsidRDefault="001E3364" w:rsidP="001E3364" w:rsidR="001E3364">
      <w:pPr>
        <w:pStyle w:val="Naslov2"/>
        <w:rPr>
          <w:rFonts w:hAnsiTheme="minorHAnsi" w:asciiTheme="minorHAnsi"/>
        </w:rPr>
      </w:pPr>
      <w:bookmarkStart w:name="_Toc521023683" w:id="4"/>
      <w:r>
        <w:rPr>
          <w:rFonts w:hAnsiTheme="minorHAnsi" w:asciiTheme="minorHAnsi"/>
        </w:rPr>
        <w:t>Razlozi za predstečajni postupak i restrukturiranje Društva</w:t>
      </w:r>
      <w:bookmarkEnd w:id="4"/>
    </w:p>
    <w:p w:rsidRDefault="001E3364" w:rsidP="001E3364" w:rsidR="001E3364">
      <w:pPr>
        <w:jc w:val="both"/>
        <w:rPr>
          <w:sz w:val="24"/>
          <w:szCs w:val="24"/>
        </w:rPr>
      </w:pPr>
      <w:r>
        <w:rPr>
          <w:sz w:val="24"/>
          <w:szCs w:val="24"/>
        </w:rPr>
        <w:t>Predstečajni postupak provodi se radi uređivanja pravnoga položaja dužnika i njegova odnosa prema vjerovnicima i održavanja njegove djelatnosti.</w:t>
      </w:r>
    </w:p>
    <w:p w:rsidRDefault="001E3364" w:rsidP="001E3364" w:rsidR="001E3364">
      <w:pPr>
        <w:jc w:val="both"/>
        <w:rPr>
          <w:sz w:val="24"/>
          <w:szCs w:val="24"/>
        </w:rPr>
      </w:pPr>
      <w:r>
        <w:rPr>
          <w:sz w:val="24"/>
          <w:szCs w:val="24"/>
        </w:rPr>
        <w:t>Obzirom na značajan pad aktivnosti na tržištu u proteklom periodu, Društvo nije bilo u mogućnosti nastaviti s proizvodnjom i poslovanjem u punom opsegu. Zapalo je u probleme s likvidnošću, radi čega se je pristupilo sveobuhvatnoj analizi povijesnog, aktualnog i budućeg poslovanja, a sve s ciljem pronalaženja rješenja za daljnji održivi nastavak poslovanja, podmirenja kumuliranih obveza iz redovnog poslovanja bez potrebe za pokretanjem stečajnog postupka po utvrđivanju i donošenju plana održivog poslovanja.</w:t>
      </w:r>
    </w:p>
    <w:p w:rsidRDefault="001E3364" w:rsidP="001E3364" w:rsidR="001E3364">
      <w:pPr>
        <w:jc w:val="both"/>
        <w:rPr>
          <w:sz w:val="24"/>
          <w:szCs w:val="24"/>
        </w:rPr>
      </w:pPr>
      <w:r>
        <w:rPr>
          <w:sz w:val="24"/>
          <w:szCs w:val="24"/>
        </w:rPr>
        <w:t>Obzirom na specifičnosti proizvodne djelatnosti i stanje na tržištu, Društvo sa smanjenim proizvodnim kapacitetima, zbog problema s dobavom repromaterijala, uzrokovanih otežanom likvidnošću, nije u mogućnosti neometano poslovati i postići proizvodnju u potpunim kapacitetima i time u potpunosti uspostaviti financijsku stabilnost Društva.</w:t>
      </w:r>
    </w:p>
    <w:p w:rsidRDefault="001E3364" w:rsidP="001E3364" w:rsidR="001E3364">
      <w:pPr>
        <w:jc w:val="both"/>
        <w:rPr>
          <w:sz w:val="24"/>
          <w:szCs w:val="24"/>
        </w:rPr>
      </w:pPr>
      <w:r>
        <w:rPr>
          <w:sz w:val="24"/>
          <w:szCs w:val="24"/>
        </w:rPr>
        <w:t>Ovim planom Društvo dokazuje da je predstečajni postupak najekonomičniji i najisplativiji način kojim se osigurava potpuna proizvodnost uz povećanje zaposlenosti i sigurnu naplativost vjerovnika.</w:t>
      </w:r>
    </w:p>
    <w:p w:rsidRDefault="001E3364" w:rsidP="001E3364" w:rsidR="001E3364">
      <w:pPr>
        <w:jc w:val="both"/>
        <w:rPr>
          <w:sz w:val="24"/>
          <w:szCs w:val="24"/>
        </w:rPr>
      </w:pPr>
      <w:r>
        <w:rPr>
          <w:sz w:val="24"/>
          <w:szCs w:val="24"/>
        </w:rPr>
        <w:t>Polaznu točku ovog plana rekonstruiranja čini stroga analiza povijesnog poslovanja te analiza aktualnog financijskog stanja.</w:t>
      </w:r>
    </w:p>
    <w:p w:rsidRDefault="001E3364" w:rsidP="001E3364" w:rsidR="001E3364">
      <w:pPr>
        <w:jc w:val="both"/>
        <w:rPr>
          <w:sz w:val="24"/>
          <w:szCs w:val="24"/>
        </w:rPr>
      </w:pPr>
      <w:r>
        <w:rPr>
          <w:sz w:val="24"/>
          <w:szCs w:val="24"/>
        </w:rPr>
        <w:t xml:space="preserve">Na bazi provedenih analiza, utvrđen je plan budućeg poslovanja kroz naredno sedmogodišnje razdoblje. Plan rekonstruiranja obuhvaća elemente financijskog i operativnog restrukturiranja, nužnih za stabilizaciju novčanih tokova, uspostavljanje neometanog toka proizvodnje i poslovanja u cijelosti, redovito podmirenje obveza, uspostavljanje veće razine produktivnosti i profitabilnosti poslovanja te racionalnijeg korištenja resursa. Slijedom </w:t>
      </w:r>
      <w:r>
        <w:rPr>
          <w:sz w:val="24"/>
          <w:szCs w:val="24"/>
        </w:rPr>
        <w:lastRenderedPageBreak/>
        <w:t>navedenog, cilj ovog plana restrukturiranja je davanje sveobuhvatnih informacija vjerovnicima, koji su ključni za donošenje i usvajanje procesa restrukturiranja.</w:t>
      </w:r>
    </w:p>
    <w:p w:rsidRDefault="001E3364" w:rsidP="001E3364" w:rsidR="001E3364">
      <w:pPr>
        <w:jc w:val="both"/>
        <w:rPr>
          <w:sz w:val="24"/>
          <w:szCs w:val="24"/>
        </w:rPr>
      </w:pPr>
      <w:r>
        <w:rPr>
          <w:sz w:val="24"/>
          <w:szCs w:val="24"/>
        </w:rPr>
        <w:t>Baza za izradu plana restrukturiranja su revidirani financijski podaci za 2015., 2016. i 2017. godinu te podaci ostvareni do 6. srpnja 2018. godine.</w:t>
      </w:r>
    </w:p>
    <w:p w:rsidRDefault="001E3364" w:rsidP="001E3364" w:rsidR="001E3364">
      <w:pPr>
        <w:jc w:val="both"/>
        <w:rPr>
          <w:sz w:val="24"/>
          <w:szCs w:val="24"/>
        </w:rPr>
      </w:pPr>
      <w:r>
        <w:rPr>
          <w:sz w:val="24"/>
          <w:szCs w:val="24"/>
        </w:rPr>
        <w:t>Prijedlog plana restrukturiranja izrađen je sukladno odredbama članka 27. Zakona.</w:t>
      </w:r>
    </w:p>
    <w:p w:rsidRDefault="001E3364" w:rsidP="001E3364" w:rsidR="001E3364">
      <w:pPr>
        <w:jc w:val="both"/>
        <w:rPr>
          <w:sz w:val="24"/>
          <w:szCs w:val="24"/>
        </w:rPr>
      </w:pPr>
    </w:p>
    <w:p w:rsidRDefault="001E3364" w:rsidP="001E3364" w:rsidR="001E3364">
      <w:pPr>
        <w:jc w:val="both"/>
        <w:rPr>
          <w:sz w:val="24"/>
          <w:szCs w:val="24"/>
        </w:rPr>
      </w:pPr>
    </w:p>
    <w:p w:rsidRDefault="001E3364" w:rsidP="001E3364" w:rsidR="001E3364">
      <w:pPr>
        <w:jc w:val="both"/>
        <w:rPr>
          <w:sz w:val="24"/>
          <w:szCs w:val="24"/>
        </w:rPr>
      </w:pPr>
    </w:p>
    <w:p w:rsidRDefault="001E3364" w:rsidP="001E3364" w:rsidR="001E3364">
      <w:pPr>
        <w:jc w:val="both"/>
        <w:rPr>
          <w:sz w:val="24"/>
          <w:szCs w:val="24"/>
        </w:rPr>
      </w:pPr>
    </w:p>
    <w:p w:rsidRDefault="001E3364" w:rsidP="001E3364" w:rsidR="001E3364">
      <w:pPr>
        <w:pStyle w:val="Naslov1"/>
        <w:numPr>
          <w:ilvl w:val="0"/>
          <w:numId w:val="2"/>
        </w:numPr>
        <w:ind w:hanging="357" w:left="714"/>
        <w:rPr>
          <w:rFonts w:hAnsiTheme="minorHAnsi" w:asciiTheme="minorHAnsi"/>
          <w:sz w:val="24"/>
          <w:szCs w:val="24"/>
        </w:rPr>
      </w:pPr>
      <w:bookmarkStart w:name="_Toc521023684" w:id="5"/>
      <w:r>
        <w:rPr>
          <w:rFonts w:hAnsiTheme="minorHAnsi" w:asciiTheme="minorHAnsi"/>
          <w:sz w:val="24"/>
          <w:szCs w:val="24"/>
        </w:rPr>
        <w:lastRenderedPageBreak/>
        <w:t>Činjenice i okolnosti iz kojih proizlazi postojanje prijeteće nesposobnosti za plaćanje</w:t>
      </w:r>
      <w:bookmarkEnd w:id="5"/>
    </w:p>
    <w:p w:rsidRDefault="001E3364" w:rsidP="001E3364" w:rsidR="001E3364">
      <w:pPr>
        <w:jc w:val="both"/>
        <w:rPr>
          <w:sz w:val="24"/>
          <w:szCs w:val="24"/>
        </w:rPr>
      </w:pPr>
      <w:r>
        <w:rPr>
          <w:sz w:val="24"/>
          <w:szCs w:val="24"/>
        </w:rPr>
        <w:t xml:space="preserve">Predstečajni postupak nad Društvom provodi se sukladno članku 4. Zakona, radi postojanja prijeteće nesposobnosti za plaćanje, jer Društvo svoje postojeće obveze neće moći ispuniti po dospijeću. Također, u Očevidniku redoslijeda osnova za plaćanje koji vodi Financijska agencija na dan 05. srpnja 2018. godine ima evidentirano 1.702.046,41 kuna ukupno neizvršenih osnova za plaćanje, koje nije trebalo naplatiti bez pristanka Društva, jer su isti ranije plaćeni u neosnovano visokom iznosu, a na temelju nepotpunih i nevjerodostojnih isprava vjerovnika koji je zloporabio zadužnicu nepovučenu propustom prethodne Uprave Društva. </w:t>
      </w:r>
    </w:p>
    <w:p w:rsidRDefault="001E3364" w:rsidP="001E3364" w:rsidR="001E3364">
      <w:pPr>
        <w:jc w:val="both"/>
        <w:rPr>
          <w:sz w:val="24"/>
          <w:szCs w:val="24"/>
        </w:rPr>
      </w:pPr>
      <w:r>
        <w:rPr>
          <w:sz w:val="24"/>
          <w:szCs w:val="24"/>
        </w:rPr>
        <w:t xml:space="preserve">Prva neizvršena osnova za plaćanje evidentirana je 23. svibnja 2018., odnosno u razdoblju kraćem od 60 dana, u odnosu na datum prijave za predstečajni postupak, koja je podnesena 20. srpnja 2018. </w:t>
      </w:r>
    </w:p>
    <w:p w:rsidRDefault="001E3364" w:rsidP="001E3364" w:rsidR="001E3364">
      <w:pPr>
        <w:jc w:val="both"/>
        <w:rPr>
          <w:sz w:val="24"/>
          <w:szCs w:val="24"/>
        </w:rPr>
      </w:pPr>
      <w:r>
        <w:rPr>
          <w:sz w:val="24"/>
          <w:szCs w:val="24"/>
        </w:rPr>
        <w:t>Poslovni računi Društva su na datum podnošenja prijedloga (20. srpnja 2018.) u neprekidnoj blokadi 55 dana.</w:t>
      </w:r>
    </w:p>
    <w:p w:rsidRDefault="001E3364" w:rsidP="001E3364" w:rsidR="001E3364">
      <w:pPr>
        <w:pStyle w:val="Naslov2"/>
        <w:rPr>
          <w:rFonts w:hAnsiTheme="minorHAnsi" w:asciiTheme="minorHAnsi"/>
        </w:rPr>
      </w:pPr>
      <w:bookmarkStart w:name="_Toc521023685" w:id="6"/>
      <w:r>
        <w:rPr>
          <w:rFonts w:hAnsiTheme="minorHAnsi" w:asciiTheme="minorHAnsi"/>
        </w:rPr>
        <w:t>Analiza povijesnog poslovanja</w:t>
      </w:r>
      <w:bookmarkEnd w:id="6"/>
    </w:p>
    <w:p w:rsidRDefault="001E3364" w:rsidP="001E3364" w:rsidR="001E3364">
      <w:pPr>
        <w:jc w:val="both"/>
        <w:rPr>
          <w:sz w:val="24"/>
          <w:szCs w:val="24"/>
        </w:rPr>
      </w:pPr>
      <w:r>
        <w:rPr>
          <w:sz w:val="24"/>
          <w:szCs w:val="24"/>
        </w:rPr>
        <w:t>Društvo je u periodu do 2016. godine imalo kontinuirani rast i razvoj praćen povećanjem poslovnih rezultata. U cijelom periodu poslovanja Društva od 1991. godine nije bilo financijskih nestabilnosti.</w:t>
      </w:r>
    </w:p>
    <w:p w:rsidRDefault="001E3364" w:rsidP="001E3364" w:rsidR="001E3364">
      <w:pPr>
        <w:jc w:val="both"/>
        <w:rPr>
          <w:sz w:val="24"/>
          <w:szCs w:val="24"/>
        </w:rPr>
      </w:pPr>
      <w:r>
        <w:rPr>
          <w:sz w:val="24"/>
          <w:szCs w:val="24"/>
        </w:rPr>
        <w:t>Nakon uzastopnog rasta koji je obilježio 2015. godinu kao najuspješniju s prometom od 97.337.321 kuna, 2016. godina je završila s prometom od 68.865.202 kuna, a 2017. s padom prometa na 53.406.173 kune.</w:t>
      </w:r>
    </w:p>
    <w:p w:rsidRDefault="001E3364" w:rsidP="001E3364" w:rsidR="001E3364">
      <w:pPr>
        <w:jc w:val="both"/>
        <w:rPr>
          <w:sz w:val="24"/>
          <w:szCs w:val="24"/>
        </w:rPr>
      </w:pPr>
      <w:r>
        <w:rPr>
          <w:sz w:val="24"/>
          <w:szCs w:val="24"/>
        </w:rPr>
        <w:t xml:space="preserve">Istovremeno su rasli troškovi poslovanja, a pod pritiskom sve većih zahtjeva tržišta dodatno se rušila proizvodna cijena proizvoda. Društvo se dodatno zadužilo u svrhu restrukturiranja i otplate postojećih obveza te održanja proizvodnosti. Time su se povećali troškovi poslovanja, a istovremeno novonastale troškove nije bilo moguće ugraditi u proizvodnu cijenu proizvoda. Ugovori sklopljeni s trgovačkim kućama bili su sve nepovoljniji, a rezultati poslovanja sve lošiji. Stoga je Društvo 2017. godinu završilo s gubicima od 10.670.927 kuna. </w:t>
      </w:r>
    </w:p>
    <w:p w:rsidRDefault="001E3364" w:rsidP="001E3364" w:rsidR="001E3364">
      <w:pPr>
        <w:jc w:val="both"/>
        <w:rPr>
          <w:sz w:val="24"/>
          <w:szCs w:val="24"/>
        </w:rPr>
      </w:pPr>
      <w:r>
        <w:rPr>
          <w:sz w:val="24"/>
          <w:szCs w:val="24"/>
        </w:rPr>
        <w:t>U veljači 2018. godine učinjeno je restrukturiranje Društva i otklonjena prijeteća nelikvidnost. Uložena su značajna financijska sredstva vlasnika Društva i tako osigurana obrtna sredstva, plaćene dospjele obveze i pokrenuta proizvodnja.</w:t>
      </w:r>
    </w:p>
    <w:p w:rsidRDefault="001E3364" w:rsidP="001E3364" w:rsidR="001E3364">
      <w:pPr>
        <w:jc w:val="both"/>
        <w:rPr>
          <w:sz w:val="24"/>
          <w:szCs w:val="24"/>
        </w:rPr>
      </w:pPr>
      <w:r>
        <w:rPr>
          <w:sz w:val="24"/>
          <w:szCs w:val="24"/>
        </w:rPr>
        <w:t>Uz sve nepovoljne uvjete poslovanja dogodila se zloporaba zadužnice u ožujku 2018. te ponovno od iste tvrtke 23. svibnja 2018. godine što je Društvu prouzročilo nesposobnost za plaćanje svojih obaveza.</w:t>
      </w:r>
    </w:p>
    <w:p w:rsidRDefault="001E3364" w:rsidP="001E3364" w:rsidR="001E3364">
      <w:pPr>
        <w:jc w:val="both"/>
        <w:rPr>
          <w:sz w:val="24"/>
          <w:szCs w:val="24"/>
        </w:rPr>
      </w:pPr>
      <w:r>
        <w:rPr>
          <w:sz w:val="24"/>
          <w:szCs w:val="24"/>
        </w:rPr>
        <w:t>Povijesni financijski izvještaji navedeni su u nastavku:</w:t>
      </w:r>
    </w:p>
    <w:p w:rsidRDefault="001E3364" w:rsidP="001E3364" w:rsidR="001E3364">
      <w:pPr>
        <w:rPr>
          <w:b/>
          <w:sz w:val="24"/>
          <w:szCs w:val="24"/>
        </w:rPr>
      </w:pPr>
      <w:r>
        <w:rPr>
          <w:b/>
          <w:sz w:val="24"/>
          <w:szCs w:val="24"/>
        </w:rPr>
        <w:br w:type="page"/>
      </w:r>
    </w:p>
    <w:p w:rsidRDefault="001E3364" w:rsidP="001E3364" w:rsidR="001E3364">
      <w:pPr>
        <w:spacing w:after="0"/>
        <w:jc w:val="both"/>
        <w:rPr>
          <w:b/>
          <w:sz w:val="24"/>
          <w:szCs w:val="24"/>
        </w:rPr>
      </w:pPr>
      <w:r>
        <w:rPr>
          <w:b/>
          <w:sz w:val="24"/>
          <w:szCs w:val="24"/>
        </w:rPr>
        <w:lastRenderedPageBreak/>
        <w:t>Bilanca</w:t>
      </w:r>
    </w:p>
    <w:tbl>
      <w:tblPr>
        <w:tblW w:type="pct" w:w="5648"/>
        <w:tblInd w:type="dxa" w:w="-572"/>
        <w:tblLook w:val="04A0" w:noVBand="1" w:noHBand="0" w:lastColumn="0" w:firstColumn="1" w:lastRow="0" w:firstRow="1"/>
      </w:tblPr>
      <w:tblGrid>
        <w:gridCol w:w="5960"/>
        <w:gridCol w:w="1133"/>
        <w:gridCol w:w="1133"/>
        <w:gridCol w:w="1133"/>
        <w:gridCol w:w="1133"/>
      </w:tblGrid>
      <w:tr w:rsidTr="001E3364" w:rsidR="001E3364">
        <w:trPr>
          <w:trHeight w:val="19"/>
          <w:tblHeader/>
        </w:trPr>
        <w:tc>
          <w:tcPr>
            <w:tcW w:type="pct" w:w="2839"/>
            <w:tcBorders>
              <w:top w:space="0" w:sz="4" w:color="auto" w:val="single"/>
              <w:left w:space="0" w:sz="4" w:color="auto" w:val="single"/>
              <w:bottom w:val="nil"/>
              <w:right w:val="nil"/>
            </w:tcBorders>
            <w:shd w:fill="969696" w:color="auto" w:val="clear"/>
            <w:vAlign w:val="center"/>
            <w:hideMark/>
          </w:tcPr>
          <w:p w:rsidRDefault="001E3364" w:rsidR="001E3364">
            <w:pPr>
              <w:spacing w:lineRule="auto" w:line="240" w:after="0"/>
              <w:jc w:val="center"/>
              <w:rPr>
                <w:rFonts w:cs="Arial" w:eastAsia="Times New Roman" w:hAnsi="Arial" w:ascii="Arial"/>
                <w:b/>
                <w:bCs/>
                <w:color w:val="FFFFFF"/>
                <w:sz w:val="16"/>
                <w:szCs w:val="16"/>
                <w:lang w:eastAsia="hr-HR"/>
              </w:rPr>
            </w:pPr>
            <w:r>
              <w:rPr>
                <w:rFonts w:cs="Arial" w:eastAsia="Times New Roman" w:hAnsi="Arial" w:ascii="Arial"/>
                <w:b/>
                <w:bCs/>
                <w:color w:val="FFFFFF"/>
                <w:sz w:val="16"/>
                <w:szCs w:val="16"/>
                <w:lang w:eastAsia="hr-HR"/>
              </w:rPr>
              <w:t>Naziv pozicije</w:t>
            </w:r>
          </w:p>
        </w:tc>
        <w:tc>
          <w:tcPr>
            <w:tcW w:type="pct" w:w="540"/>
            <w:tcBorders>
              <w:top w:space="0" w:sz="4" w:color="auto" w:val="single"/>
              <w:left w:space="0" w:sz="4" w:color="auto" w:val="single"/>
              <w:bottom w:val="nil"/>
              <w:right w:val="nil"/>
            </w:tcBorders>
            <w:shd w:fill="969696" w:color="auto" w:val="clear"/>
            <w:vAlign w:val="center"/>
            <w:hideMark/>
          </w:tcPr>
          <w:p w:rsidRDefault="001E3364" w:rsidR="001E3364">
            <w:pPr>
              <w:spacing w:lineRule="auto" w:line="240" w:after="0"/>
              <w:jc w:val="center"/>
              <w:rPr>
                <w:rFonts w:cs="Arial" w:eastAsia="Times New Roman" w:hAnsi="Arial" w:ascii="Arial"/>
                <w:b/>
                <w:bCs/>
                <w:color w:val="FFFFFF"/>
                <w:sz w:val="16"/>
                <w:szCs w:val="16"/>
                <w:lang w:eastAsia="hr-HR"/>
              </w:rPr>
            </w:pPr>
            <w:r>
              <w:rPr>
                <w:rFonts w:cs="Arial" w:eastAsia="Times New Roman" w:hAnsi="Arial" w:ascii="Arial"/>
                <w:b/>
                <w:bCs/>
                <w:color w:val="FFFFFF"/>
                <w:sz w:val="16"/>
                <w:szCs w:val="16"/>
                <w:lang w:eastAsia="hr-HR"/>
              </w:rPr>
              <w:t>31.12.2015.</w:t>
            </w:r>
          </w:p>
        </w:tc>
        <w:tc>
          <w:tcPr>
            <w:tcW w:type="pct" w:w="540"/>
            <w:tcBorders>
              <w:top w:space="0" w:sz="4" w:color="auto" w:val="single"/>
              <w:left w:space="0" w:sz="4" w:color="auto" w:val="single"/>
              <w:bottom w:val="nil"/>
              <w:right w:val="nil"/>
            </w:tcBorders>
            <w:shd w:fill="969696" w:color="auto" w:val="clear"/>
            <w:vAlign w:val="center"/>
            <w:hideMark/>
          </w:tcPr>
          <w:p w:rsidRDefault="001E3364" w:rsidR="001E3364">
            <w:pPr>
              <w:spacing w:lineRule="auto" w:line="240" w:after="0"/>
              <w:jc w:val="center"/>
              <w:rPr>
                <w:rFonts w:cs="Arial" w:eastAsia="Times New Roman" w:hAnsi="Arial" w:ascii="Arial"/>
                <w:b/>
                <w:bCs/>
                <w:color w:val="FFFFFF"/>
                <w:sz w:val="16"/>
                <w:szCs w:val="16"/>
                <w:lang w:eastAsia="hr-HR"/>
              </w:rPr>
            </w:pPr>
            <w:r>
              <w:rPr>
                <w:rFonts w:cs="Arial" w:eastAsia="Times New Roman" w:hAnsi="Arial" w:ascii="Arial"/>
                <w:b/>
                <w:bCs/>
                <w:color w:val="FFFFFF"/>
                <w:sz w:val="16"/>
                <w:szCs w:val="16"/>
                <w:lang w:eastAsia="hr-HR"/>
              </w:rPr>
              <w:t>31.12.2016.</w:t>
            </w:r>
          </w:p>
        </w:tc>
        <w:tc>
          <w:tcPr>
            <w:tcW w:type="pct" w:w="540"/>
            <w:tcBorders>
              <w:top w:space="0" w:sz="4" w:color="auto" w:val="single"/>
              <w:left w:space="0" w:sz="4" w:color="auto" w:val="single"/>
              <w:bottom w:val="nil"/>
              <w:right w:space="0" w:sz="4" w:color="auto" w:val="single"/>
            </w:tcBorders>
            <w:shd w:fill="969696" w:color="auto" w:val="clear"/>
            <w:vAlign w:val="center"/>
            <w:hideMark/>
          </w:tcPr>
          <w:p w:rsidRDefault="001E3364" w:rsidR="001E3364">
            <w:pPr>
              <w:spacing w:lineRule="auto" w:line="240" w:after="0"/>
              <w:jc w:val="center"/>
              <w:rPr>
                <w:rFonts w:cs="Arial" w:eastAsia="Times New Roman" w:hAnsi="Arial" w:ascii="Arial"/>
                <w:b/>
                <w:bCs/>
                <w:color w:val="FFFFFF"/>
                <w:sz w:val="16"/>
                <w:szCs w:val="16"/>
                <w:lang w:eastAsia="hr-HR"/>
              </w:rPr>
            </w:pPr>
            <w:r>
              <w:rPr>
                <w:rFonts w:cs="Arial" w:eastAsia="Times New Roman" w:hAnsi="Arial" w:ascii="Arial"/>
                <w:b/>
                <w:bCs/>
                <w:color w:val="FFFFFF"/>
                <w:sz w:val="16"/>
                <w:szCs w:val="16"/>
                <w:lang w:eastAsia="hr-HR"/>
              </w:rPr>
              <w:t>31.12.2017.</w:t>
            </w:r>
          </w:p>
        </w:tc>
        <w:tc>
          <w:tcPr>
            <w:tcW w:type="pct" w:w="540"/>
            <w:tcBorders>
              <w:top w:space="0" w:sz="4" w:color="auto" w:val="single"/>
              <w:left w:val="nil"/>
              <w:bottom w:val="nil"/>
              <w:right w:space="0" w:sz="4" w:color="auto" w:val="single"/>
            </w:tcBorders>
            <w:shd w:fill="969696" w:color="auto" w:val="clear"/>
            <w:vAlign w:val="center"/>
            <w:hideMark/>
          </w:tcPr>
          <w:p w:rsidRDefault="001E3364" w:rsidR="001E3364">
            <w:pPr>
              <w:spacing w:lineRule="auto" w:line="240" w:after="0"/>
              <w:jc w:val="center"/>
              <w:rPr>
                <w:rFonts w:cs="Arial" w:eastAsia="Times New Roman" w:hAnsi="Arial" w:ascii="Arial"/>
                <w:b/>
                <w:bCs/>
                <w:color w:val="FFFFFF"/>
                <w:sz w:val="16"/>
                <w:szCs w:val="16"/>
                <w:lang w:eastAsia="hr-HR"/>
              </w:rPr>
            </w:pPr>
            <w:r>
              <w:rPr>
                <w:rFonts w:cs="Arial" w:eastAsia="Times New Roman" w:hAnsi="Arial" w:ascii="Arial"/>
                <w:b/>
                <w:bCs/>
                <w:color w:val="FFFFFF"/>
                <w:sz w:val="16"/>
                <w:szCs w:val="16"/>
                <w:lang w:eastAsia="hr-HR"/>
              </w:rPr>
              <w:t>6.7.2018.</w:t>
            </w:r>
          </w:p>
        </w:tc>
      </w:tr>
      <w:tr w:rsidTr="001E3364" w:rsidR="001E3364">
        <w:trPr>
          <w:trHeight w:val="19"/>
        </w:trPr>
        <w:tc>
          <w:tcPr>
            <w:tcW w:type="pct" w:w="2839"/>
            <w:tcBorders>
              <w:top w:space="0" w:sz="4" w:color="auto" w:val="single"/>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b/>
                <w:bCs/>
                <w:color w:val="000080"/>
                <w:sz w:val="16"/>
                <w:szCs w:val="16"/>
                <w:lang w:eastAsia="hr-HR"/>
              </w:rPr>
            </w:pPr>
            <w:r>
              <w:rPr>
                <w:rFonts w:cs="Arial" w:eastAsia="Times New Roman" w:hAnsi="Arial" w:ascii="Arial"/>
                <w:b/>
                <w:bCs/>
                <w:color w:val="000080"/>
                <w:sz w:val="16"/>
                <w:szCs w:val="16"/>
                <w:lang w:eastAsia="hr-HR"/>
              </w:rPr>
              <w:t>AKTIVA</w:t>
            </w:r>
          </w:p>
        </w:tc>
        <w:tc>
          <w:tcPr>
            <w:tcW w:type="pct" w:w="540"/>
            <w:tcBorders>
              <w:top w:space="0" w:sz="4" w:color="auto" w:val="single"/>
              <w:left w:val="nil"/>
              <w:bottom w:space="0" w:sz="4" w:color="auto" w:val="single"/>
              <w:right w:val="nil"/>
            </w:tcBorders>
            <w:noWrap/>
            <w:vAlign w:val="bottom"/>
            <w:hideMark/>
          </w:tcPr>
          <w:p w:rsidRDefault="001E3364" w:rsidR="001E3364">
            <w:pPr>
              <w:spacing w:lineRule="auto" w:line="240" w:after="0"/>
              <w:rPr>
                <w:rFonts w:cs="Arial" w:eastAsia="Times New Roman" w:hAnsi="Arial" w:ascii="Arial"/>
                <w:color w:val="000000"/>
                <w:sz w:val="16"/>
                <w:szCs w:val="16"/>
                <w:lang w:eastAsia="hr-HR"/>
              </w:rPr>
            </w:pPr>
            <w:r>
              <w:rPr>
                <w:rFonts w:cs="Arial" w:eastAsia="Times New Roman" w:hAnsi="Arial" w:ascii="Arial"/>
                <w:color w:val="000000"/>
                <w:sz w:val="16"/>
                <w:szCs w:val="16"/>
                <w:lang w:eastAsia="hr-HR"/>
              </w:rPr>
              <w:t> </w:t>
            </w:r>
          </w:p>
        </w:tc>
        <w:tc>
          <w:tcPr>
            <w:tcW w:type="pct" w:w="540"/>
            <w:tcBorders>
              <w:top w:space="0" w:sz="4" w:color="auto" w:val="single"/>
              <w:left w:val="nil"/>
              <w:bottom w:space="0" w:sz="4" w:color="auto" w:val="single"/>
              <w:right w:val="nil"/>
            </w:tcBorders>
            <w:noWrap/>
            <w:vAlign w:val="bottom"/>
            <w:hideMark/>
          </w:tcPr>
          <w:p w:rsidRDefault="001E3364" w:rsidR="001E3364">
            <w:pPr>
              <w:spacing w:lineRule="auto" w:line="240" w:after="0"/>
              <w:rPr>
                <w:rFonts w:cs="Arial" w:eastAsia="Times New Roman" w:hAnsi="Arial" w:ascii="Arial"/>
                <w:color w:val="000000"/>
                <w:sz w:val="16"/>
                <w:szCs w:val="16"/>
                <w:lang w:eastAsia="hr-HR"/>
              </w:rPr>
            </w:pPr>
            <w:r>
              <w:rPr>
                <w:rFonts w:cs="Arial" w:eastAsia="Times New Roman" w:hAnsi="Arial" w:ascii="Arial"/>
                <w:color w:val="000000"/>
                <w:sz w:val="16"/>
                <w:szCs w:val="16"/>
                <w:lang w:eastAsia="hr-HR"/>
              </w:rPr>
              <w:t> </w:t>
            </w:r>
          </w:p>
        </w:tc>
        <w:tc>
          <w:tcPr>
            <w:tcW w:type="pct" w:w="540"/>
            <w:tcBorders>
              <w:top w:space="0" w:sz="4" w:color="auto" w:val="single"/>
              <w:left w:val="nil"/>
              <w:bottom w:space="0" w:sz="4" w:color="auto" w:val="single"/>
              <w:right w:val="nil"/>
            </w:tcBorders>
            <w:noWrap/>
            <w:vAlign w:val="bottom"/>
            <w:hideMark/>
          </w:tcPr>
          <w:p w:rsidRDefault="001E3364" w:rsidR="001E3364">
            <w:pPr>
              <w:spacing w:lineRule="auto" w:line="240" w:after="0"/>
              <w:rPr>
                <w:rFonts w:cs="Arial" w:eastAsia="Times New Roman" w:hAnsi="Arial" w:ascii="Arial"/>
                <w:color w:val="000000"/>
                <w:sz w:val="16"/>
                <w:szCs w:val="16"/>
                <w:lang w:eastAsia="hr-HR"/>
              </w:rPr>
            </w:pPr>
            <w:r>
              <w:rPr>
                <w:rFonts w:cs="Arial" w:eastAsia="Times New Roman" w:hAnsi="Arial" w:ascii="Arial"/>
                <w:color w:val="000000"/>
                <w:sz w:val="16"/>
                <w:szCs w:val="16"/>
                <w:lang w:eastAsia="hr-HR"/>
              </w:rPr>
              <w:t> </w:t>
            </w:r>
          </w:p>
        </w:tc>
        <w:tc>
          <w:tcPr>
            <w:tcW w:type="pct" w:w="540"/>
            <w:tcBorders>
              <w:top w:space="0" w:sz="4" w:color="auto" w:val="single"/>
              <w:left w:val="nil"/>
              <w:bottom w:space="0" w:sz="4" w:color="auto" w:val="single"/>
              <w:right w:space="0" w:sz="4" w:color="auto" w:val="single"/>
            </w:tcBorders>
            <w:noWrap/>
            <w:vAlign w:val="bottom"/>
            <w:hideMark/>
          </w:tcPr>
          <w:p w:rsidRDefault="001E3364" w:rsidR="001E3364">
            <w:pPr>
              <w:spacing w:lineRule="auto" w:line="240" w:after="0"/>
              <w:rPr>
                <w:rFonts w:cs="Arial" w:eastAsia="Times New Roman" w:hAnsi="Arial" w:ascii="Arial"/>
                <w:color w:val="000000"/>
                <w:sz w:val="16"/>
                <w:szCs w:val="16"/>
                <w:lang w:eastAsia="hr-HR"/>
              </w:rPr>
            </w:pPr>
            <w:r>
              <w:rPr>
                <w:rFonts w:cs="Arial" w:eastAsia="Times New Roman" w:hAnsi="Arial" w:ascii="Arial"/>
                <w:color w:val="000000"/>
                <w:sz w:val="16"/>
                <w:szCs w:val="16"/>
                <w:lang w:eastAsia="hr-HR"/>
              </w:rPr>
              <w:t> </w:t>
            </w:r>
          </w:p>
        </w:tc>
      </w:tr>
      <w:tr w:rsidTr="001E3364" w:rsidR="001E3364">
        <w:trPr>
          <w:trHeight w:val="19"/>
        </w:trPr>
        <w:tc>
          <w:tcPr>
            <w:tcW w:type="pct" w:w="2839"/>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Arial" w:eastAsia="Times New Roman" w:hAnsi="Arial" w:ascii="Arial"/>
                <w:b/>
                <w:bCs/>
                <w:color w:val="333399"/>
                <w:sz w:val="16"/>
                <w:szCs w:val="16"/>
                <w:lang w:eastAsia="hr-HR"/>
              </w:rPr>
            </w:pPr>
            <w:r>
              <w:rPr>
                <w:rFonts w:cs="Arial" w:eastAsia="Times New Roman" w:hAnsi="Arial" w:ascii="Arial"/>
                <w:b/>
                <w:bCs/>
                <w:color w:val="333399"/>
                <w:sz w:val="16"/>
                <w:szCs w:val="16"/>
                <w:lang w:eastAsia="hr-HR"/>
              </w:rPr>
              <w:t>A)  POTRAŽIVANJA ZA UPISANI A NEUPLAĆENI KAPITAL</w:t>
            </w:r>
          </w:p>
        </w:tc>
        <w:tc>
          <w:tcPr>
            <w:tcW w:type="pct" w:w="540"/>
            <w:tcBorders>
              <w:top w:space="0" w:sz="4" w:color="auto" w:val="single"/>
              <w:left w:space="0" w:sz="4" w:color="auto" w:val="single"/>
              <w:bottom w:space="0" w:sz="4" w:color="auto" w:val="single"/>
              <w:right w:space="0" w:sz="4" w:color="auto" w:val="single"/>
            </w:tcBorders>
            <w:noWrap/>
            <w:vAlign w:val="bottom"/>
            <w:hideMark/>
          </w:tcPr>
          <w:p w:rsidRDefault="001E3364" w:rsidR="001E3364">
            <w:pPr>
              <w:spacing w:after="0"/>
              <w:rPr>
                <w:rFonts w:cs="Times New Roman"/>
              </w:rPr>
            </w:pPr>
          </w:p>
        </w:tc>
        <w:tc>
          <w:tcPr>
            <w:tcW w:type="pct" w:w="540"/>
            <w:tcBorders>
              <w:top w:space="0" w:sz="4" w:color="auto" w:val="single"/>
              <w:left w:space="0" w:sz="4" w:color="auto" w:val="single"/>
              <w:bottom w:space="0" w:sz="4" w:color="auto" w:val="single"/>
              <w:right w:space="0" w:sz="4" w:color="auto" w:val="single"/>
            </w:tcBorders>
            <w:noWrap/>
            <w:vAlign w:val="bottom"/>
            <w:hideMark/>
          </w:tcPr>
          <w:p w:rsidRDefault="001E3364" w:rsidR="001E3364">
            <w:pPr>
              <w:spacing w:after="0"/>
              <w:rPr>
                <w:rFonts w:cs="Times New Roman"/>
              </w:rPr>
            </w:pPr>
          </w:p>
        </w:tc>
        <w:tc>
          <w:tcPr>
            <w:tcW w:type="pct" w:w="540"/>
            <w:tcBorders>
              <w:top w:space="0" w:sz="4" w:color="auto" w:val="single"/>
              <w:left w:space="0" w:sz="4" w:color="auto" w:val="single"/>
              <w:bottom w:space="0" w:sz="4" w:color="auto" w:val="single"/>
              <w:right w:space="0" w:sz="4" w:color="auto" w:val="single"/>
            </w:tcBorders>
            <w:noWrap/>
            <w:vAlign w:val="bottom"/>
            <w:hideMark/>
          </w:tcPr>
          <w:p w:rsidRDefault="001E3364" w:rsidR="001E3364">
            <w:pPr>
              <w:spacing w:lineRule="auto" w:line="240" w:after="0"/>
              <w:rPr>
                <w:rFonts w:cs="Arial" w:eastAsia="Times New Roman" w:hAnsi="Arial" w:ascii="Arial"/>
                <w:color w:val="000000"/>
                <w:sz w:val="16"/>
                <w:szCs w:val="16"/>
                <w:lang w:eastAsia="hr-HR"/>
              </w:rPr>
            </w:pPr>
            <w:r>
              <w:rPr>
                <w:rFonts w:cs="Arial" w:eastAsia="Times New Roman" w:hAnsi="Arial" w:ascii="Arial"/>
                <w:color w:val="000000"/>
                <w:sz w:val="16"/>
                <w:szCs w:val="16"/>
                <w:lang w:eastAsia="hr-HR"/>
              </w:rPr>
              <w:t> </w:t>
            </w:r>
          </w:p>
        </w:tc>
        <w:tc>
          <w:tcPr>
            <w:tcW w:type="pct" w:w="540"/>
            <w:tcBorders>
              <w:top w:space="0" w:sz="4" w:color="auto" w:val="single"/>
              <w:left w:space="0" w:sz="4" w:color="auto" w:val="single"/>
              <w:bottom w:space="0" w:sz="4" w:color="auto" w:val="single"/>
              <w:right w:space="0" w:sz="4" w:color="auto" w:val="single"/>
            </w:tcBorders>
            <w:noWrap/>
            <w:vAlign w:val="bottom"/>
            <w:hideMark/>
          </w:tcPr>
          <w:p w:rsidRDefault="001E3364" w:rsidR="001E3364">
            <w:pPr>
              <w:spacing w:lineRule="auto" w:line="240" w:after="0"/>
              <w:rPr>
                <w:rFonts w:cs="Arial" w:eastAsia="Times New Roman" w:hAnsi="Arial" w:ascii="Arial"/>
                <w:color w:val="000000"/>
                <w:sz w:val="16"/>
                <w:szCs w:val="16"/>
                <w:lang w:eastAsia="hr-HR"/>
              </w:rPr>
            </w:pPr>
            <w:r>
              <w:rPr>
                <w:rFonts w:cs="Arial" w:eastAsia="Times New Roman" w:hAnsi="Arial" w:ascii="Arial"/>
                <w:color w:val="000000"/>
                <w:sz w:val="16"/>
                <w:szCs w:val="16"/>
                <w:lang w:eastAsia="hr-HR"/>
              </w:rPr>
              <w:t> </w:t>
            </w:r>
          </w:p>
        </w:tc>
      </w:tr>
      <w:tr w:rsidTr="001E3364" w:rsidR="001E3364">
        <w:trPr>
          <w:trHeight w:val="19"/>
        </w:trPr>
        <w:tc>
          <w:tcPr>
            <w:tcW w:type="pct" w:w="2839"/>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Arial" w:eastAsia="Times New Roman" w:hAnsi="Arial" w:ascii="Arial"/>
                <w:b/>
                <w:bCs/>
                <w:color w:val="333399"/>
                <w:sz w:val="16"/>
                <w:szCs w:val="16"/>
                <w:lang w:eastAsia="hr-HR"/>
              </w:rPr>
            </w:pPr>
            <w:r>
              <w:rPr>
                <w:rFonts w:cs="Arial" w:eastAsia="Times New Roman" w:hAnsi="Arial" w:ascii="Arial"/>
                <w:b/>
                <w:bCs/>
                <w:color w:val="333399"/>
                <w:sz w:val="16"/>
                <w:szCs w:val="16"/>
                <w:lang w:eastAsia="hr-HR"/>
              </w:rPr>
              <w:t>B)  DUGOTRAJNA IMOVINA</w:t>
            </w:r>
          </w:p>
        </w:tc>
        <w:tc>
          <w:tcPr>
            <w:tcW w:type="pct" w:w="540"/>
            <w:tcBorders>
              <w:top w:space="0" w:sz="4" w:color="auto" w:val="single"/>
              <w:left w:val="nil"/>
              <w:bottom w:space="0" w:sz="4" w:color="auto"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144.683.903</w:t>
            </w:r>
          </w:p>
        </w:tc>
        <w:tc>
          <w:tcPr>
            <w:tcW w:type="pct" w:w="540"/>
            <w:tcBorders>
              <w:top w:space="0" w:sz="4" w:color="auto" w:val="single"/>
              <w:left w:val="nil"/>
              <w:bottom w:space="0" w:sz="4" w:color="auto"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117.120.225</w:t>
            </w:r>
          </w:p>
        </w:tc>
        <w:tc>
          <w:tcPr>
            <w:tcW w:type="pct" w:w="540"/>
            <w:tcBorders>
              <w:top w:space="0" w:sz="4" w:color="auto" w:val="single"/>
              <w:left w:val="nil"/>
              <w:bottom w:space="0" w:sz="4" w:color="auto"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104.717.184</w:t>
            </w:r>
          </w:p>
        </w:tc>
        <w:tc>
          <w:tcPr>
            <w:tcW w:type="pct" w:w="540"/>
            <w:tcBorders>
              <w:top w:space="0" w:sz="4" w:color="auto" w:val="single"/>
              <w:left w:val="nil"/>
              <w:bottom w:space="0" w:sz="4" w:color="auto"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88.789.805</w:t>
            </w:r>
          </w:p>
        </w:tc>
      </w:tr>
      <w:tr w:rsidTr="001E3364" w:rsidR="001E3364">
        <w:trPr>
          <w:trHeight w:val="19"/>
        </w:trPr>
        <w:tc>
          <w:tcPr>
            <w:tcW w:type="pct" w:w="2839"/>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Arial" w:eastAsia="Times New Roman" w:hAnsi="Arial" w:ascii="Arial"/>
                <w:color w:val="0000FF"/>
                <w:sz w:val="16"/>
                <w:szCs w:val="16"/>
                <w:lang w:eastAsia="hr-HR"/>
              </w:rPr>
            </w:pPr>
            <w:r>
              <w:rPr>
                <w:rFonts w:cs="Arial" w:eastAsia="Times New Roman" w:hAnsi="Arial" w:ascii="Arial"/>
                <w:color w:val="0000FF"/>
                <w:sz w:val="16"/>
                <w:szCs w:val="16"/>
                <w:lang w:eastAsia="hr-HR"/>
              </w:rPr>
              <w:t>I. NEMATERIJALNA IMOVINA</w:t>
            </w:r>
          </w:p>
        </w:tc>
        <w:tc>
          <w:tcPr>
            <w:tcW w:type="pct" w:w="540"/>
            <w:tcBorders>
              <w:top w:space="0" w:sz="4" w:color="auto" w:val="single"/>
              <w:left w:val="nil"/>
              <w:bottom w:space="0" w:sz="4" w:color="auto"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109.242</w:t>
            </w:r>
          </w:p>
        </w:tc>
        <w:tc>
          <w:tcPr>
            <w:tcW w:type="pct" w:w="540"/>
            <w:tcBorders>
              <w:top w:space="0" w:sz="4" w:color="auto" w:val="single"/>
              <w:left w:val="nil"/>
              <w:bottom w:space="0" w:sz="4" w:color="auto"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42.098</w:t>
            </w:r>
          </w:p>
        </w:tc>
        <w:tc>
          <w:tcPr>
            <w:tcW w:type="pct" w:w="540"/>
            <w:tcBorders>
              <w:top w:space="0" w:sz="4" w:color="auto" w:val="single"/>
              <w:left w:val="nil"/>
              <w:bottom w:space="0" w:sz="4" w:color="auto"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0</w:t>
            </w:r>
          </w:p>
        </w:tc>
        <w:tc>
          <w:tcPr>
            <w:tcW w:type="pct" w:w="540"/>
            <w:tcBorders>
              <w:top w:space="0" w:sz="4" w:color="auto" w:val="single"/>
              <w:left w:val="nil"/>
              <w:bottom w:space="0" w:sz="4" w:color="auto"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0</w:t>
            </w:r>
          </w:p>
        </w:tc>
      </w:tr>
      <w:tr w:rsidTr="001E3364" w:rsidR="001E3364">
        <w:trPr>
          <w:trHeight w:val="19"/>
        </w:trPr>
        <w:tc>
          <w:tcPr>
            <w:tcW w:type="pct" w:w="2839"/>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1. Izdaci za razvoj</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1E3364" w:rsidR="001E3364">
        <w:trPr>
          <w:trHeight w:val="19"/>
        </w:trPr>
        <w:tc>
          <w:tcPr>
            <w:tcW w:type="pct" w:w="2839"/>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2. Koncesije, patenti, licencije, robne i uslužne marke, softver</w:t>
            </w:r>
            <w:r>
              <w:rPr>
                <w:rFonts w:cs="Arial" w:eastAsia="Times New Roman" w:hAnsi="Arial" w:ascii="Arial"/>
                <w:sz w:val="16"/>
                <w:szCs w:val="16"/>
                <w:lang w:eastAsia="hr-HR"/>
              </w:rPr>
              <w:br/>
              <w:t xml:space="preserve">        i ostala prava</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3.998</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1E3364" w:rsidR="001E3364">
        <w:trPr>
          <w:trHeight w:val="19"/>
        </w:trPr>
        <w:tc>
          <w:tcPr>
            <w:tcW w:type="pct" w:w="2839"/>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3. Goodwill</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105.244</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42.098</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1E3364" w:rsidR="001E3364">
        <w:trPr>
          <w:trHeight w:val="19"/>
        </w:trPr>
        <w:tc>
          <w:tcPr>
            <w:tcW w:type="pct" w:w="2839"/>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4. Predujmovi za nabavu nematerijalne imovine</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1E3364" w:rsidR="001E3364">
        <w:trPr>
          <w:trHeight w:val="19"/>
        </w:trPr>
        <w:tc>
          <w:tcPr>
            <w:tcW w:type="pct" w:w="2839"/>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ind w:firstLine="687" w:left="-687"/>
              <w:rPr>
                <w:rFonts w:cs="Arial" w:eastAsia="Times New Roman" w:hAnsi="Arial" w:ascii="Arial"/>
                <w:sz w:val="16"/>
                <w:szCs w:val="16"/>
                <w:lang w:eastAsia="hr-HR"/>
              </w:rPr>
            </w:pPr>
            <w:r>
              <w:rPr>
                <w:rFonts w:cs="Arial" w:eastAsia="Times New Roman" w:hAnsi="Arial" w:ascii="Arial"/>
                <w:sz w:val="16"/>
                <w:szCs w:val="16"/>
                <w:lang w:eastAsia="hr-HR"/>
              </w:rPr>
              <w:t xml:space="preserve">    5. Nematerijalna imovina u pripremi</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1E3364" w:rsidR="001E3364">
        <w:trPr>
          <w:trHeight w:val="19"/>
        </w:trPr>
        <w:tc>
          <w:tcPr>
            <w:tcW w:type="pct" w:w="2839"/>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6. Ostala nematerijalna imovina</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1E3364" w:rsidR="001E3364">
        <w:trPr>
          <w:trHeight w:val="19"/>
        </w:trPr>
        <w:tc>
          <w:tcPr>
            <w:tcW w:type="pct" w:w="2839"/>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Arial" w:eastAsia="Times New Roman" w:hAnsi="Arial" w:ascii="Arial"/>
                <w:color w:val="0000FF"/>
                <w:sz w:val="16"/>
                <w:szCs w:val="16"/>
                <w:lang w:eastAsia="hr-HR"/>
              </w:rPr>
            </w:pPr>
            <w:r>
              <w:rPr>
                <w:rFonts w:cs="Arial" w:eastAsia="Times New Roman" w:hAnsi="Arial" w:ascii="Arial"/>
                <w:color w:val="0000FF"/>
                <w:sz w:val="16"/>
                <w:szCs w:val="16"/>
                <w:lang w:eastAsia="hr-HR"/>
              </w:rPr>
              <w:t>II. MATERIJALNA IMOVINA</w:t>
            </w:r>
          </w:p>
        </w:tc>
        <w:tc>
          <w:tcPr>
            <w:tcW w:type="pct" w:w="540"/>
            <w:tcBorders>
              <w:top w:space="0" w:sz="4" w:color="auto" w:val="single"/>
              <w:left w:val="nil"/>
              <w:bottom w:space="0" w:sz="4" w:color="auto"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143.727.954</w:t>
            </w:r>
          </w:p>
        </w:tc>
        <w:tc>
          <w:tcPr>
            <w:tcW w:type="pct" w:w="540"/>
            <w:tcBorders>
              <w:top w:space="0" w:sz="4" w:color="auto" w:val="single"/>
              <w:left w:val="nil"/>
              <w:bottom w:space="0" w:sz="4" w:color="auto"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117.042.558</w:t>
            </w:r>
          </w:p>
        </w:tc>
        <w:tc>
          <w:tcPr>
            <w:tcW w:type="pct" w:w="540"/>
            <w:tcBorders>
              <w:top w:space="0" w:sz="4" w:color="auto" w:val="single"/>
              <w:left w:val="nil"/>
              <w:bottom w:space="0" w:sz="4" w:color="auto"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104.681.615</w:t>
            </w:r>
          </w:p>
        </w:tc>
        <w:tc>
          <w:tcPr>
            <w:tcW w:type="pct" w:w="540"/>
            <w:tcBorders>
              <w:top w:space="0" w:sz="4" w:color="auto" w:val="single"/>
              <w:left w:val="nil"/>
              <w:bottom w:space="0" w:sz="4" w:color="auto"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88.758.868</w:t>
            </w:r>
          </w:p>
        </w:tc>
      </w:tr>
      <w:tr w:rsidTr="001E3364" w:rsidR="001E3364">
        <w:trPr>
          <w:trHeight w:val="19"/>
        </w:trPr>
        <w:tc>
          <w:tcPr>
            <w:tcW w:type="pct" w:w="2839"/>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1. Zemljište</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36.503.792</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23.127.506</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23.165.506</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23.165.506</w:t>
            </w:r>
          </w:p>
        </w:tc>
      </w:tr>
      <w:tr w:rsidTr="001E3364" w:rsidR="001E3364">
        <w:trPr>
          <w:trHeight w:val="19"/>
        </w:trPr>
        <w:tc>
          <w:tcPr>
            <w:tcW w:type="pct" w:w="2839"/>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2. Građevinski objekti</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72.508.677</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58.533.019</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56.841.365</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55.945.665</w:t>
            </w:r>
          </w:p>
        </w:tc>
      </w:tr>
      <w:tr w:rsidTr="001E3364" w:rsidR="001E3364">
        <w:trPr>
          <w:trHeight w:val="19"/>
        </w:trPr>
        <w:tc>
          <w:tcPr>
            <w:tcW w:type="pct" w:w="2839"/>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3. Postrojenja i oprema </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30.430.660</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29.276.958</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16.480.897</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4.165.009</w:t>
            </w:r>
          </w:p>
        </w:tc>
      </w:tr>
      <w:tr w:rsidTr="001E3364" w:rsidR="001E3364">
        <w:trPr>
          <w:trHeight w:val="19"/>
        </w:trPr>
        <w:tc>
          <w:tcPr>
            <w:tcW w:type="pct" w:w="2839"/>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4. Alati, pogonski inventar i transportna imovina</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3.010.433</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4.087.665</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4.935.343</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2.224.184</w:t>
            </w:r>
          </w:p>
        </w:tc>
      </w:tr>
      <w:tr w:rsidTr="001E3364" w:rsidR="001E3364">
        <w:trPr>
          <w:trHeight w:val="19"/>
        </w:trPr>
        <w:tc>
          <w:tcPr>
            <w:tcW w:type="pct" w:w="2839"/>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5. Biološka imovina</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0"/>
            <w:tcBorders>
              <w:top w:space="0" w:sz="4" w:color="auto" w:val="single"/>
              <w:left w:val="nil"/>
              <w:bottom w:space="0" w:sz="4" w:color="auto" w:val="single"/>
              <w:right w:space="0" w:sz="4" w:color="auto" w:val="single"/>
            </w:tcBorders>
            <w:noWrap/>
            <w:vAlign w:val="center"/>
          </w:tcPr>
          <w:p w:rsidRDefault="001E3364" w:rsidR="001E3364">
            <w:pPr>
              <w:spacing w:lineRule="auto" w:line="240" w:after="0"/>
              <w:jc w:val="right"/>
              <w:rPr>
                <w:rFonts w:cs="Arial" w:eastAsia="Times New Roman" w:hAnsi="Arial" w:ascii="Arial"/>
                <w:sz w:val="16"/>
                <w:szCs w:val="16"/>
                <w:lang w:eastAsia="hr-HR"/>
              </w:rPr>
            </w:pPr>
          </w:p>
        </w:tc>
        <w:tc>
          <w:tcPr>
            <w:tcW w:type="pct" w:w="540"/>
            <w:tcBorders>
              <w:top w:space="0" w:sz="4" w:color="auto" w:val="single"/>
              <w:left w:val="nil"/>
              <w:bottom w:space="0" w:sz="4" w:color="auto" w:val="single"/>
              <w:right w:space="0" w:sz="4" w:color="auto" w:val="single"/>
            </w:tcBorders>
            <w:noWrap/>
            <w:vAlign w:val="center"/>
          </w:tcPr>
          <w:p w:rsidRDefault="001E3364" w:rsidR="001E3364">
            <w:pPr>
              <w:spacing w:lineRule="auto" w:line="240" w:after="0"/>
              <w:jc w:val="right"/>
              <w:rPr>
                <w:rFonts w:cs="Arial" w:eastAsia="Times New Roman" w:hAnsi="Arial" w:ascii="Arial"/>
                <w:sz w:val="16"/>
                <w:szCs w:val="16"/>
                <w:lang w:eastAsia="hr-HR"/>
              </w:rPr>
            </w:pPr>
          </w:p>
        </w:tc>
        <w:tc>
          <w:tcPr>
            <w:tcW w:type="pct" w:w="540"/>
            <w:tcBorders>
              <w:top w:space="0" w:sz="4" w:color="auto" w:val="single"/>
              <w:left w:val="nil"/>
              <w:bottom w:space="0" w:sz="4" w:color="auto" w:val="single"/>
              <w:right w:space="0" w:sz="4" w:color="auto" w:val="single"/>
            </w:tcBorders>
            <w:noWrap/>
            <w:vAlign w:val="center"/>
          </w:tcPr>
          <w:p w:rsidRDefault="001E3364" w:rsidR="001E3364">
            <w:pPr>
              <w:spacing w:lineRule="auto" w:line="240" w:after="0"/>
              <w:jc w:val="right"/>
              <w:rPr>
                <w:rFonts w:cs="Arial" w:eastAsia="Times New Roman" w:hAnsi="Arial" w:ascii="Arial"/>
                <w:sz w:val="16"/>
                <w:szCs w:val="16"/>
                <w:lang w:eastAsia="hr-HR"/>
              </w:rPr>
            </w:pPr>
          </w:p>
        </w:tc>
      </w:tr>
      <w:tr w:rsidTr="001E3364" w:rsidR="001E3364">
        <w:trPr>
          <w:trHeight w:val="19"/>
        </w:trPr>
        <w:tc>
          <w:tcPr>
            <w:tcW w:type="pct" w:w="2839"/>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6. Predujmovi za materijalnu imovinu</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1.569.785</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2.800.371</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2.800.371</w:t>
            </w:r>
          </w:p>
        </w:tc>
      </w:tr>
      <w:tr w:rsidTr="001E3364" w:rsidR="001E3364">
        <w:trPr>
          <w:trHeight w:val="19"/>
        </w:trPr>
        <w:tc>
          <w:tcPr>
            <w:tcW w:type="pct" w:w="2839"/>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7. Materijalna imovina u pripremi</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1.274.392</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447.625</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458.133</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458.133</w:t>
            </w:r>
          </w:p>
        </w:tc>
      </w:tr>
      <w:tr w:rsidTr="001E3364" w:rsidR="001E3364">
        <w:trPr>
          <w:trHeight w:val="19"/>
        </w:trPr>
        <w:tc>
          <w:tcPr>
            <w:tcW w:type="pct" w:w="2839"/>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8. Ostala materijalna imovina</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0"/>
            <w:tcBorders>
              <w:top w:space="0" w:sz="4" w:color="auto" w:val="single"/>
              <w:left w:val="nil"/>
              <w:bottom w:space="0" w:sz="4" w:color="auto" w:val="single"/>
              <w:right w:space="0" w:sz="4" w:color="auto" w:val="single"/>
            </w:tcBorders>
            <w:noWrap/>
            <w:vAlign w:val="center"/>
          </w:tcPr>
          <w:p w:rsidRDefault="001E3364" w:rsidR="001E3364">
            <w:pPr>
              <w:spacing w:lineRule="auto" w:line="240" w:after="0"/>
              <w:jc w:val="right"/>
              <w:rPr>
                <w:rFonts w:cs="Arial" w:eastAsia="Times New Roman" w:hAnsi="Arial" w:ascii="Arial"/>
                <w:sz w:val="16"/>
                <w:szCs w:val="16"/>
                <w:lang w:eastAsia="hr-HR"/>
              </w:rPr>
            </w:pPr>
          </w:p>
        </w:tc>
      </w:tr>
      <w:tr w:rsidTr="001E3364" w:rsidR="001E3364">
        <w:trPr>
          <w:trHeight w:val="19"/>
        </w:trPr>
        <w:tc>
          <w:tcPr>
            <w:tcW w:type="pct" w:w="2839"/>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9. Ulaganje u nekretnine</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0"/>
            <w:tcBorders>
              <w:top w:space="0" w:sz="4" w:color="auto" w:val="single"/>
              <w:left w:val="nil"/>
              <w:bottom w:space="0" w:sz="4" w:color="auto" w:val="single"/>
              <w:right w:space="0" w:sz="4" w:color="auto" w:val="single"/>
            </w:tcBorders>
            <w:noWrap/>
            <w:vAlign w:val="center"/>
          </w:tcPr>
          <w:p w:rsidRDefault="001E3364" w:rsidR="001E3364">
            <w:pPr>
              <w:spacing w:lineRule="auto" w:line="240" w:after="0"/>
              <w:jc w:val="right"/>
              <w:rPr>
                <w:rFonts w:cs="Arial" w:eastAsia="Times New Roman" w:hAnsi="Arial" w:ascii="Arial"/>
                <w:sz w:val="16"/>
                <w:szCs w:val="16"/>
                <w:lang w:eastAsia="hr-HR"/>
              </w:rPr>
            </w:pPr>
          </w:p>
        </w:tc>
      </w:tr>
      <w:tr w:rsidTr="001E3364" w:rsidR="001E3364">
        <w:trPr>
          <w:trHeight w:val="19"/>
        </w:trPr>
        <w:tc>
          <w:tcPr>
            <w:tcW w:type="pct" w:w="2839"/>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Arial" w:eastAsia="Times New Roman" w:hAnsi="Arial" w:ascii="Arial"/>
                <w:color w:val="0000FF"/>
                <w:sz w:val="16"/>
                <w:szCs w:val="16"/>
                <w:lang w:eastAsia="hr-HR"/>
              </w:rPr>
            </w:pPr>
            <w:r>
              <w:rPr>
                <w:rFonts w:cs="Arial" w:eastAsia="Times New Roman" w:hAnsi="Arial" w:ascii="Arial"/>
                <w:color w:val="0000FF"/>
                <w:sz w:val="16"/>
                <w:szCs w:val="16"/>
                <w:lang w:eastAsia="hr-HR"/>
              </w:rPr>
              <w:t>III. DUGOTRAJNA FINANCIJSKA IMOVINA</w:t>
            </w:r>
          </w:p>
        </w:tc>
        <w:tc>
          <w:tcPr>
            <w:tcW w:type="pct" w:w="540"/>
            <w:tcBorders>
              <w:top w:space="0" w:sz="4" w:color="auto" w:val="single"/>
              <w:left w:val="nil"/>
              <w:bottom w:space="0" w:sz="4" w:color="auto"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846.707</w:t>
            </w:r>
          </w:p>
        </w:tc>
        <w:tc>
          <w:tcPr>
            <w:tcW w:type="pct" w:w="540"/>
            <w:tcBorders>
              <w:top w:space="0" w:sz="4" w:color="auto" w:val="single"/>
              <w:left w:val="nil"/>
              <w:bottom w:space="0" w:sz="4" w:color="auto"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35.569</w:t>
            </w:r>
          </w:p>
        </w:tc>
        <w:tc>
          <w:tcPr>
            <w:tcW w:type="pct" w:w="540"/>
            <w:tcBorders>
              <w:top w:space="0" w:sz="4" w:color="auto" w:val="single"/>
              <w:left w:val="nil"/>
              <w:bottom w:space="0" w:sz="4" w:color="auto"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35.569</w:t>
            </w:r>
          </w:p>
        </w:tc>
        <w:tc>
          <w:tcPr>
            <w:tcW w:type="pct" w:w="540"/>
            <w:tcBorders>
              <w:top w:space="0" w:sz="4" w:color="auto" w:val="single"/>
              <w:left w:val="nil"/>
              <w:bottom w:space="0" w:sz="4" w:color="auto"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30.937</w:t>
            </w:r>
          </w:p>
        </w:tc>
      </w:tr>
      <w:tr w:rsidTr="001E3364" w:rsidR="001E3364">
        <w:trPr>
          <w:trHeight w:val="19"/>
        </w:trPr>
        <w:tc>
          <w:tcPr>
            <w:tcW w:type="pct" w:w="2839"/>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1. Ulaganja u udjele (dionice) poduzetnika unutar grupe</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0"/>
            <w:tcBorders>
              <w:top w:space="0" w:sz="4" w:color="auto" w:val="single"/>
              <w:left w:val="nil"/>
              <w:bottom w:space="0" w:sz="4" w:color="auto" w:val="single"/>
              <w:right w:space="0" w:sz="4" w:color="auto" w:val="single"/>
            </w:tcBorders>
            <w:noWrap/>
            <w:vAlign w:val="center"/>
          </w:tcPr>
          <w:p w:rsidRDefault="001E3364" w:rsidR="001E3364">
            <w:pPr>
              <w:spacing w:lineRule="auto" w:line="240" w:after="0"/>
              <w:jc w:val="right"/>
              <w:rPr>
                <w:rFonts w:cs="Arial" w:eastAsia="Times New Roman" w:hAnsi="Arial" w:ascii="Arial"/>
                <w:sz w:val="16"/>
                <w:szCs w:val="16"/>
                <w:lang w:eastAsia="hr-HR"/>
              </w:rPr>
            </w:pPr>
          </w:p>
        </w:tc>
      </w:tr>
      <w:tr w:rsidTr="001E3364" w:rsidR="001E3364">
        <w:trPr>
          <w:trHeight w:val="19"/>
        </w:trPr>
        <w:tc>
          <w:tcPr>
            <w:tcW w:type="pct" w:w="2839"/>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2. Ulaganja u ostale vrijednosne papire poduzetnika unutar grupe</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0"/>
            <w:tcBorders>
              <w:top w:space="0" w:sz="4" w:color="auto" w:val="single"/>
              <w:left w:val="nil"/>
              <w:bottom w:space="0" w:sz="4" w:color="auto" w:val="single"/>
              <w:right w:space="0" w:sz="4" w:color="auto" w:val="single"/>
            </w:tcBorders>
            <w:noWrap/>
            <w:vAlign w:val="center"/>
          </w:tcPr>
          <w:p w:rsidRDefault="001E3364" w:rsidR="001E3364">
            <w:pPr>
              <w:spacing w:lineRule="auto" w:line="240" w:after="0"/>
              <w:jc w:val="right"/>
              <w:rPr>
                <w:rFonts w:cs="Arial" w:eastAsia="Times New Roman" w:hAnsi="Arial" w:ascii="Arial"/>
                <w:sz w:val="16"/>
                <w:szCs w:val="16"/>
                <w:lang w:eastAsia="hr-HR"/>
              </w:rPr>
            </w:pPr>
          </w:p>
        </w:tc>
      </w:tr>
      <w:tr w:rsidTr="001E3364" w:rsidR="001E3364">
        <w:trPr>
          <w:trHeight w:val="19"/>
        </w:trPr>
        <w:tc>
          <w:tcPr>
            <w:tcW w:type="pct" w:w="2839"/>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3. Dani zajmovi, depoziti i slično poduzetnicima unutar grupe</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0"/>
            <w:tcBorders>
              <w:top w:space="0" w:sz="4" w:color="auto" w:val="single"/>
              <w:left w:val="nil"/>
              <w:bottom w:space="0" w:sz="4" w:color="auto" w:val="single"/>
              <w:right w:space="0" w:sz="4" w:color="auto" w:val="single"/>
            </w:tcBorders>
            <w:noWrap/>
            <w:vAlign w:val="center"/>
          </w:tcPr>
          <w:p w:rsidRDefault="001E3364" w:rsidR="001E3364">
            <w:pPr>
              <w:spacing w:lineRule="auto" w:line="240" w:after="0"/>
              <w:jc w:val="right"/>
              <w:rPr>
                <w:rFonts w:cs="Arial" w:eastAsia="Times New Roman" w:hAnsi="Arial" w:ascii="Arial"/>
                <w:sz w:val="16"/>
                <w:szCs w:val="16"/>
                <w:lang w:eastAsia="hr-HR"/>
              </w:rPr>
            </w:pPr>
          </w:p>
        </w:tc>
      </w:tr>
      <w:tr w:rsidTr="001E3364" w:rsidR="001E3364">
        <w:trPr>
          <w:trHeight w:val="19"/>
        </w:trPr>
        <w:tc>
          <w:tcPr>
            <w:tcW w:type="pct" w:w="2839"/>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4.Ulaganja u udjele (dionice) društava povezanih sudjelujućim interesom</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0"/>
            <w:tcBorders>
              <w:top w:space="0" w:sz="4" w:color="auto" w:val="single"/>
              <w:left w:val="nil"/>
              <w:bottom w:space="0" w:sz="4" w:color="auto" w:val="single"/>
              <w:right w:space="0" w:sz="4" w:color="auto" w:val="single"/>
            </w:tcBorders>
            <w:noWrap/>
            <w:vAlign w:val="center"/>
          </w:tcPr>
          <w:p w:rsidRDefault="001E3364" w:rsidR="001E3364">
            <w:pPr>
              <w:spacing w:lineRule="auto" w:line="240" w:after="0"/>
              <w:jc w:val="right"/>
              <w:rPr>
                <w:rFonts w:cs="Arial" w:eastAsia="Times New Roman" w:hAnsi="Arial" w:ascii="Arial"/>
                <w:sz w:val="16"/>
                <w:szCs w:val="16"/>
                <w:lang w:eastAsia="hr-HR"/>
              </w:rPr>
            </w:pPr>
          </w:p>
        </w:tc>
      </w:tr>
      <w:tr w:rsidTr="001E3364" w:rsidR="001E3364">
        <w:trPr>
          <w:trHeight w:val="19"/>
        </w:trPr>
        <w:tc>
          <w:tcPr>
            <w:tcW w:type="pct" w:w="2839"/>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5. Ulaganja u ostale vrijednosne papire društava povezanih</w:t>
            </w:r>
            <w:r>
              <w:rPr>
                <w:rFonts w:cs="Arial" w:eastAsia="Times New Roman" w:hAnsi="Arial" w:ascii="Arial"/>
                <w:sz w:val="16"/>
                <w:szCs w:val="16"/>
                <w:lang w:eastAsia="hr-HR"/>
              </w:rPr>
              <w:br/>
              <w:t xml:space="preserve">         sudjelujućim interesom</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0"/>
            <w:tcBorders>
              <w:top w:space="0" w:sz="4" w:color="auto" w:val="single"/>
              <w:left w:val="nil"/>
              <w:bottom w:space="0" w:sz="4" w:color="auto" w:val="single"/>
              <w:right w:space="0" w:sz="4" w:color="auto" w:val="single"/>
            </w:tcBorders>
            <w:noWrap/>
            <w:vAlign w:val="center"/>
          </w:tcPr>
          <w:p w:rsidRDefault="001E3364" w:rsidR="001E3364">
            <w:pPr>
              <w:spacing w:lineRule="auto" w:line="240" w:after="0"/>
              <w:jc w:val="right"/>
              <w:rPr>
                <w:rFonts w:cs="Arial" w:eastAsia="Times New Roman" w:hAnsi="Arial" w:ascii="Arial"/>
                <w:sz w:val="16"/>
                <w:szCs w:val="16"/>
                <w:lang w:eastAsia="hr-HR"/>
              </w:rPr>
            </w:pPr>
          </w:p>
        </w:tc>
      </w:tr>
      <w:tr w:rsidTr="001E3364" w:rsidR="001E3364">
        <w:trPr>
          <w:trHeight w:val="19"/>
        </w:trPr>
        <w:tc>
          <w:tcPr>
            <w:tcW w:type="pct" w:w="2839"/>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6. Dani zajmovi, depoziti i slično društvima povezanim</w:t>
            </w:r>
            <w:r>
              <w:rPr>
                <w:rFonts w:cs="Arial" w:eastAsia="Times New Roman" w:hAnsi="Arial" w:ascii="Arial"/>
                <w:sz w:val="16"/>
                <w:szCs w:val="16"/>
                <w:lang w:eastAsia="hr-HR"/>
              </w:rPr>
              <w:br/>
              <w:t xml:space="preserve">         sudjelujućim interesom</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0"/>
            <w:tcBorders>
              <w:top w:space="0" w:sz="4" w:color="auto" w:val="single"/>
              <w:left w:val="nil"/>
              <w:bottom w:space="0" w:sz="4" w:color="auto" w:val="single"/>
              <w:right w:space="0" w:sz="4" w:color="auto" w:val="single"/>
            </w:tcBorders>
            <w:noWrap/>
            <w:vAlign w:val="center"/>
          </w:tcPr>
          <w:p w:rsidRDefault="001E3364" w:rsidR="001E3364">
            <w:pPr>
              <w:spacing w:lineRule="auto" w:line="240" w:after="0"/>
              <w:jc w:val="right"/>
              <w:rPr>
                <w:rFonts w:cs="Arial" w:eastAsia="Times New Roman" w:hAnsi="Arial" w:ascii="Arial"/>
                <w:sz w:val="16"/>
                <w:szCs w:val="16"/>
                <w:lang w:eastAsia="hr-HR"/>
              </w:rPr>
            </w:pPr>
          </w:p>
        </w:tc>
      </w:tr>
      <w:tr w:rsidTr="001E3364" w:rsidR="001E3364">
        <w:trPr>
          <w:trHeight w:val="19"/>
        </w:trPr>
        <w:tc>
          <w:tcPr>
            <w:tcW w:type="pct" w:w="2839"/>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7. Ulaganja u vrijednosne papire</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66.200</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0"/>
            <w:tcBorders>
              <w:top w:space="0" w:sz="4" w:color="auto" w:val="single"/>
              <w:left w:val="nil"/>
              <w:bottom w:space="0" w:sz="4" w:color="auto" w:val="single"/>
              <w:right w:space="0" w:sz="4" w:color="auto" w:val="single"/>
            </w:tcBorders>
            <w:noWrap/>
            <w:vAlign w:val="center"/>
          </w:tcPr>
          <w:p w:rsidRDefault="001E3364" w:rsidR="001E3364">
            <w:pPr>
              <w:spacing w:lineRule="auto" w:line="240" w:after="0"/>
              <w:jc w:val="right"/>
              <w:rPr>
                <w:rFonts w:cs="Arial" w:eastAsia="Times New Roman" w:hAnsi="Arial" w:ascii="Arial"/>
                <w:sz w:val="16"/>
                <w:szCs w:val="16"/>
                <w:lang w:eastAsia="hr-HR"/>
              </w:rPr>
            </w:pPr>
          </w:p>
        </w:tc>
      </w:tr>
      <w:tr w:rsidTr="001E3364" w:rsidR="001E3364">
        <w:trPr>
          <w:trHeight w:val="19"/>
        </w:trPr>
        <w:tc>
          <w:tcPr>
            <w:tcW w:type="pct" w:w="2839"/>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8. Dani zajmovi, depoziti i slično</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780.507</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35.569</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35.569</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30.937</w:t>
            </w:r>
          </w:p>
        </w:tc>
      </w:tr>
      <w:tr w:rsidTr="001E3364" w:rsidR="001E3364">
        <w:trPr>
          <w:trHeight w:val="19"/>
        </w:trPr>
        <w:tc>
          <w:tcPr>
            <w:tcW w:type="pct" w:w="2839"/>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9. Ostala ulaganja koja se obračunavaju metodom udjela</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0"/>
            <w:tcBorders>
              <w:top w:space="0" w:sz="4" w:color="auto" w:val="single"/>
              <w:left w:val="nil"/>
              <w:bottom w:space="0" w:sz="4" w:color="auto" w:val="single"/>
              <w:right w:space="0" w:sz="4" w:color="auto" w:val="single"/>
            </w:tcBorders>
            <w:noWrap/>
            <w:vAlign w:val="center"/>
          </w:tcPr>
          <w:p w:rsidRDefault="001E3364" w:rsidR="001E3364">
            <w:pPr>
              <w:spacing w:lineRule="auto" w:line="240" w:after="0"/>
              <w:jc w:val="right"/>
              <w:rPr>
                <w:rFonts w:cs="Arial" w:eastAsia="Times New Roman" w:hAnsi="Arial" w:ascii="Arial"/>
                <w:sz w:val="16"/>
                <w:szCs w:val="16"/>
                <w:lang w:eastAsia="hr-HR"/>
              </w:rPr>
            </w:pPr>
          </w:p>
        </w:tc>
      </w:tr>
      <w:tr w:rsidTr="001E3364" w:rsidR="001E3364">
        <w:trPr>
          <w:trHeight w:val="19"/>
        </w:trPr>
        <w:tc>
          <w:tcPr>
            <w:tcW w:type="pct" w:w="2839"/>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10.  Ostala dugotrajna financijska imovina</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0"/>
            <w:tcBorders>
              <w:top w:space="0" w:sz="4" w:color="auto" w:val="single"/>
              <w:left w:val="nil"/>
              <w:bottom w:space="0" w:sz="4" w:color="auto" w:val="single"/>
              <w:right w:space="0" w:sz="4" w:color="auto" w:val="single"/>
            </w:tcBorders>
            <w:noWrap/>
            <w:vAlign w:val="center"/>
          </w:tcPr>
          <w:p w:rsidRDefault="001E3364" w:rsidR="001E3364">
            <w:pPr>
              <w:spacing w:lineRule="auto" w:line="240" w:after="0"/>
              <w:jc w:val="right"/>
              <w:rPr>
                <w:rFonts w:cs="Arial" w:eastAsia="Times New Roman" w:hAnsi="Arial" w:ascii="Arial"/>
                <w:sz w:val="16"/>
                <w:szCs w:val="16"/>
                <w:lang w:eastAsia="hr-HR"/>
              </w:rPr>
            </w:pPr>
          </w:p>
        </w:tc>
      </w:tr>
      <w:tr w:rsidTr="001E3364" w:rsidR="001E3364">
        <w:trPr>
          <w:trHeight w:val="19"/>
        </w:trPr>
        <w:tc>
          <w:tcPr>
            <w:tcW w:type="pct" w:w="2839"/>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Arial" w:eastAsia="Times New Roman" w:hAnsi="Arial" w:ascii="Arial"/>
                <w:color w:val="0000FF"/>
                <w:sz w:val="16"/>
                <w:szCs w:val="16"/>
                <w:lang w:eastAsia="hr-HR"/>
              </w:rPr>
            </w:pPr>
            <w:r>
              <w:rPr>
                <w:rFonts w:cs="Arial" w:eastAsia="Times New Roman" w:hAnsi="Arial" w:ascii="Arial"/>
                <w:color w:val="0000FF"/>
                <w:sz w:val="16"/>
                <w:szCs w:val="16"/>
                <w:lang w:eastAsia="hr-HR"/>
              </w:rPr>
              <w:t>IV. POTRAŽIVANJA</w:t>
            </w:r>
          </w:p>
        </w:tc>
        <w:tc>
          <w:tcPr>
            <w:tcW w:type="pct" w:w="540"/>
            <w:tcBorders>
              <w:top w:space="0" w:sz="4" w:color="auto" w:val="single"/>
              <w:left w:val="nil"/>
              <w:bottom w:space="0" w:sz="4" w:color="auto"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0</w:t>
            </w:r>
          </w:p>
        </w:tc>
        <w:tc>
          <w:tcPr>
            <w:tcW w:type="pct" w:w="540"/>
            <w:tcBorders>
              <w:top w:space="0" w:sz="4" w:color="auto" w:val="single"/>
              <w:left w:val="nil"/>
              <w:bottom w:space="0" w:sz="4" w:color="auto"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0</w:t>
            </w:r>
          </w:p>
        </w:tc>
        <w:tc>
          <w:tcPr>
            <w:tcW w:type="pct" w:w="540"/>
            <w:tcBorders>
              <w:top w:space="0" w:sz="4" w:color="auto" w:val="single"/>
              <w:left w:val="nil"/>
              <w:bottom w:space="0" w:sz="4" w:color="auto"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0</w:t>
            </w:r>
          </w:p>
        </w:tc>
        <w:tc>
          <w:tcPr>
            <w:tcW w:type="pct" w:w="540"/>
            <w:tcBorders>
              <w:top w:space="0" w:sz="4" w:color="auto" w:val="single"/>
              <w:left w:val="nil"/>
              <w:bottom w:space="0" w:sz="4" w:color="auto"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0</w:t>
            </w:r>
          </w:p>
        </w:tc>
      </w:tr>
      <w:tr w:rsidTr="001E3364" w:rsidR="001E3364">
        <w:trPr>
          <w:trHeight w:val="19"/>
        </w:trPr>
        <w:tc>
          <w:tcPr>
            <w:tcW w:type="pct" w:w="2839"/>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1. Potraživanja od poduzetnika unutar grupe </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1E3364" w:rsidR="001E3364">
        <w:trPr>
          <w:trHeight w:val="19"/>
        </w:trPr>
        <w:tc>
          <w:tcPr>
            <w:tcW w:type="pct" w:w="2839"/>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2. Potraživanja od društava povezanih sudjelujućim interesom </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1E3364" w:rsidR="001E3364">
        <w:trPr>
          <w:trHeight w:val="19"/>
        </w:trPr>
        <w:tc>
          <w:tcPr>
            <w:tcW w:type="pct" w:w="2839"/>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3. Potraživanja od kupaca </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1E3364" w:rsidR="001E3364">
        <w:trPr>
          <w:trHeight w:val="19"/>
        </w:trPr>
        <w:tc>
          <w:tcPr>
            <w:tcW w:type="pct" w:w="2839"/>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4. Ostala potraživanja</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1E3364" w:rsidR="001E3364">
        <w:trPr>
          <w:trHeight w:val="19"/>
        </w:trPr>
        <w:tc>
          <w:tcPr>
            <w:tcW w:type="pct" w:w="2839"/>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Arial" w:eastAsia="Times New Roman" w:hAnsi="Arial" w:ascii="Arial"/>
                <w:color w:val="0000FF"/>
                <w:sz w:val="16"/>
                <w:szCs w:val="16"/>
                <w:lang w:eastAsia="hr-HR"/>
              </w:rPr>
            </w:pPr>
            <w:r>
              <w:rPr>
                <w:rFonts w:cs="Arial" w:eastAsia="Times New Roman" w:hAnsi="Arial" w:ascii="Arial"/>
                <w:color w:val="0000FF"/>
                <w:sz w:val="16"/>
                <w:szCs w:val="16"/>
                <w:lang w:eastAsia="hr-HR"/>
              </w:rPr>
              <w:t>V. ODGOĐENA POREZNA IMOVINA</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1E3364" w:rsidR="001E3364">
        <w:trPr>
          <w:trHeight w:val="19"/>
        </w:trPr>
        <w:tc>
          <w:tcPr>
            <w:tcW w:type="pct" w:w="2839"/>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Arial" w:eastAsia="Times New Roman" w:hAnsi="Arial" w:ascii="Arial"/>
                <w:color w:val="0000FF"/>
                <w:sz w:val="16"/>
                <w:szCs w:val="16"/>
                <w:lang w:eastAsia="hr-HR"/>
              </w:rPr>
            </w:pPr>
            <w:r>
              <w:rPr>
                <w:rFonts w:cs="Arial" w:eastAsia="Times New Roman" w:hAnsi="Arial" w:ascii="Arial"/>
                <w:color w:val="0000FF"/>
                <w:sz w:val="16"/>
                <w:szCs w:val="16"/>
                <w:lang w:eastAsia="hr-HR"/>
              </w:rPr>
              <w:t xml:space="preserve">C)  KRATKOTRAJNA IMOVINA </w:t>
            </w:r>
          </w:p>
        </w:tc>
        <w:tc>
          <w:tcPr>
            <w:tcW w:type="pct" w:w="540"/>
            <w:tcBorders>
              <w:top w:space="0" w:sz="4" w:color="auto" w:val="single"/>
              <w:left w:val="nil"/>
              <w:bottom w:space="0" w:sz="4" w:color="auto"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70.704.139</w:t>
            </w:r>
          </w:p>
        </w:tc>
        <w:tc>
          <w:tcPr>
            <w:tcW w:type="pct" w:w="540"/>
            <w:tcBorders>
              <w:top w:space="0" w:sz="4" w:color="auto" w:val="single"/>
              <w:left w:val="nil"/>
              <w:bottom w:space="0" w:sz="4" w:color="auto"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56.828.879</w:t>
            </w:r>
          </w:p>
        </w:tc>
        <w:tc>
          <w:tcPr>
            <w:tcW w:type="pct" w:w="540"/>
            <w:tcBorders>
              <w:top w:space="0" w:sz="4" w:color="auto" w:val="single"/>
              <w:left w:val="nil"/>
              <w:bottom w:space="0" w:sz="4" w:color="auto"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53.506.773</w:t>
            </w:r>
          </w:p>
        </w:tc>
        <w:tc>
          <w:tcPr>
            <w:tcW w:type="pct" w:w="540"/>
            <w:tcBorders>
              <w:top w:space="0" w:sz="4" w:color="auto" w:val="single"/>
              <w:left w:val="nil"/>
              <w:bottom w:space="0" w:sz="4" w:color="auto"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46.430.777</w:t>
            </w:r>
          </w:p>
        </w:tc>
      </w:tr>
      <w:tr w:rsidTr="001E3364" w:rsidR="001E3364">
        <w:trPr>
          <w:trHeight w:val="19"/>
        </w:trPr>
        <w:tc>
          <w:tcPr>
            <w:tcW w:type="pct" w:w="2839"/>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Arial" w:eastAsia="Times New Roman" w:hAnsi="Arial" w:ascii="Arial"/>
                <w:color w:val="0000FF"/>
                <w:sz w:val="16"/>
                <w:szCs w:val="16"/>
                <w:lang w:eastAsia="hr-HR"/>
              </w:rPr>
            </w:pPr>
            <w:r>
              <w:rPr>
                <w:rFonts w:cs="Arial" w:eastAsia="Times New Roman" w:hAnsi="Arial" w:ascii="Arial"/>
                <w:color w:val="0000FF"/>
                <w:sz w:val="16"/>
                <w:szCs w:val="16"/>
                <w:lang w:eastAsia="hr-HR"/>
              </w:rPr>
              <w:t>I. ZALIHE</w:t>
            </w:r>
          </w:p>
        </w:tc>
        <w:tc>
          <w:tcPr>
            <w:tcW w:type="pct" w:w="540"/>
            <w:tcBorders>
              <w:top w:space="0" w:sz="4" w:color="auto" w:val="single"/>
              <w:left w:val="nil"/>
              <w:bottom w:space="0" w:sz="4" w:color="auto"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29.450.514</w:t>
            </w:r>
          </w:p>
        </w:tc>
        <w:tc>
          <w:tcPr>
            <w:tcW w:type="pct" w:w="540"/>
            <w:tcBorders>
              <w:top w:space="0" w:sz="4" w:color="auto" w:val="single"/>
              <w:left w:val="nil"/>
              <w:bottom w:space="0" w:sz="4" w:color="auto"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30.371.107</w:t>
            </w:r>
          </w:p>
        </w:tc>
        <w:tc>
          <w:tcPr>
            <w:tcW w:type="pct" w:w="540"/>
            <w:tcBorders>
              <w:top w:space="0" w:sz="4" w:color="auto" w:val="single"/>
              <w:left w:val="nil"/>
              <w:bottom w:space="0" w:sz="4" w:color="auto"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37.301.844</w:t>
            </w:r>
          </w:p>
        </w:tc>
        <w:tc>
          <w:tcPr>
            <w:tcW w:type="pct" w:w="540"/>
            <w:tcBorders>
              <w:top w:space="0" w:sz="4" w:color="auto" w:val="single"/>
              <w:left w:val="nil"/>
              <w:bottom w:space="0" w:sz="4" w:color="auto"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29.018.884</w:t>
            </w:r>
          </w:p>
        </w:tc>
      </w:tr>
      <w:tr w:rsidTr="001E3364" w:rsidR="001E3364">
        <w:trPr>
          <w:trHeight w:val="19"/>
        </w:trPr>
        <w:tc>
          <w:tcPr>
            <w:tcW w:type="pct" w:w="2839"/>
            <w:tcBorders>
              <w:top w:space="0" w:sz="4" w:color="auto" w:val="single"/>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1. Sirovine i materijal</w:t>
            </w:r>
          </w:p>
        </w:tc>
        <w:tc>
          <w:tcPr>
            <w:tcW w:type="pct" w:w="540"/>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20.886.977</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20.813.618</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25.797.734</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18.284.024</w:t>
            </w:r>
          </w:p>
        </w:tc>
      </w:tr>
      <w:tr w:rsidTr="001E3364" w:rsidR="001E3364">
        <w:trPr>
          <w:trHeight w:val="19"/>
        </w:trPr>
        <w:tc>
          <w:tcPr>
            <w:tcW w:type="pct" w:w="2839"/>
            <w:tcBorders>
              <w:top w:space="0" w:sz="4" w:color="auto" w:val="single"/>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2. Proizvodnja u tijeku</w:t>
            </w:r>
          </w:p>
        </w:tc>
        <w:tc>
          <w:tcPr>
            <w:tcW w:type="pct" w:w="540"/>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414.934</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409.726</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336.259</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303.785</w:t>
            </w:r>
          </w:p>
        </w:tc>
      </w:tr>
      <w:tr w:rsidTr="001E3364" w:rsidR="001E3364">
        <w:trPr>
          <w:trHeight w:val="19"/>
        </w:trPr>
        <w:tc>
          <w:tcPr>
            <w:tcW w:type="pct" w:w="2839"/>
            <w:tcBorders>
              <w:top w:space="0" w:sz="4" w:color="auto" w:val="single"/>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3. Gotovi proizvodi</w:t>
            </w:r>
          </w:p>
        </w:tc>
        <w:tc>
          <w:tcPr>
            <w:tcW w:type="pct" w:w="540"/>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1.377.258</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2.694.029</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3.654.214</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3.268.032</w:t>
            </w:r>
          </w:p>
        </w:tc>
      </w:tr>
      <w:tr w:rsidTr="001E3364" w:rsidR="001E3364">
        <w:trPr>
          <w:trHeight w:val="19"/>
        </w:trPr>
        <w:tc>
          <w:tcPr>
            <w:tcW w:type="pct" w:w="2839"/>
            <w:tcBorders>
              <w:top w:space="0" w:sz="4" w:color="auto" w:val="single"/>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4. Trgovačka roba</w:t>
            </w:r>
          </w:p>
        </w:tc>
        <w:tc>
          <w:tcPr>
            <w:tcW w:type="pct" w:w="540"/>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6.687.945</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6.182.137</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6.011.598</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5.958.321</w:t>
            </w:r>
          </w:p>
        </w:tc>
      </w:tr>
      <w:tr w:rsidTr="001E3364" w:rsidR="001E3364">
        <w:trPr>
          <w:trHeight w:val="19"/>
        </w:trPr>
        <w:tc>
          <w:tcPr>
            <w:tcW w:type="pct" w:w="2839"/>
            <w:tcBorders>
              <w:top w:space="0" w:sz="4" w:color="auto" w:val="single"/>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5. Predujmovi za zalihe</w:t>
            </w:r>
          </w:p>
        </w:tc>
        <w:tc>
          <w:tcPr>
            <w:tcW w:type="pct" w:w="540"/>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83.400</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271.597</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1.502.039</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1.204.722</w:t>
            </w:r>
          </w:p>
        </w:tc>
      </w:tr>
      <w:tr w:rsidTr="001E3364" w:rsidR="001E3364">
        <w:trPr>
          <w:trHeight w:val="19"/>
        </w:trPr>
        <w:tc>
          <w:tcPr>
            <w:tcW w:type="pct" w:w="2839"/>
            <w:tcBorders>
              <w:top w:space="0" w:sz="4" w:color="auto" w:val="single"/>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6. Dugotrajna imovina namijenjena prodaji</w:t>
            </w:r>
          </w:p>
        </w:tc>
        <w:tc>
          <w:tcPr>
            <w:tcW w:type="pct" w:w="540"/>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1E3364" w:rsidR="001E3364">
        <w:trPr>
          <w:trHeight w:val="19"/>
        </w:trPr>
        <w:tc>
          <w:tcPr>
            <w:tcW w:type="pct" w:w="2839"/>
            <w:tcBorders>
              <w:top w:space="0" w:sz="4" w:color="auto" w:val="single"/>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7. Biološka imovina</w:t>
            </w:r>
          </w:p>
        </w:tc>
        <w:tc>
          <w:tcPr>
            <w:tcW w:type="pct" w:w="540"/>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1E3364" w:rsidR="001E3364">
        <w:trPr>
          <w:trHeight w:val="19"/>
        </w:trPr>
        <w:tc>
          <w:tcPr>
            <w:tcW w:type="pct" w:w="2839"/>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Arial" w:eastAsia="Times New Roman" w:hAnsi="Arial" w:ascii="Arial"/>
                <w:color w:val="0000FF"/>
                <w:sz w:val="16"/>
                <w:szCs w:val="16"/>
                <w:lang w:eastAsia="hr-HR"/>
              </w:rPr>
            </w:pPr>
            <w:r>
              <w:rPr>
                <w:rFonts w:cs="Arial" w:eastAsia="Times New Roman" w:hAnsi="Arial" w:ascii="Arial"/>
                <w:color w:val="0000FF"/>
                <w:sz w:val="16"/>
                <w:szCs w:val="16"/>
                <w:lang w:eastAsia="hr-HR"/>
              </w:rPr>
              <w:t>II. POTRAŽIVANJA</w:t>
            </w:r>
          </w:p>
        </w:tc>
        <w:tc>
          <w:tcPr>
            <w:tcW w:type="pct" w:w="540"/>
            <w:tcBorders>
              <w:top w:space="0" w:sz="4" w:color="auto" w:val="single"/>
              <w:left w:val="nil"/>
              <w:bottom w:space="0" w:sz="4" w:color="auto"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39.614.842</w:t>
            </w:r>
          </w:p>
        </w:tc>
        <w:tc>
          <w:tcPr>
            <w:tcW w:type="pct" w:w="540"/>
            <w:tcBorders>
              <w:top w:space="0" w:sz="4" w:color="auto" w:val="single"/>
              <w:left w:val="nil"/>
              <w:bottom w:space="0" w:sz="4" w:color="auto"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20.255.575</w:t>
            </w:r>
          </w:p>
        </w:tc>
        <w:tc>
          <w:tcPr>
            <w:tcW w:type="pct" w:w="540"/>
            <w:tcBorders>
              <w:top w:space="0" w:sz="4" w:color="auto" w:val="single"/>
              <w:left w:val="nil"/>
              <w:bottom w:space="0" w:sz="4" w:color="auto"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15.632.660</w:t>
            </w:r>
          </w:p>
        </w:tc>
        <w:tc>
          <w:tcPr>
            <w:tcW w:type="pct" w:w="540"/>
            <w:tcBorders>
              <w:top w:space="0" w:sz="4" w:color="auto" w:val="single"/>
              <w:left w:val="nil"/>
              <w:bottom w:space="0" w:sz="4" w:color="auto"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16.937.704</w:t>
            </w:r>
          </w:p>
        </w:tc>
      </w:tr>
      <w:tr w:rsidTr="001E3364" w:rsidR="001E3364">
        <w:trPr>
          <w:trHeight w:val="19"/>
        </w:trPr>
        <w:tc>
          <w:tcPr>
            <w:tcW w:type="pct" w:w="2839"/>
            <w:tcBorders>
              <w:top w:space="0" w:sz="4" w:color="auto" w:val="single"/>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1. Potraživanja od poduzetnika unutar grupe </w:t>
            </w:r>
          </w:p>
        </w:tc>
        <w:tc>
          <w:tcPr>
            <w:tcW w:type="pct" w:w="540"/>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1E3364" w:rsidR="001E3364">
        <w:trPr>
          <w:trHeight w:val="19"/>
        </w:trPr>
        <w:tc>
          <w:tcPr>
            <w:tcW w:type="pct" w:w="2839"/>
            <w:tcBorders>
              <w:top w:space="0" w:sz="4" w:color="auto" w:val="single"/>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2. Potraživanja od društava povezanih sudjelujućim interesom</w:t>
            </w:r>
          </w:p>
        </w:tc>
        <w:tc>
          <w:tcPr>
            <w:tcW w:type="pct" w:w="540"/>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1E3364" w:rsidR="001E3364">
        <w:trPr>
          <w:trHeight w:val="19"/>
        </w:trPr>
        <w:tc>
          <w:tcPr>
            <w:tcW w:type="pct" w:w="2839"/>
            <w:tcBorders>
              <w:top w:space="0" w:sz="4" w:color="auto" w:val="single"/>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3. Potraživanja od kupaca</w:t>
            </w:r>
          </w:p>
        </w:tc>
        <w:tc>
          <w:tcPr>
            <w:tcW w:type="pct" w:w="540"/>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39.100.765</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16.716.826</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12.131.714</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10.106.102</w:t>
            </w:r>
          </w:p>
        </w:tc>
      </w:tr>
      <w:tr w:rsidTr="001E3364" w:rsidR="001E3364">
        <w:trPr>
          <w:trHeight w:val="19"/>
        </w:trPr>
        <w:tc>
          <w:tcPr>
            <w:tcW w:type="pct" w:w="2839"/>
            <w:tcBorders>
              <w:top w:space="0" w:sz="4" w:color="auto" w:val="single"/>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4. Potraživanja od zaposlenika i članova poduzetnika</w:t>
            </w:r>
          </w:p>
        </w:tc>
        <w:tc>
          <w:tcPr>
            <w:tcW w:type="pct" w:w="540"/>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273.570</w:t>
            </w:r>
          </w:p>
        </w:tc>
        <w:tc>
          <w:tcPr>
            <w:tcW w:type="pct" w:w="540"/>
            <w:tcBorders>
              <w:top w:space="0" w:sz="4" w:color="auto" w:val="single"/>
              <w:left w:val="nil"/>
              <w:bottom w:space="0" w:sz="4" w:color="auto" w:val="single"/>
              <w:right w:space="0" w:sz="4" w:color="auto" w:val="single"/>
            </w:tcBorders>
            <w:noWrap/>
            <w:vAlign w:val="center"/>
          </w:tcPr>
          <w:p w:rsidRDefault="001E3364" w:rsidR="001E3364">
            <w:pPr>
              <w:spacing w:lineRule="auto" w:line="240" w:after="0"/>
              <w:jc w:val="right"/>
              <w:rPr>
                <w:rFonts w:cs="Arial" w:eastAsia="Times New Roman" w:hAnsi="Arial" w:ascii="Arial"/>
                <w:sz w:val="16"/>
                <w:szCs w:val="16"/>
                <w:lang w:eastAsia="hr-HR"/>
              </w:rPr>
            </w:pPr>
          </w:p>
        </w:tc>
        <w:tc>
          <w:tcPr>
            <w:tcW w:type="pct" w:w="540"/>
            <w:tcBorders>
              <w:top w:space="0" w:sz="4" w:color="auto" w:val="single"/>
              <w:left w:val="nil"/>
              <w:bottom w:space="0" w:sz="4" w:color="auto" w:val="single"/>
              <w:right w:space="0" w:sz="4" w:color="auto" w:val="single"/>
            </w:tcBorders>
            <w:noWrap/>
            <w:vAlign w:val="center"/>
          </w:tcPr>
          <w:p w:rsidRDefault="001E3364" w:rsidR="001E3364">
            <w:pPr>
              <w:spacing w:lineRule="auto" w:line="240" w:after="0"/>
              <w:jc w:val="right"/>
              <w:rPr>
                <w:rFonts w:cs="Arial" w:eastAsia="Times New Roman" w:hAnsi="Arial" w:ascii="Arial"/>
                <w:sz w:val="16"/>
                <w:szCs w:val="16"/>
                <w:lang w:eastAsia="hr-HR"/>
              </w:rPr>
            </w:pP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1E3364" w:rsidR="001E3364">
        <w:trPr>
          <w:trHeight w:val="19"/>
        </w:trPr>
        <w:tc>
          <w:tcPr>
            <w:tcW w:type="pct" w:w="2839"/>
            <w:tcBorders>
              <w:top w:space="0" w:sz="4" w:color="auto" w:val="single"/>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5. Potraživanja od države i drugih institucija</w:t>
            </w:r>
          </w:p>
        </w:tc>
        <w:tc>
          <w:tcPr>
            <w:tcW w:type="pct" w:w="540"/>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232.249</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892.681</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489.405</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19.549</w:t>
            </w:r>
          </w:p>
        </w:tc>
      </w:tr>
      <w:tr w:rsidTr="001E3364" w:rsidR="001E3364">
        <w:trPr>
          <w:trHeight w:val="19"/>
        </w:trPr>
        <w:tc>
          <w:tcPr>
            <w:tcW w:type="pct" w:w="2839"/>
            <w:tcBorders>
              <w:top w:space="0" w:sz="4" w:color="auto" w:val="single"/>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6. Ostala potraživanja</w:t>
            </w:r>
          </w:p>
        </w:tc>
        <w:tc>
          <w:tcPr>
            <w:tcW w:type="pct" w:w="540"/>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8.258</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2.646.068</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3.011.541</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6.812.053</w:t>
            </w:r>
          </w:p>
        </w:tc>
      </w:tr>
      <w:tr w:rsidTr="001E3364" w:rsidR="001E3364">
        <w:trPr>
          <w:trHeight w:val="19"/>
        </w:trPr>
        <w:tc>
          <w:tcPr>
            <w:tcW w:type="pct" w:w="2839"/>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Arial" w:eastAsia="Times New Roman" w:hAnsi="Arial" w:ascii="Arial"/>
                <w:color w:val="0000FF"/>
                <w:sz w:val="16"/>
                <w:szCs w:val="16"/>
                <w:lang w:eastAsia="hr-HR"/>
              </w:rPr>
            </w:pPr>
            <w:r>
              <w:rPr>
                <w:rFonts w:cs="Arial" w:eastAsia="Times New Roman" w:hAnsi="Arial" w:ascii="Arial"/>
                <w:color w:val="0000FF"/>
                <w:sz w:val="16"/>
                <w:szCs w:val="16"/>
                <w:lang w:eastAsia="hr-HR"/>
              </w:rPr>
              <w:t>III. KRATKOTRAJNA FINANCIJSKA IMOVINA</w:t>
            </w:r>
          </w:p>
        </w:tc>
        <w:tc>
          <w:tcPr>
            <w:tcW w:type="pct" w:w="540"/>
            <w:tcBorders>
              <w:top w:space="0" w:sz="4" w:color="auto" w:val="single"/>
              <w:left w:val="nil"/>
              <w:bottom w:space="0" w:sz="4" w:color="auto"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50.000</w:t>
            </w:r>
          </w:p>
        </w:tc>
        <w:tc>
          <w:tcPr>
            <w:tcW w:type="pct" w:w="540"/>
            <w:tcBorders>
              <w:top w:space="0" w:sz="4" w:color="auto" w:val="single"/>
              <w:left w:val="nil"/>
              <w:bottom w:space="0" w:sz="4" w:color="auto"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4.182.812</w:t>
            </w:r>
          </w:p>
        </w:tc>
        <w:tc>
          <w:tcPr>
            <w:tcW w:type="pct" w:w="540"/>
            <w:tcBorders>
              <w:top w:space="0" w:sz="4" w:color="auto" w:val="single"/>
              <w:left w:val="nil"/>
              <w:bottom w:space="0" w:sz="4" w:color="auto"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444.590</w:t>
            </w:r>
          </w:p>
        </w:tc>
        <w:tc>
          <w:tcPr>
            <w:tcW w:type="pct" w:w="540"/>
            <w:tcBorders>
              <w:top w:space="0" w:sz="4" w:color="auto" w:val="single"/>
              <w:left w:val="nil"/>
              <w:bottom w:space="0" w:sz="4" w:color="auto"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434.590</w:t>
            </w:r>
          </w:p>
        </w:tc>
      </w:tr>
      <w:tr w:rsidTr="001E3364" w:rsidR="001E3364">
        <w:trPr>
          <w:trHeight w:val="19"/>
        </w:trPr>
        <w:tc>
          <w:tcPr>
            <w:tcW w:type="pct" w:w="2839"/>
            <w:tcBorders>
              <w:top w:space="0" w:sz="4" w:color="auto" w:val="single"/>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1. Ulaganja u udjele (dionice) poduzetnika unutar grupe</w:t>
            </w:r>
          </w:p>
        </w:tc>
        <w:tc>
          <w:tcPr>
            <w:tcW w:type="pct" w:w="540"/>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1E3364" w:rsidR="001E3364">
        <w:trPr>
          <w:trHeight w:val="19"/>
        </w:trPr>
        <w:tc>
          <w:tcPr>
            <w:tcW w:type="pct" w:w="2839"/>
            <w:tcBorders>
              <w:top w:space="0" w:sz="4" w:color="auto" w:val="single"/>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2. Ulaganja u ostale vrijednosne papire poduzetnika unutar grupe</w:t>
            </w:r>
          </w:p>
        </w:tc>
        <w:tc>
          <w:tcPr>
            <w:tcW w:type="pct" w:w="540"/>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1E3364" w:rsidR="001E3364">
        <w:trPr>
          <w:trHeight w:val="19"/>
        </w:trPr>
        <w:tc>
          <w:tcPr>
            <w:tcW w:type="pct" w:w="2839"/>
            <w:tcBorders>
              <w:top w:space="0" w:sz="4" w:color="auto" w:val="single"/>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3. Dani zajmovi, depoziti i slično poduzetnicima unutar grupe</w:t>
            </w:r>
          </w:p>
        </w:tc>
        <w:tc>
          <w:tcPr>
            <w:tcW w:type="pct" w:w="540"/>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1E3364" w:rsidR="001E3364">
        <w:trPr>
          <w:trHeight w:val="19"/>
        </w:trPr>
        <w:tc>
          <w:tcPr>
            <w:tcW w:type="pct" w:w="2839"/>
            <w:tcBorders>
              <w:top w:space="0" w:sz="4" w:color="auto" w:val="single"/>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4. Ulaganja u udjele (dionice) društava povezanih sudjelujućim interesom</w:t>
            </w:r>
          </w:p>
        </w:tc>
        <w:tc>
          <w:tcPr>
            <w:tcW w:type="pct" w:w="540"/>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1E3364" w:rsidR="001E3364">
        <w:trPr>
          <w:trHeight w:val="19"/>
        </w:trPr>
        <w:tc>
          <w:tcPr>
            <w:tcW w:type="pct" w:w="2839"/>
            <w:tcBorders>
              <w:top w:space="0" w:sz="4" w:color="auto" w:val="single"/>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5. Ulaganja u ostale vrijednosne papire društava povezanih sudjelujućim interesom</w:t>
            </w:r>
          </w:p>
        </w:tc>
        <w:tc>
          <w:tcPr>
            <w:tcW w:type="pct" w:w="540"/>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1E3364" w:rsidR="001E3364">
        <w:trPr>
          <w:trHeight w:val="19"/>
        </w:trPr>
        <w:tc>
          <w:tcPr>
            <w:tcW w:type="pct" w:w="2839"/>
            <w:tcBorders>
              <w:top w:space="0" w:sz="4" w:color="auto" w:val="single"/>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6. Dani zajmovi, depoziti i slično društvima povezanim sudjelujućim interesom</w:t>
            </w:r>
          </w:p>
        </w:tc>
        <w:tc>
          <w:tcPr>
            <w:tcW w:type="pct" w:w="540"/>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1E3364" w:rsidR="001E3364">
        <w:trPr>
          <w:trHeight w:val="19"/>
        </w:trPr>
        <w:tc>
          <w:tcPr>
            <w:tcW w:type="pct" w:w="2839"/>
            <w:tcBorders>
              <w:top w:space="0" w:sz="4" w:color="auto" w:val="single"/>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7. Ulaganja u vrijednosne papire</w:t>
            </w:r>
          </w:p>
        </w:tc>
        <w:tc>
          <w:tcPr>
            <w:tcW w:type="pct" w:w="540"/>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0"/>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1E3364" w:rsidR="001E3364">
        <w:trPr>
          <w:trHeight w:val="19"/>
        </w:trPr>
        <w:tc>
          <w:tcPr>
            <w:tcW w:type="pct" w:w="2839"/>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8. Dani zajmovi, depoziti i slično</w:t>
            </w:r>
          </w:p>
        </w:tc>
        <w:tc>
          <w:tcPr>
            <w:tcW w:type="pct" w:w="540"/>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50.000</w:t>
            </w:r>
          </w:p>
        </w:tc>
        <w:tc>
          <w:tcPr>
            <w:tcW w:type="pct" w:w="540"/>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4.182.812</w:t>
            </w:r>
          </w:p>
        </w:tc>
        <w:tc>
          <w:tcPr>
            <w:tcW w:type="pct" w:w="540"/>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444.590</w:t>
            </w:r>
          </w:p>
        </w:tc>
        <w:tc>
          <w:tcPr>
            <w:tcW w:type="pct" w:w="540"/>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434.590</w:t>
            </w:r>
          </w:p>
        </w:tc>
      </w:tr>
      <w:tr w:rsidTr="001E3364" w:rsidR="001E3364">
        <w:trPr>
          <w:trHeight w:val="19"/>
        </w:trPr>
        <w:tc>
          <w:tcPr>
            <w:tcW w:type="pct" w:w="2839"/>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9. Ostala financijska imovina</w:t>
            </w:r>
          </w:p>
        </w:tc>
        <w:tc>
          <w:tcPr>
            <w:tcW w:type="pct" w:w="540"/>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0"/>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0"/>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0"/>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1E3364" w:rsidR="001E3364">
        <w:trPr>
          <w:trHeight w:val="19"/>
        </w:trPr>
        <w:tc>
          <w:tcPr>
            <w:tcW w:type="pct" w:w="2839"/>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Arial" w:eastAsia="Times New Roman" w:hAnsi="Arial" w:ascii="Arial"/>
                <w:color w:val="0000FF"/>
                <w:sz w:val="16"/>
                <w:szCs w:val="16"/>
                <w:lang w:eastAsia="hr-HR"/>
              </w:rPr>
            </w:pPr>
            <w:r>
              <w:rPr>
                <w:rFonts w:cs="Arial" w:eastAsia="Times New Roman" w:hAnsi="Arial" w:ascii="Arial"/>
                <w:color w:val="0000FF"/>
                <w:sz w:val="16"/>
                <w:szCs w:val="16"/>
                <w:lang w:eastAsia="hr-HR"/>
              </w:rPr>
              <w:t>IV. NOVAC U BANCI I BLAGAJNI</w:t>
            </w:r>
          </w:p>
        </w:tc>
        <w:tc>
          <w:tcPr>
            <w:tcW w:type="pct" w:w="540"/>
            <w:tcBorders>
              <w:top w:val="nil"/>
              <w:left w:val="nil"/>
              <w:bottom w:space="0" w:sz="4" w:color="000000" w:val="single"/>
              <w:right w:space="0" w:sz="4" w:color="000000"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1.588.783</w:t>
            </w:r>
          </w:p>
        </w:tc>
        <w:tc>
          <w:tcPr>
            <w:tcW w:type="pct" w:w="540"/>
            <w:tcBorders>
              <w:top w:val="nil"/>
              <w:left w:val="nil"/>
              <w:bottom w:space="0" w:sz="4" w:color="000000" w:val="single"/>
              <w:right w:space="0" w:sz="4" w:color="000000"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2.019.385</w:t>
            </w:r>
          </w:p>
        </w:tc>
        <w:tc>
          <w:tcPr>
            <w:tcW w:type="pct" w:w="540"/>
            <w:tcBorders>
              <w:top w:val="nil"/>
              <w:left w:val="nil"/>
              <w:bottom w:space="0" w:sz="4" w:color="000000" w:val="single"/>
              <w:right w:space="0" w:sz="4" w:color="000000"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127.679</w:t>
            </w:r>
          </w:p>
        </w:tc>
        <w:tc>
          <w:tcPr>
            <w:tcW w:type="pct" w:w="540"/>
            <w:tcBorders>
              <w:top w:val="nil"/>
              <w:left w:val="nil"/>
              <w:bottom w:space="0" w:sz="4" w:color="000000" w:val="single"/>
              <w:right w:space="0" w:sz="4" w:color="000000"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39.599</w:t>
            </w:r>
          </w:p>
        </w:tc>
      </w:tr>
      <w:tr w:rsidTr="001E3364" w:rsidR="001E3364">
        <w:trPr>
          <w:trHeight w:val="19"/>
        </w:trPr>
        <w:tc>
          <w:tcPr>
            <w:tcW w:type="pct" w:w="2839"/>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Arial" w:eastAsia="Times New Roman" w:hAnsi="Arial" w:ascii="Arial"/>
                <w:color w:val="0000FF"/>
                <w:sz w:val="16"/>
                <w:szCs w:val="16"/>
                <w:lang w:eastAsia="hr-HR"/>
              </w:rPr>
            </w:pPr>
            <w:r>
              <w:rPr>
                <w:rFonts w:cs="Arial" w:eastAsia="Times New Roman" w:hAnsi="Arial" w:ascii="Arial"/>
                <w:color w:val="0000FF"/>
                <w:sz w:val="16"/>
                <w:szCs w:val="16"/>
                <w:lang w:eastAsia="hr-HR"/>
              </w:rPr>
              <w:t>D)  PLAĆENI TROŠKOVI BUDUĆEG RAZDOBLJA I OBRAČUNATI PRIHODI</w:t>
            </w:r>
          </w:p>
        </w:tc>
        <w:tc>
          <w:tcPr>
            <w:tcW w:type="pct" w:w="540"/>
            <w:tcBorders>
              <w:top w:val="nil"/>
              <w:left w:val="nil"/>
              <w:bottom w:space="0" w:sz="4" w:color="000000" w:val="single"/>
              <w:right w:space="0" w:sz="4" w:color="000000" w:val="single"/>
            </w:tcBorders>
            <w:shd w:fill="auto" w:color="C0C0C0" w:val="pct25"/>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0"/>
            <w:tcBorders>
              <w:top w:val="nil"/>
              <w:left w:val="nil"/>
              <w:bottom w:space="0" w:sz="4" w:color="000000" w:val="single"/>
              <w:right w:space="0" w:sz="4" w:color="000000"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0</w:t>
            </w:r>
          </w:p>
        </w:tc>
        <w:tc>
          <w:tcPr>
            <w:tcW w:type="pct" w:w="540"/>
            <w:tcBorders>
              <w:top w:val="nil"/>
              <w:left w:val="nil"/>
              <w:bottom w:space="0" w:sz="4" w:color="000000" w:val="single"/>
              <w:right w:space="0" w:sz="4" w:color="000000"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156.502</w:t>
            </w:r>
          </w:p>
        </w:tc>
        <w:tc>
          <w:tcPr>
            <w:tcW w:type="pct" w:w="540"/>
            <w:tcBorders>
              <w:top w:val="nil"/>
              <w:left w:val="nil"/>
              <w:bottom w:space="0" w:sz="4" w:color="000000" w:val="single"/>
              <w:right w:space="0" w:sz="4" w:color="000000"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156.502</w:t>
            </w:r>
          </w:p>
        </w:tc>
      </w:tr>
      <w:tr w:rsidTr="001E3364" w:rsidR="001E3364">
        <w:trPr>
          <w:trHeight w:val="19"/>
        </w:trPr>
        <w:tc>
          <w:tcPr>
            <w:tcW w:type="pct" w:w="2839"/>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Arial" w:eastAsia="Times New Roman" w:hAnsi="Arial" w:ascii="Arial"/>
                <w:color w:val="0000FF"/>
                <w:sz w:val="16"/>
                <w:szCs w:val="16"/>
                <w:lang w:eastAsia="hr-HR"/>
              </w:rPr>
            </w:pPr>
            <w:r>
              <w:rPr>
                <w:rFonts w:cs="Arial" w:eastAsia="Times New Roman" w:hAnsi="Arial" w:ascii="Arial"/>
                <w:color w:val="0000FF"/>
                <w:sz w:val="16"/>
                <w:szCs w:val="16"/>
                <w:lang w:eastAsia="hr-HR"/>
              </w:rPr>
              <w:t>E)  UKUPNO AKTIVA</w:t>
            </w:r>
          </w:p>
        </w:tc>
        <w:tc>
          <w:tcPr>
            <w:tcW w:type="pct" w:w="540"/>
            <w:tcBorders>
              <w:top w:val="nil"/>
              <w:left w:val="nil"/>
              <w:bottom w:space="0" w:sz="4" w:color="000000" w:val="single"/>
              <w:right w:space="0" w:sz="4" w:color="000000"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215.388.042</w:t>
            </w:r>
          </w:p>
        </w:tc>
        <w:tc>
          <w:tcPr>
            <w:tcW w:type="pct" w:w="540"/>
            <w:tcBorders>
              <w:top w:val="nil"/>
              <w:left w:val="nil"/>
              <w:bottom w:space="0" w:sz="4" w:color="000000" w:val="single"/>
              <w:right w:space="0" w:sz="4" w:color="000000"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173.949.104</w:t>
            </w:r>
          </w:p>
        </w:tc>
        <w:tc>
          <w:tcPr>
            <w:tcW w:type="pct" w:w="540"/>
            <w:tcBorders>
              <w:top w:val="nil"/>
              <w:left w:val="nil"/>
              <w:bottom w:space="0" w:sz="4" w:color="000000" w:val="single"/>
              <w:right w:space="0" w:sz="4" w:color="000000"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158.380.459</w:t>
            </w:r>
          </w:p>
        </w:tc>
        <w:tc>
          <w:tcPr>
            <w:tcW w:type="pct" w:w="540"/>
            <w:tcBorders>
              <w:top w:val="nil"/>
              <w:left w:val="nil"/>
              <w:bottom w:space="0" w:sz="4" w:color="000000" w:val="single"/>
              <w:right w:space="0" w:sz="4" w:color="000000"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135.377.084</w:t>
            </w:r>
          </w:p>
        </w:tc>
      </w:tr>
      <w:tr w:rsidTr="001E3364" w:rsidR="001E3364">
        <w:trPr>
          <w:trHeight w:val="19"/>
        </w:trPr>
        <w:tc>
          <w:tcPr>
            <w:tcW w:type="pct" w:w="2839"/>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Arial" w:eastAsia="Times New Roman" w:hAnsi="Arial" w:ascii="Arial"/>
                <w:color w:val="0000FF"/>
                <w:sz w:val="16"/>
                <w:szCs w:val="16"/>
                <w:lang w:eastAsia="hr-HR"/>
              </w:rPr>
            </w:pPr>
            <w:r>
              <w:rPr>
                <w:rFonts w:cs="Arial" w:eastAsia="Times New Roman" w:hAnsi="Arial" w:ascii="Arial"/>
                <w:color w:val="0000FF"/>
                <w:sz w:val="16"/>
                <w:szCs w:val="16"/>
                <w:lang w:eastAsia="hr-HR"/>
              </w:rPr>
              <w:t>F)  IZVANBILANČNI ZAPISI</w:t>
            </w:r>
          </w:p>
        </w:tc>
        <w:tc>
          <w:tcPr>
            <w:tcW w:type="pct" w:w="540"/>
            <w:tcBorders>
              <w:top w:val="nil"/>
              <w:left w:val="nil"/>
              <w:bottom w:space="0" w:sz="4" w:color="000000" w:val="single"/>
              <w:right w:space="0" w:sz="4" w:color="000000" w:val="single"/>
            </w:tcBorders>
            <w:shd w:fill="auto" w:color="C0C0C0" w:val="pct25"/>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0"/>
            <w:tcBorders>
              <w:top w:val="nil"/>
              <w:left w:val="nil"/>
              <w:bottom w:space="0" w:sz="4" w:color="000000" w:val="single"/>
              <w:right w:space="0" w:sz="4" w:color="000000" w:val="single"/>
            </w:tcBorders>
            <w:shd w:fill="auto" w:color="C0C0C0" w:val="pct25"/>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0"/>
            <w:tcBorders>
              <w:top w:val="nil"/>
              <w:left w:val="nil"/>
              <w:bottom w:space="0" w:sz="4" w:color="000000" w:val="single"/>
              <w:right w:space="0" w:sz="4" w:color="000000" w:val="single"/>
            </w:tcBorders>
            <w:shd w:fill="auto" w:color="C0C0C0" w:val="pct25"/>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0"/>
            <w:tcBorders>
              <w:top w:val="nil"/>
              <w:left w:val="nil"/>
              <w:bottom w:space="0" w:sz="4" w:color="000000" w:val="single"/>
              <w:right w:space="0" w:sz="4" w:color="000000" w:val="single"/>
            </w:tcBorders>
            <w:shd w:fill="auto" w:color="C0C0C0" w:val="pct25"/>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r>
    </w:tbl>
    <w:p w:rsidRDefault="001E3364" w:rsidP="001E3364" w:rsidR="001E3364">
      <w:pPr>
        <w:rPr>
          <w:sz w:val="24"/>
          <w:szCs w:val="24"/>
        </w:rPr>
      </w:pPr>
    </w:p>
    <w:tbl>
      <w:tblPr>
        <w:tblW w:type="pct" w:w="5717"/>
        <w:tblInd w:type="dxa" w:w="-572"/>
        <w:tblLook w:val="04A0" w:noVBand="1" w:noHBand="0" w:lastColumn="0" w:firstColumn="1" w:lastRow="0" w:firstRow="1"/>
      </w:tblPr>
      <w:tblGrid>
        <w:gridCol w:w="5958"/>
        <w:gridCol w:w="1166"/>
        <w:gridCol w:w="1166"/>
        <w:gridCol w:w="1166"/>
        <w:gridCol w:w="1164"/>
      </w:tblGrid>
      <w:tr w:rsidTr="001E3364" w:rsidR="001E3364">
        <w:trPr>
          <w:trHeight w:val="20"/>
        </w:trPr>
        <w:tc>
          <w:tcPr>
            <w:tcW w:type="pct" w:w="2805"/>
            <w:tcBorders>
              <w:top w:space="0" w:sz="4" w:color="auto" w:val="single"/>
              <w:left w:space="0" w:sz="4" w:color="auto" w:val="single"/>
              <w:bottom w:val="nil"/>
              <w:right w:val="nil"/>
            </w:tcBorders>
            <w:shd w:fill="969696" w:color="auto" w:val="clear"/>
            <w:vAlign w:val="center"/>
            <w:hideMark/>
          </w:tcPr>
          <w:p w:rsidRDefault="001E3364" w:rsidR="001E3364">
            <w:pPr>
              <w:spacing w:lineRule="auto" w:line="240" w:after="0"/>
              <w:jc w:val="center"/>
              <w:rPr>
                <w:rFonts w:cs="Arial" w:eastAsia="Times New Roman" w:hAnsi="Arial" w:ascii="Arial"/>
                <w:b/>
                <w:bCs/>
                <w:color w:val="FFFFFF"/>
                <w:sz w:val="16"/>
                <w:szCs w:val="16"/>
                <w:lang w:eastAsia="hr-HR"/>
              </w:rPr>
            </w:pPr>
            <w:r>
              <w:rPr>
                <w:rFonts w:cs="Arial" w:eastAsia="Times New Roman" w:hAnsi="Arial" w:ascii="Arial"/>
                <w:b/>
                <w:bCs/>
                <w:color w:val="FFFFFF"/>
                <w:sz w:val="16"/>
                <w:szCs w:val="16"/>
                <w:lang w:eastAsia="hr-HR"/>
              </w:rPr>
              <w:lastRenderedPageBreak/>
              <w:t>Naziv pozicije</w:t>
            </w:r>
          </w:p>
        </w:tc>
        <w:tc>
          <w:tcPr>
            <w:tcW w:type="pct" w:w="549"/>
            <w:tcBorders>
              <w:top w:space="0" w:sz="4" w:color="auto" w:val="single"/>
              <w:left w:space="0" w:sz="4" w:color="auto" w:val="single"/>
              <w:bottom w:val="nil"/>
              <w:right w:val="nil"/>
            </w:tcBorders>
            <w:shd w:fill="969696" w:color="auto" w:val="clear"/>
            <w:vAlign w:val="center"/>
            <w:hideMark/>
          </w:tcPr>
          <w:p w:rsidRDefault="001E3364" w:rsidR="001E3364">
            <w:pPr>
              <w:spacing w:lineRule="auto" w:line="240" w:after="0"/>
              <w:jc w:val="center"/>
              <w:rPr>
                <w:rFonts w:cs="Arial" w:eastAsia="Times New Roman" w:hAnsi="Arial" w:ascii="Arial"/>
                <w:b/>
                <w:bCs/>
                <w:color w:val="FFFFFF"/>
                <w:sz w:val="16"/>
                <w:szCs w:val="16"/>
                <w:lang w:eastAsia="hr-HR"/>
              </w:rPr>
            </w:pPr>
            <w:r>
              <w:rPr>
                <w:rFonts w:cs="Arial" w:eastAsia="Times New Roman" w:hAnsi="Arial" w:ascii="Arial"/>
                <w:b/>
                <w:bCs/>
                <w:color w:val="FFFFFF"/>
                <w:sz w:val="16"/>
                <w:szCs w:val="16"/>
                <w:lang w:eastAsia="hr-HR"/>
              </w:rPr>
              <w:t>31.12.2015.</w:t>
            </w:r>
          </w:p>
        </w:tc>
        <w:tc>
          <w:tcPr>
            <w:tcW w:type="pct" w:w="549"/>
            <w:tcBorders>
              <w:top w:space="0" w:sz="4" w:color="auto" w:val="single"/>
              <w:left w:space="0" w:sz="4" w:color="auto" w:val="single"/>
              <w:bottom w:val="nil"/>
              <w:right w:val="nil"/>
            </w:tcBorders>
            <w:shd w:fill="969696" w:color="auto" w:val="clear"/>
            <w:vAlign w:val="center"/>
            <w:hideMark/>
          </w:tcPr>
          <w:p w:rsidRDefault="001E3364" w:rsidR="001E3364">
            <w:pPr>
              <w:spacing w:lineRule="auto" w:line="240" w:after="0"/>
              <w:jc w:val="center"/>
              <w:rPr>
                <w:rFonts w:cs="Arial" w:eastAsia="Times New Roman" w:hAnsi="Arial" w:ascii="Arial"/>
                <w:b/>
                <w:bCs/>
                <w:color w:val="FFFFFF"/>
                <w:sz w:val="16"/>
                <w:szCs w:val="16"/>
                <w:lang w:eastAsia="hr-HR"/>
              </w:rPr>
            </w:pPr>
            <w:r>
              <w:rPr>
                <w:rFonts w:cs="Arial" w:eastAsia="Times New Roman" w:hAnsi="Arial" w:ascii="Arial"/>
                <w:b/>
                <w:bCs/>
                <w:color w:val="FFFFFF"/>
                <w:sz w:val="16"/>
                <w:szCs w:val="16"/>
                <w:lang w:eastAsia="hr-HR"/>
              </w:rPr>
              <w:t>31.12.2016.</w:t>
            </w:r>
          </w:p>
        </w:tc>
        <w:tc>
          <w:tcPr>
            <w:tcW w:type="pct" w:w="549"/>
            <w:tcBorders>
              <w:top w:space="0" w:sz="4" w:color="auto" w:val="single"/>
              <w:left w:space="0" w:sz="4" w:color="auto" w:val="single"/>
              <w:bottom w:val="nil"/>
              <w:right w:space="0" w:sz="4" w:color="auto" w:val="single"/>
            </w:tcBorders>
            <w:shd w:fill="969696" w:color="auto" w:val="clear"/>
            <w:vAlign w:val="center"/>
            <w:hideMark/>
          </w:tcPr>
          <w:p w:rsidRDefault="001E3364" w:rsidR="001E3364">
            <w:pPr>
              <w:spacing w:lineRule="auto" w:line="240" w:after="0"/>
              <w:jc w:val="center"/>
              <w:rPr>
                <w:rFonts w:cs="Arial" w:eastAsia="Times New Roman" w:hAnsi="Arial" w:ascii="Arial"/>
                <w:b/>
                <w:bCs/>
                <w:color w:val="FFFFFF"/>
                <w:sz w:val="16"/>
                <w:szCs w:val="16"/>
                <w:lang w:eastAsia="hr-HR"/>
              </w:rPr>
            </w:pPr>
            <w:r>
              <w:rPr>
                <w:rFonts w:cs="Arial" w:eastAsia="Times New Roman" w:hAnsi="Arial" w:ascii="Arial"/>
                <w:b/>
                <w:bCs/>
                <w:color w:val="FFFFFF"/>
                <w:sz w:val="16"/>
                <w:szCs w:val="16"/>
                <w:lang w:eastAsia="hr-HR"/>
              </w:rPr>
              <w:t>31.12.2017.</w:t>
            </w:r>
          </w:p>
        </w:tc>
        <w:tc>
          <w:tcPr>
            <w:tcW w:type="pct" w:w="548"/>
            <w:tcBorders>
              <w:top w:space="0" w:sz="4" w:color="auto" w:val="single"/>
              <w:left w:val="nil"/>
              <w:bottom w:val="nil"/>
              <w:right w:space="0" w:sz="4" w:color="auto" w:val="single"/>
            </w:tcBorders>
            <w:shd w:fill="969696" w:color="auto" w:val="clear"/>
            <w:vAlign w:val="center"/>
            <w:hideMark/>
          </w:tcPr>
          <w:p w:rsidRDefault="001E3364" w:rsidR="001E3364">
            <w:pPr>
              <w:spacing w:lineRule="auto" w:line="240" w:after="0"/>
              <w:jc w:val="center"/>
              <w:rPr>
                <w:rFonts w:cs="Arial" w:eastAsia="Times New Roman" w:hAnsi="Arial" w:ascii="Arial"/>
                <w:b/>
                <w:bCs/>
                <w:color w:val="FFFFFF"/>
                <w:sz w:val="16"/>
                <w:szCs w:val="16"/>
                <w:lang w:eastAsia="hr-HR"/>
              </w:rPr>
            </w:pPr>
            <w:r>
              <w:rPr>
                <w:rFonts w:cs="Arial" w:eastAsia="Times New Roman" w:hAnsi="Arial" w:ascii="Arial"/>
                <w:b/>
                <w:bCs/>
                <w:color w:val="FFFFFF"/>
                <w:sz w:val="16"/>
                <w:szCs w:val="16"/>
                <w:lang w:eastAsia="hr-HR"/>
              </w:rPr>
              <w:t>6.7.2018.</w:t>
            </w:r>
          </w:p>
        </w:tc>
      </w:tr>
      <w:tr w:rsidTr="001E3364" w:rsidR="001E3364">
        <w:trPr>
          <w:trHeight w:val="20"/>
        </w:trPr>
        <w:tc>
          <w:tcPr>
            <w:tcW w:type="pct" w:w="2805"/>
            <w:tcBorders>
              <w:top w:space="0" w:sz="4" w:color="auto" w:val="single"/>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b/>
                <w:bCs/>
                <w:color w:val="000080"/>
                <w:sz w:val="16"/>
                <w:szCs w:val="16"/>
                <w:lang w:eastAsia="hr-HR"/>
              </w:rPr>
            </w:pPr>
            <w:r>
              <w:rPr>
                <w:rFonts w:cs="Arial" w:eastAsia="Times New Roman" w:hAnsi="Arial" w:ascii="Arial"/>
                <w:b/>
                <w:bCs/>
                <w:color w:val="000080"/>
                <w:sz w:val="16"/>
                <w:szCs w:val="16"/>
                <w:lang w:eastAsia="hr-HR"/>
              </w:rPr>
              <w:t>PASIVA</w:t>
            </w:r>
          </w:p>
        </w:tc>
        <w:tc>
          <w:tcPr>
            <w:tcW w:type="pct" w:w="549"/>
            <w:tcBorders>
              <w:top w:space="0" w:sz="4" w:color="auto" w:val="single"/>
              <w:left w:val="nil"/>
              <w:bottom w:space="0" w:sz="4" w:color="auto" w:val="single"/>
              <w:right w:val="nil"/>
            </w:tcBorders>
            <w:noWrap/>
            <w:vAlign w:val="bottom"/>
            <w:hideMark/>
          </w:tcPr>
          <w:p w:rsidRDefault="001E3364" w:rsidR="001E3364">
            <w:pPr>
              <w:spacing w:lineRule="auto" w:line="240" w:after="0"/>
              <w:rPr>
                <w:rFonts w:cs="Arial" w:eastAsia="Times New Roman" w:hAnsi="Arial" w:ascii="Arial"/>
                <w:color w:val="000000"/>
                <w:sz w:val="16"/>
                <w:szCs w:val="16"/>
                <w:lang w:eastAsia="hr-HR"/>
              </w:rPr>
            </w:pPr>
            <w:r>
              <w:rPr>
                <w:rFonts w:cs="Arial" w:eastAsia="Times New Roman" w:hAnsi="Arial" w:ascii="Arial"/>
                <w:color w:val="000000"/>
                <w:sz w:val="16"/>
                <w:szCs w:val="16"/>
                <w:lang w:eastAsia="hr-HR"/>
              </w:rPr>
              <w:t> </w:t>
            </w:r>
          </w:p>
        </w:tc>
        <w:tc>
          <w:tcPr>
            <w:tcW w:type="pct" w:w="549"/>
            <w:tcBorders>
              <w:top w:space="0" w:sz="4" w:color="auto" w:val="single"/>
              <w:left w:val="nil"/>
              <w:bottom w:space="0" w:sz="4" w:color="auto" w:val="single"/>
              <w:right w:val="nil"/>
            </w:tcBorders>
            <w:noWrap/>
            <w:vAlign w:val="bottom"/>
            <w:hideMark/>
          </w:tcPr>
          <w:p w:rsidRDefault="001E3364" w:rsidR="001E3364">
            <w:pPr>
              <w:spacing w:lineRule="auto" w:line="240" w:after="0"/>
              <w:rPr>
                <w:rFonts w:cs="Arial" w:eastAsia="Times New Roman" w:hAnsi="Arial" w:ascii="Arial"/>
                <w:color w:val="000000"/>
                <w:sz w:val="16"/>
                <w:szCs w:val="16"/>
                <w:lang w:eastAsia="hr-HR"/>
              </w:rPr>
            </w:pPr>
            <w:r>
              <w:rPr>
                <w:rFonts w:cs="Arial" w:eastAsia="Times New Roman" w:hAnsi="Arial" w:ascii="Arial"/>
                <w:color w:val="000000"/>
                <w:sz w:val="16"/>
                <w:szCs w:val="16"/>
                <w:lang w:eastAsia="hr-HR"/>
              </w:rPr>
              <w:t> </w:t>
            </w:r>
          </w:p>
        </w:tc>
        <w:tc>
          <w:tcPr>
            <w:tcW w:type="pct" w:w="549"/>
            <w:tcBorders>
              <w:top w:space="0" w:sz="4" w:color="auto" w:val="single"/>
              <w:left w:val="nil"/>
              <w:bottom w:space="0" w:sz="4" w:color="auto" w:val="single"/>
              <w:right w:space="0" w:sz="4" w:color="auto" w:val="single"/>
            </w:tcBorders>
            <w:noWrap/>
            <w:vAlign w:val="bottom"/>
            <w:hideMark/>
          </w:tcPr>
          <w:p w:rsidRDefault="001E3364" w:rsidR="001E3364">
            <w:pPr>
              <w:spacing w:lineRule="auto" w:line="240" w:after="0"/>
              <w:rPr>
                <w:rFonts w:cs="Arial" w:eastAsia="Times New Roman" w:hAnsi="Arial" w:ascii="Arial"/>
                <w:color w:val="000000"/>
                <w:sz w:val="16"/>
                <w:szCs w:val="16"/>
                <w:lang w:eastAsia="hr-HR"/>
              </w:rPr>
            </w:pPr>
            <w:r>
              <w:rPr>
                <w:rFonts w:cs="Arial" w:eastAsia="Times New Roman" w:hAnsi="Arial" w:ascii="Arial"/>
                <w:color w:val="000000"/>
                <w:sz w:val="16"/>
                <w:szCs w:val="16"/>
                <w:lang w:eastAsia="hr-HR"/>
              </w:rPr>
              <w:t> </w:t>
            </w:r>
          </w:p>
        </w:tc>
        <w:tc>
          <w:tcPr>
            <w:tcW w:type="pct" w:w="548"/>
            <w:tcBorders>
              <w:top w:space="0" w:sz="4" w:color="auto" w:val="single"/>
              <w:left w:val="nil"/>
              <w:bottom w:space="0" w:sz="4" w:color="auto" w:val="single"/>
              <w:right w:space="0" w:sz="4" w:color="auto" w:val="single"/>
            </w:tcBorders>
            <w:noWrap/>
            <w:vAlign w:val="bottom"/>
            <w:hideMark/>
          </w:tcPr>
          <w:p w:rsidRDefault="001E3364" w:rsidR="001E3364">
            <w:pPr>
              <w:spacing w:lineRule="auto" w:line="240" w:after="0"/>
              <w:rPr>
                <w:rFonts w:cs="Arial" w:eastAsia="Times New Roman" w:hAnsi="Arial" w:ascii="Arial"/>
                <w:color w:val="000000"/>
                <w:sz w:val="16"/>
                <w:szCs w:val="16"/>
                <w:lang w:eastAsia="hr-HR"/>
              </w:rPr>
            </w:pPr>
            <w:r>
              <w:rPr>
                <w:rFonts w:cs="Arial" w:eastAsia="Times New Roman" w:hAnsi="Arial" w:ascii="Arial"/>
                <w:color w:val="000000"/>
                <w:sz w:val="16"/>
                <w:szCs w:val="16"/>
                <w:lang w:eastAsia="hr-HR"/>
              </w:rPr>
              <w:t> </w:t>
            </w:r>
          </w:p>
        </w:tc>
      </w:tr>
      <w:tr w:rsidTr="001E3364" w:rsidR="001E3364">
        <w:trPr>
          <w:trHeight w:val="20"/>
        </w:trPr>
        <w:tc>
          <w:tcPr>
            <w:tcW w:type="pct" w:w="2805"/>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b/>
                <w:bCs/>
                <w:sz w:val="16"/>
                <w:szCs w:val="16"/>
                <w:lang w:eastAsia="hr-HR"/>
              </w:rPr>
            </w:pPr>
            <w:r>
              <w:rPr>
                <w:rFonts w:cs="Arial" w:eastAsia="Times New Roman" w:hAnsi="Arial" w:ascii="Arial"/>
                <w:b/>
                <w:bCs/>
                <w:sz w:val="16"/>
                <w:szCs w:val="16"/>
                <w:lang w:eastAsia="hr-HR"/>
              </w:rPr>
              <w:t>A)  KAPITAL I REZERVE</w:t>
            </w:r>
          </w:p>
        </w:tc>
        <w:tc>
          <w:tcPr>
            <w:tcW w:type="pct" w:w="549"/>
            <w:tcBorders>
              <w:top w:val="nil"/>
              <w:left w:space="0" w:sz="4" w:color="auto" w:val="single"/>
              <w:bottom w:space="0" w:sz="4" w:color="auto"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70.005.564</w:t>
            </w:r>
          </w:p>
        </w:tc>
        <w:tc>
          <w:tcPr>
            <w:tcW w:type="pct" w:w="549"/>
            <w:tcBorders>
              <w:top w:val="nil"/>
              <w:left w:val="nil"/>
              <w:bottom w:space="0" w:sz="4" w:color="auto"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69.225.798</w:t>
            </w:r>
          </w:p>
        </w:tc>
        <w:tc>
          <w:tcPr>
            <w:tcW w:type="pct" w:w="549"/>
            <w:tcBorders>
              <w:top w:val="nil"/>
              <w:left w:val="nil"/>
              <w:bottom w:space="0" w:sz="4" w:color="auto"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42.762.985</w:t>
            </w:r>
          </w:p>
        </w:tc>
        <w:tc>
          <w:tcPr>
            <w:tcW w:type="pct" w:w="548"/>
            <w:tcBorders>
              <w:top w:val="nil"/>
              <w:left w:val="nil"/>
              <w:bottom w:space="0" w:sz="4" w:color="auto"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26.810.359</w:t>
            </w:r>
          </w:p>
        </w:tc>
      </w:tr>
      <w:tr w:rsidTr="001E3364" w:rsidR="001E3364">
        <w:trPr>
          <w:trHeight w:val="20"/>
        </w:trPr>
        <w:tc>
          <w:tcPr>
            <w:tcW w:type="pct" w:w="2805"/>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color w:val="0000FF"/>
                <w:sz w:val="16"/>
                <w:szCs w:val="16"/>
                <w:lang w:eastAsia="hr-HR"/>
              </w:rPr>
            </w:pPr>
            <w:r>
              <w:rPr>
                <w:rFonts w:cs="Arial" w:eastAsia="Times New Roman" w:hAnsi="Arial" w:ascii="Arial"/>
                <w:color w:val="0000FF"/>
                <w:sz w:val="16"/>
                <w:szCs w:val="16"/>
                <w:lang w:eastAsia="hr-HR"/>
              </w:rPr>
              <w:t>I. TEMELJNI (UPISANI) KAPITAL</w:t>
            </w:r>
          </w:p>
        </w:tc>
        <w:tc>
          <w:tcPr>
            <w:tcW w:type="pct" w:w="549"/>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5.754.600</w:t>
            </w:r>
          </w:p>
        </w:tc>
        <w:tc>
          <w:tcPr>
            <w:tcW w:type="pct" w:w="549"/>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10.424.900</w:t>
            </w:r>
          </w:p>
        </w:tc>
        <w:tc>
          <w:tcPr>
            <w:tcW w:type="pct" w:w="549"/>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10.424.900</w:t>
            </w:r>
          </w:p>
        </w:tc>
        <w:tc>
          <w:tcPr>
            <w:tcW w:type="pct" w:w="548"/>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10.424.900</w:t>
            </w:r>
          </w:p>
        </w:tc>
      </w:tr>
      <w:tr w:rsidTr="001E3364" w:rsidR="001E3364">
        <w:trPr>
          <w:trHeight w:val="20"/>
        </w:trPr>
        <w:tc>
          <w:tcPr>
            <w:tcW w:type="pct" w:w="2805"/>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color w:val="0000FF"/>
                <w:sz w:val="16"/>
                <w:szCs w:val="16"/>
                <w:lang w:eastAsia="hr-HR"/>
              </w:rPr>
            </w:pPr>
            <w:r>
              <w:rPr>
                <w:rFonts w:cs="Arial" w:eastAsia="Times New Roman" w:hAnsi="Arial" w:ascii="Arial"/>
                <w:color w:val="0000FF"/>
                <w:sz w:val="16"/>
                <w:szCs w:val="16"/>
                <w:lang w:eastAsia="hr-HR"/>
              </w:rPr>
              <w:t>II. KAPITALNE REZERVE</w:t>
            </w:r>
          </w:p>
        </w:tc>
        <w:tc>
          <w:tcPr>
            <w:tcW w:type="pct" w:w="549"/>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9"/>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9"/>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8"/>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1E3364" w:rsidR="001E3364">
        <w:trPr>
          <w:trHeight w:val="20"/>
        </w:trPr>
        <w:tc>
          <w:tcPr>
            <w:tcW w:type="pct" w:w="2805"/>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color w:val="0000FF"/>
                <w:sz w:val="16"/>
                <w:szCs w:val="16"/>
                <w:lang w:eastAsia="hr-HR"/>
              </w:rPr>
            </w:pPr>
            <w:r>
              <w:rPr>
                <w:rFonts w:cs="Arial" w:eastAsia="Times New Roman" w:hAnsi="Arial" w:ascii="Arial"/>
                <w:color w:val="0000FF"/>
                <w:sz w:val="16"/>
                <w:szCs w:val="16"/>
                <w:lang w:eastAsia="hr-HR"/>
              </w:rPr>
              <w:t>III. REZERVE IZ DOBITI</w:t>
            </w:r>
          </w:p>
        </w:tc>
        <w:tc>
          <w:tcPr>
            <w:tcW w:type="pct" w:w="549"/>
            <w:tcBorders>
              <w:top w:val="nil"/>
              <w:left w:space="0" w:sz="4" w:color="auto" w:val="single"/>
              <w:bottom w:space="0" w:sz="4" w:color="auto" w:val="single"/>
              <w:right w:space="0" w:sz="4" w:color="auto" w:val="single"/>
            </w:tcBorders>
            <w:noWrap/>
            <w:vAlign w:val="center"/>
          </w:tcPr>
          <w:p w:rsidRDefault="001E3364" w:rsidR="001E3364">
            <w:pPr>
              <w:spacing w:lineRule="auto" w:line="240" w:after="0"/>
              <w:jc w:val="right"/>
              <w:rPr>
                <w:rFonts w:cs="Arial" w:eastAsia="Times New Roman" w:hAnsi="Arial" w:ascii="Arial"/>
                <w:sz w:val="16"/>
                <w:szCs w:val="16"/>
                <w:lang w:eastAsia="hr-HR"/>
              </w:rPr>
            </w:pPr>
          </w:p>
        </w:tc>
        <w:tc>
          <w:tcPr>
            <w:tcW w:type="pct" w:w="549"/>
            <w:tcBorders>
              <w:top w:val="nil"/>
              <w:left w:val="nil"/>
              <w:bottom w:space="0" w:sz="4" w:color="auto" w:val="single"/>
              <w:right w:space="0" w:sz="4" w:color="auto" w:val="single"/>
            </w:tcBorders>
            <w:noWrap/>
            <w:vAlign w:val="center"/>
          </w:tcPr>
          <w:p w:rsidRDefault="001E3364" w:rsidR="001E3364">
            <w:pPr>
              <w:spacing w:lineRule="auto" w:line="240" w:after="0"/>
              <w:jc w:val="right"/>
              <w:rPr>
                <w:rFonts w:cs="Arial" w:eastAsia="Times New Roman" w:hAnsi="Arial" w:ascii="Arial"/>
                <w:sz w:val="16"/>
                <w:szCs w:val="16"/>
                <w:lang w:eastAsia="hr-HR"/>
              </w:rPr>
            </w:pPr>
          </w:p>
        </w:tc>
        <w:tc>
          <w:tcPr>
            <w:tcW w:type="pct" w:w="549"/>
            <w:tcBorders>
              <w:top w:val="nil"/>
              <w:left w:val="nil"/>
              <w:bottom w:space="0" w:sz="4" w:color="auto" w:val="single"/>
              <w:right w:space="0" w:sz="4" w:color="auto" w:val="single"/>
            </w:tcBorders>
            <w:noWrap/>
            <w:vAlign w:val="center"/>
          </w:tcPr>
          <w:p w:rsidRDefault="001E3364" w:rsidR="001E3364">
            <w:pPr>
              <w:spacing w:lineRule="auto" w:line="240" w:after="0"/>
              <w:jc w:val="right"/>
              <w:rPr>
                <w:rFonts w:cs="Arial" w:eastAsia="Times New Roman" w:hAnsi="Arial" w:ascii="Arial"/>
                <w:sz w:val="16"/>
                <w:szCs w:val="16"/>
                <w:lang w:eastAsia="hr-HR"/>
              </w:rPr>
            </w:pPr>
          </w:p>
        </w:tc>
        <w:tc>
          <w:tcPr>
            <w:tcW w:type="pct" w:w="548"/>
            <w:tcBorders>
              <w:top w:val="nil"/>
              <w:left w:val="nil"/>
              <w:bottom w:space="0" w:sz="4" w:color="auto" w:val="single"/>
              <w:right w:space="0" w:sz="4" w:color="auto" w:val="single"/>
            </w:tcBorders>
            <w:noWrap/>
            <w:vAlign w:val="center"/>
          </w:tcPr>
          <w:p w:rsidRDefault="001E3364" w:rsidR="001E3364">
            <w:pPr>
              <w:spacing w:lineRule="auto" w:line="240" w:after="0"/>
              <w:jc w:val="right"/>
              <w:rPr>
                <w:rFonts w:cs="Arial" w:eastAsia="Times New Roman" w:hAnsi="Arial" w:ascii="Arial"/>
                <w:sz w:val="16"/>
                <w:szCs w:val="16"/>
                <w:lang w:eastAsia="hr-HR"/>
              </w:rPr>
            </w:pPr>
          </w:p>
        </w:tc>
      </w:tr>
      <w:tr w:rsidTr="001E3364" w:rsidR="001E3364">
        <w:trPr>
          <w:trHeight w:val="20"/>
        </w:trPr>
        <w:tc>
          <w:tcPr>
            <w:tcW w:type="pct" w:w="2805"/>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1. Zakonske rezerve</w:t>
            </w:r>
          </w:p>
        </w:tc>
        <w:tc>
          <w:tcPr>
            <w:tcW w:type="pct" w:w="549"/>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9"/>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9"/>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8"/>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1E3364" w:rsidR="001E3364">
        <w:trPr>
          <w:trHeight w:val="20"/>
        </w:trPr>
        <w:tc>
          <w:tcPr>
            <w:tcW w:type="pct" w:w="2805"/>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2. Rezerve za vlastite dionice</w:t>
            </w:r>
          </w:p>
        </w:tc>
        <w:tc>
          <w:tcPr>
            <w:tcW w:type="pct" w:w="549"/>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9"/>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9"/>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8"/>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1E3364" w:rsidR="001E3364">
        <w:trPr>
          <w:trHeight w:val="20"/>
        </w:trPr>
        <w:tc>
          <w:tcPr>
            <w:tcW w:type="pct" w:w="2805"/>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3. Vlastite dionice i udjeli (odbitna stavka)</w:t>
            </w:r>
          </w:p>
        </w:tc>
        <w:tc>
          <w:tcPr>
            <w:tcW w:type="pct" w:w="549"/>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9"/>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9"/>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8"/>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1E3364" w:rsidR="001E3364">
        <w:trPr>
          <w:trHeight w:val="20"/>
        </w:trPr>
        <w:tc>
          <w:tcPr>
            <w:tcW w:type="pct" w:w="2805"/>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4. Statutarne rezerve</w:t>
            </w:r>
          </w:p>
        </w:tc>
        <w:tc>
          <w:tcPr>
            <w:tcW w:type="pct" w:w="549"/>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9"/>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9"/>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8"/>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1E3364" w:rsidR="001E3364">
        <w:trPr>
          <w:trHeight w:val="20"/>
        </w:trPr>
        <w:tc>
          <w:tcPr>
            <w:tcW w:type="pct" w:w="2805"/>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5. Ostale rezerve</w:t>
            </w:r>
          </w:p>
        </w:tc>
        <w:tc>
          <w:tcPr>
            <w:tcW w:type="pct" w:w="549"/>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9"/>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9"/>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8"/>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1E3364" w:rsidR="001E3364">
        <w:trPr>
          <w:trHeight w:val="20"/>
        </w:trPr>
        <w:tc>
          <w:tcPr>
            <w:tcW w:type="pct" w:w="2805"/>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color w:val="0000FF"/>
                <w:sz w:val="16"/>
                <w:szCs w:val="16"/>
                <w:lang w:eastAsia="hr-HR"/>
              </w:rPr>
            </w:pPr>
            <w:r>
              <w:rPr>
                <w:rFonts w:cs="Arial" w:eastAsia="Times New Roman" w:hAnsi="Arial" w:ascii="Arial"/>
                <w:color w:val="0000FF"/>
                <w:sz w:val="16"/>
                <w:szCs w:val="16"/>
                <w:lang w:eastAsia="hr-HR"/>
              </w:rPr>
              <w:t>IV. REVALORIZACIJSKE REZERVE</w:t>
            </w:r>
          </w:p>
        </w:tc>
        <w:tc>
          <w:tcPr>
            <w:tcW w:type="pct" w:w="549"/>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56.185.961</w:t>
            </w:r>
          </w:p>
        </w:tc>
        <w:tc>
          <w:tcPr>
            <w:tcW w:type="pct" w:w="549"/>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54.458.195</w:t>
            </w:r>
          </w:p>
        </w:tc>
        <w:tc>
          <w:tcPr>
            <w:tcW w:type="pct" w:w="549"/>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43.464.769</w:t>
            </w:r>
          </w:p>
        </w:tc>
        <w:tc>
          <w:tcPr>
            <w:tcW w:type="pct" w:w="548"/>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31.587.695</w:t>
            </w:r>
          </w:p>
        </w:tc>
      </w:tr>
      <w:tr w:rsidTr="001E3364" w:rsidR="001E3364">
        <w:trPr>
          <w:trHeight w:val="20"/>
        </w:trPr>
        <w:tc>
          <w:tcPr>
            <w:tcW w:type="pct" w:w="2805"/>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color w:val="0000FF"/>
                <w:sz w:val="16"/>
                <w:szCs w:val="16"/>
                <w:lang w:eastAsia="hr-HR"/>
              </w:rPr>
            </w:pPr>
            <w:r>
              <w:rPr>
                <w:rFonts w:cs="Arial" w:eastAsia="Times New Roman" w:hAnsi="Arial" w:ascii="Arial"/>
                <w:color w:val="0000FF"/>
                <w:sz w:val="16"/>
                <w:szCs w:val="16"/>
                <w:lang w:eastAsia="hr-HR"/>
              </w:rPr>
              <w:t>V. REZERVE FER VRIJEDNOSTI</w:t>
            </w:r>
          </w:p>
        </w:tc>
        <w:tc>
          <w:tcPr>
            <w:tcW w:type="pct" w:w="549"/>
            <w:tcBorders>
              <w:top w:val="nil"/>
              <w:left w:space="0" w:sz="4" w:color="auto" w:val="single"/>
              <w:bottom w:space="0" w:sz="4" w:color="auto"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0</w:t>
            </w:r>
          </w:p>
        </w:tc>
        <w:tc>
          <w:tcPr>
            <w:tcW w:type="pct" w:w="549"/>
            <w:tcBorders>
              <w:top w:val="nil"/>
              <w:left w:val="nil"/>
              <w:bottom w:space="0" w:sz="4" w:color="auto"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0</w:t>
            </w:r>
          </w:p>
        </w:tc>
        <w:tc>
          <w:tcPr>
            <w:tcW w:type="pct" w:w="549"/>
            <w:tcBorders>
              <w:top w:val="nil"/>
              <w:left w:val="nil"/>
              <w:bottom w:space="0" w:sz="4" w:color="auto"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0</w:t>
            </w:r>
          </w:p>
        </w:tc>
        <w:tc>
          <w:tcPr>
            <w:tcW w:type="pct" w:w="548"/>
            <w:tcBorders>
              <w:top w:val="nil"/>
              <w:left w:val="nil"/>
              <w:bottom w:space="0" w:sz="4" w:color="auto"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0</w:t>
            </w:r>
          </w:p>
        </w:tc>
      </w:tr>
      <w:tr w:rsidTr="001E3364" w:rsidR="001E3364">
        <w:trPr>
          <w:trHeight w:val="20"/>
        </w:trPr>
        <w:tc>
          <w:tcPr>
            <w:tcW w:type="pct" w:w="2805"/>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1. Fer vrijednost financijske imovine raspoložive za prodaju</w:t>
            </w:r>
          </w:p>
        </w:tc>
        <w:tc>
          <w:tcPr>
            <w:tcW w:type="pct" w:w="549"/>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9"/>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9"/>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8"/>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1E3364" w:rsidR="001E3364">
        <w:trPr>
          <w:trHeight w:val="20"/>
        </w:trPr>
        <w:tc>
          <w:tcPr>
            <w:tcW w:type="pct" w:w="2805"/>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2. Učinkoviti dio zaštite novčanih tokova</w:t>
            </w:r>
          </w:p>
        </w:tc>
        <w:tc>
          <w:tcPr>
            <w:tcW w:type="pct" w:w="549"/>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9"/>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9"/>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8"/>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1E3364" w:rsidR="001E3364">
        <w:trPr>
          <w:trHeight w:val="20"/>
        </w:trPr>
        <w:tc>
          <w:tcPr>
            <w:tcW w:type="pct" w:w="2805"/>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3. Učinkoviti dio zaštite neto ulaganja u inozemstvu</w:t>
            </w:r>
          </w:p>
        </w:tc>
        <w:tc>
          <w:tcPr>
            <w:tcW w:type="pct" w:w="549"/>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9"/>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9"/>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8"/>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1E3364" w:rsidR="001E3364">
        <w:trPr>
          <w:trHeight w:val="20"/>
        </w:trPr>
        <w:tc>
          <w:tcPr>
            <w:tcW w:type="pct" w:w="2805"/>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color w:val="0000FF"/>
                <w:sz w:val="16"/>
                <w:szCs w:val="16"/>
                <w:lang w:eastAsia="hr-HR"/>
              </w:rPr>
            </w:pPr>
            <w:r>
              <w:rPr>
                <w:rFonts w:cs="Arial" w:eastAsia="Times New Roman" w:hAnsi="Arial" w:ascii="Arial"/>
                <w:color w:val="0000FF"/>
                <w:sz w:val="16"/>
                <w:szCs w:val="16"/>
                <w:lang w:eastAsia="hr-HR"/>
              </w:rPr>
              <w:t>VI. ZADRŽANA DOBIT ILI PRENESENI GUBITAK</w:t>
            </w:r>
          </w:p>
        </w:tc>
        <w:tc>
          <w:tcPr>
            <w:tcW w:type="pct" w:w="549"/>
            <w:tcBorders>
              <w:top w:val="nil"/>
              <w:left w:space="0" w:sz="4" w:color="auto" w:val="single"/>
              <w:bottom w:space="0" w:sz="4" w:color="auto"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2.978.261</w:t>
            </w:r>
          </w:p>
        </w:tc>
        <w:tc>
          <w:tcPr>
            <w:tcW w:type="pct" w:w="549"/>
            <w:tcBorders>
              <w:top w:val="nil"/>
              <w:left w:val="nil"/>
              <w:bottom w:space="0" w:sz="4" w:color="auto"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4.689.128</w:t>
            </w:r>
          </w:p>
        </w:tc>
        <w:tc>
          <w:tcPr>
            <w:tcW w:type="pct" w:w="549"/>
            <w:tcBorders>
              <w:top w:val="nil"/>
              <w:left w:val="nil"/>
              <w:bottom w:space="0" w:sz="4" w:color="auto"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-455.757</w:t>
            </w:r>
          </w:p>
        </w:tc>
        <w:tc>
          <w:tcPr>
            <w:tcW w:type="pct" w:w="548"/>
            <w:tcBorders>
              <w:top w:val="nil"/>
              <w:left w:val="nil"/>
              <w:bottom w:space="0" w:sz="4" w:color="auto"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-10.777.052</w:t>
            </w:r>
          </w:p>
        </w:tc>
      </w:tr>
      <w:tr w:rsidTr="001E3364" w:rsidR="001E3364">
        <w:trPr>
          <w:trHeight w:val="20"/>
        </w:trPr>
        <w:tc>
          <w:tcPr>
            <w:tcW w:type="pct" w:w="2805"/>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1. Zadržana dobit</w:t>
            </w:r>
          </w:p>
        </w:tc>
        <w:tc>
          <w:tcPr>
            <w:tcW w:type="pct" w:w="549"/>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2.978.261</w:t>
            </w:r>
          </w:p>
        </w:tc>
        <w:tc>
          <w:tcPr>
            <w:tcW w:type="pct" w:w="549"/>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4.689.128</w:t>
            </w:r>
          </w:p>
        </w:tc>
        <w:tc>
          <w:tcPr>
            <w:tcW w:type="pct" w:w="549"/>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8"/>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1E3364" w:rsidR="001E3364">
        <w:trPr>
          <w:trHeight w:val="20"/>
        </w:trPr>
        <w:tc>
          <w:tcPr>
            <w:tcW w:type="pct" w:w="2805"/>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2. Preneseni gubitak</w:t>
            </w:r>
          </w:p>
        </w:tc>
        <w:tc>
          <w:tcPr>
            <w:tcW w:type="pct" w:w="549"/>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9"/>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9"/>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455.757</w:t>
            </w:r>
          </w:p>
        </w:tc>
        <w:tc>
          <w:tcPr>
            <w:tcW w:type="pct" w:w="548"/>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10.777.052</w:t>
            </w:r>
          </w:p>
        </w:tc>
      </w:tr>
      <w:tr w:rsidTr="001E3364" w:rsidR="001E3364">
        <w:trPr>
          <w:trHeight w:val="20"/>
        </w:trPr>
        <w:tc>
          <w:tcPr>
            <w:tcW w:type="pct" w:w="2805"/>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color w:val="0000FF"/>
                <w:sz w:val="16"/>
                <w:szCs w:val="16"/>
                <w:lang w:eastAsia="hr-HR"/>
              </w:rPr>
            </w:pPr>
            <w:r>
              <w:rPr>
                <w:rFonts w:cs="Arial" w:eastAsia="Times New Roman" w:hAnsi="Arial" w:ascii="Arial"/>
                <w:color w:val="0000FF"/>
                <w:sz w:val="16"/>
                <w:szCs w:val="16"/>
                <w:lang w:eastAsia="hr-HR"/>
              </w:rPr>
              <w:t>VII. DOBIT ILI GUBITAK POSLOVNE GODINE</w:t>
            </w:r>
          </w:p>
        </w:tc>
        <w:tc>
          <w:tcPr>
            <w:tcW w:type="pct" w:w="549"/>
            <w:tcBorders>
              <w:top w:val="nil"/>
              <w:left w:space="0" w:sz="4" w:color="auto" w:val="single"/>
              <w:bottom w:space="0" w:sz="4" w:color="auto"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5.086.742</w:t>
            </w:r>
          </w:p>
        </w:tc>
        <w:tc>
          <w:tcPr>
            <w:tcW w:type="pct" w:w="549"/>
            <w:tcBorders>
              <w:top w:val="nil"/>
              <w:left w:val="nil"/>
              <w:bottom w:space="0" w:sz="4" w:color="auto"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-346.425</w:t>
            </w:r>
          </w:p>
        </w:tc>
        <w:tc>
          <w:tcPr>
            <w:tcW w:type="pct" w:w="549"/>
            <w:tcBorders>
              <w:top w:val="nil"/>
              <w:left w:val="nil"/>
              <w:bottom w:space="0" w:sz="4" w:color="auto"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-10.670.927</w:t>
            </w:r>
          </w:p>
        </w:tc>
        <w:tc>
          <w:tcPr>
            <w:tcW w:type="pct" w:w="548"/>
            <w:tcBorders>
              <w:top w:val="nil"/>
              <w:left w:val="nil"/>
              <w:bottom w:space="0" w:sz="4" w:color="auto"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-4.425.184</w:t>
            </w:r>
          </w:p>
        </w:tc>
      </w:tr>
      <w:tr w:rsidTr="001E3364" w:rsidR="001E3364">
        <w:trPr>
          <w:trHeight w:val="20"/>
        </w:trPr>
        <w:tc>
          <w:tcPr>
            <w:tcW w:type="pct" w:w="2805"/>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1. Dobit poslovne godine</w:t>
            </w:r>
          </w:p>
        </w:tc>
        <w:tc>
          <w:tcPr>
            <w:tcW w:type="pct" w:w="549"/>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5.086.742</w:t>
            </w:r>
          </w:p>
        </w:tc>
        <w:tc>
          <w:tcPr>
            <w:tcW w:type="pct" w:w="549"/>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9"/>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8"/>
            <w:tcBorders>
              <w:top w:val="nil"/>
              <w:left w:val="nil"/>
              <w:bottom w:space="0" w:sz="4" w:color="auto" w:val="single"/>
              <w:right w:space="0" w:sz="4" w:color="auto" w:val="single"/>
            </w:tcBorders>
            <w:noWrap/>
            <w:vAlign w:val="center"/>
            <w:hideMark/>
          </w:tcPr>
          <w:p w:rsidRDefault="001E3364" w:rsidR="001E3364">
            <w:pPr>
              <w:spacing w:after="0"/>
              <w:rPr>
                <w:rFonts w:cs="Times New Roman"/>
              </w:rPr>
            </w:pPr>
          </w:p>
        </w:tc>
      </w:tr>
      <w:tr w:rsidTr="001E3364" w:rsidR="001E3364">
        <w:trPr>
          <w:trHeight w:val="20"/>
        </w:trPr>
        <w:tc>
          <w:tcPr>
            <w:tcW w:type="pct" w:w="2805"/>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2. Gubitak poslovne godine</w:t>
            </w:r>
          </w:p>
        </w:tc>
        <w:tc>
          <w:tcPr>
            <w:tcW w:type="pct" w:w="549"/>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9"/>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346.425</w:t>
            </w:r>
          </w:p>
        </w:tc>
        <w:tc>
          <w:tcPr>
            <w:tcW w:type="pct" w:w="549"/>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10.670.927</w:t>
            </w:r>
          </w:p>
        </w:tc>
        <w:tc>
          <w:tcPr>
            <w:tcW w:type="pct" w:w="548"/>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-4.425.184</w:t>
            </w:r>
          </w:p>
        </w:tc>
      </w:tr>
      <w:tr w:rsidTr="001E3364" w:rsidR="001E3364">
        <w:trPr>
          <w:trHeight w:val="20"/>
        </w:trPr>
        <w:tc>
          <w:tcPr>
            <w:tcW w:type="pct" w:w="2805"/>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color w:val="0000FF"/>
                <w:sz w:val="16"/>
                <w:szCs w:val="16"/>
                <w:lang w:eastAsia="hr-HR"/>
              </w:rPr>
            </w:pPr>
            <w:r>
              <w:rPr>
                <w:rFonts w:cs="Arial" w:eastAsia="Times New Roman" w:hAnsi="Arial" w:ascii="Arial"/>
                <w:color w:val="0000FF"/>
                <w:sz w:val="16"/>
                <w:szCs w:val="16"/>
                <w:lang w:eastAsia="hr-HR"/>
              </w:rPr>
              <w:t>VIII. MANJINSKI (NEKONTROLIRAJUĆI) INTERES</w:t>
            </w:r>
          </w:p>
        </w:tc>
        <w:tc>
          <w:tcPr>
            <w:tcW w:type="pct" w:w="549"/>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9"/>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9"/>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8"/>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1E3364" w:rsidR="001E3364">
        <w:trPr>
          <w:trHeight w:val="20"/>
        </w:trPr>
        <w:tc>
          <w:tcPr>
            <w:tcW w:type="pct" w:w="2805"/>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color w:val="0000FF"/>
                <w:sz w:val="16"/>
                <w:szCs w:val="16"/>
                <w:lang w:eastAsia="hr-HR"/>
              </w:rPr>
            </w:pPr>
            <w:r>
              <w:rPr>
                <w:rFonts w:cs="Arial" w:eastAsia="Times New Roman" w:hAnsi="Arial" w:ascii="Arial"/>
                <w:color w:val="0000FF"/>
                <w:sz w:val="16"/>
                <w:szCs w:val="16"/>
                <w:lang w:eastAsia="hr-HR"/>
              </w:rPr>
              <w:t>B)  REZERVIRANJA</w:t>
            </w:r>
          </w:p>
        </w:tc>
        <w:tc>
          <w:tcPr>
            <w:tcW w:type="pct" w:w="549"/>
            <w:tcBorders>
              <w:top w:val="nil"/>
              <w:left w:space="0" w:sz="4" w:color="auto" w:val="single"/>
              <w:bottom w:space="0" w:sz="4" w:color="auto"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0</w:t>
            </w:r>
          </w:p>
        </w:tc>
        <w:tc>
          <w:tcPr>
            <w:tcW w:type="pct" w:w="549"/>
            <w:tcBorders>
              <w:top w:val="nil"/>
              <w:left w:val="nil"/>
              <w:bottom w:space="0" w:sz="4" w:color="auto"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0</w:t>
            </w:r>
          </w:p>
        </w:tc>
        <w:tc>
          <w:tcPr>
            <w:tcW w:type="pct" w:w="549"/>
            <w:tcBorders>
              <w:top w:val="nil"/>
              <w:left w:val="nil"/>
              <w:bottom w:space="0" w:sz="4" w:color="auto"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0</w:t>
            </w:r>
          </w:p>
        </w:tc>
        <w:tc>
          <w:tcPr>
            <w:tcW w:type="pct" w:w="548"/>
            <w:tcBorders>
              <w:top w:val="nil"/>
              <w:left w:val="nil"/>
              <w:bottom w:space="0" w:sz="4" w:color="auto"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0</w:t>
            </w:r>
          </w:p>
        </w:tc>
      </w:tr>
      <w:tr w:rsidTr="001E3364" w:rsidR="001E3364">
        <w:trPr>
          <w:trHeight w:val="20"/>
        </w:trPr>
        <w:tc>
          <w:tcPr>
            <w:tcW w:type="pct" w:w="2805"/>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1. Rezerviranja za mirovine, otpremnine i slične obveze</w:t>
            </w:r>
          </w:p>
        </w:tc>
        <w:tc>
          <w:tcPr>
            <w:tcW w:type="pct" w:w="549"/>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9"/>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9"/>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8"/>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1E3364" w:rsidR="001E3364">
        <w:trPr>
          <w:trHeight w:val="20"/>
        </w:trPr>
        <w:tc>
          <w:tcPr>
            <w:tcW w:type="pct" w:w="2805"/>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2. Rezerviranja za porezne obveze</w:t>
            </w:r>
          </w:p>
        </w:tc>
        <w:tc>
          <w:tcPr>
            <w:tcW w:type="pct" w:w="549"/>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9"/>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9"/>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8"/>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1E3364" w:rsidR="001E3364">
        <w:trPr>
          <w:trHeight w:val="20"/>
        </w:trPr>
        <w:tc>
          <w:tcPr>
            <w:tcW w:type="pct" w:w="2805"/>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3. Rezerviranja za započete sudske sporove</w:t>
            </w:r>
          </w:p>
        </w:tc>
        <w:tc>
          <w:tcPr>
            <w:tcW w:type="pct" w:w="549"/>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9"/>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9"/>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8"/>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1E3364" w:rsidR="001E3364">
        <w:trPr>
          <w:trHeight w:val="20"/>
        </w:trPr>
        <w:tc>
          <w:tcPr>
            <w:tcW w:type="pct" w:w="2805"/>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4. Rezerviranja za troškove obnavljanja prirodnih bogatstava</w:t>
            </w:r>
          </w:p>
        </w:tc>
        <w:tc>
          <w:tcPr>
            <w:tcW w:type="pct" w:w="549"/>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9"/>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9"/>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8"/>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1E3364" w:rsidR="001E3364">
        <w:trPr>
          <w:trHeight w:val="20"/>
        </w:trPr>
        <w:tc>
          <w:tcPr>
            <w:tcW w:type="pct" w:w="2805"/>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5. Rezerviranja za troškove u jamstvenim rokovima</w:t>
            </w:r>
          </w:p>
        </w:tc>
        <w:tc>
          <w:tcPr>
            <w:tcW w:type="pct" w:w="549"/>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9"/>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9"/>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8"/>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1E3364" w:rsidR="001E3364">
        <w:trPr>
          <w:trHeight w:val="20"/>
        </w:trPr>
        <w:tc>
          <w:tcPr>
            <w:tcW w:type="pct" w:w="2805"/>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6. Druga rezerviranja</w:t>
            </w:r>
          </w:p>
        </w:tc>
        <w:tc>
          <w:tcPr>
            <w:tcW w:type="pct" w:w="549"/>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9"/>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9"/>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8"/>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1E3364" w:rsidR="001E3364">
        <w:trPr>
          <w:trHeight w:val="20"/>
        </w:trPr>
        <w:tc>
          <w:tcPr>
            <w:tcW w:type="pct" w:w="2805"/>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color w:val="0000FF"/>
                <w:sz w:val="16"/>
                <w:szCs w:val="16"/>
                <w:lang w:eastAsia="hr-HR"/>
              </w:rPr>
            </w:pPr>
            <w:r>
              <w:rPr>
                <w:rFonts w:cs="Arial" w:eastAsia="Times New Roman" w:hAnsi="Arial" w:ascii="Arial"/>
                <w:color w:val="0000FF"/>
                <w:sz w:val="16"/>
                <w:szCs w:val="16"/>
                <w:lang w:eastAsia="hr-HR"/>
              </w:rPr>
              <w:t>C)  DUGOROČNE OBVEZE</w:t>
            </w:r>
          </w:p>
        </w:tc>
        <w:tc>
          <w:tcPr>
            <w:tcW w:type="pct" w:w="549"/>
            <w:tcBorders>
              <w:top w:val="nil"/>
              <w:left w:space="0" w:sz="4" w:color="auto" w:val="single"/>
              <w:bottom w:space="0" w:sz="4" w:color="auto"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103.096.084</w:t>
            </w:r>
          </w:p>
        </w:tc>
        <w:tc>
          <w:tcPr>
            <w:tcW w:type="pct" w:w="549"/>
            <w:tcBorders>
              <w:top w:val="nil"/>
              <w:left w:val="nil"/>
              <w:bottom w:space="0" w:sz="4" w:color="auto"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87.156.578</w:t>
            </w:r>
          </w:p>
        </w:tc>
        <w:tc>
          <w:tcPr>
            <w:tcW w:type="pct" w:w="549"/>
            <w:tcBorders>
              <w:top w:val="nil"/>
              <w:left w:val="nil"/>
              <w:bottom w:space="0" w:sz="4" w:color="auto"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70.333.727</w:t>
            </w:r>
          </w:p>
        </w:tc>
        <w:tc>
          <w:tcPr>
            <w:tcW w:type="pct" w:w="548"/>
            <w:tcBorders>
              <w:top w:val="nil"/>
              <w:left w:val="nil"/>
              <w:bottom w:space="0" w:sz="4" w:color="auto"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89.130.803</w:t>
            </w:r>
          </w:p>
        </w:tc>
      </w:tr>
      <w:tr w:rsidTr="001E3364" w:rsidR="001E3364">
        <w:trPr>
          <w:trHeight w:val="20"/>
        </w:trPr>
        <w:tc>
          <w:tcPr>
            <w:tcW w:type="pct" w:w="2805"/>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1. Obveze prema poduzetnicima unutar grupe </w:t>
            </w:r>
          </w:p>
        </w:tc>
        <w:tc>
          <w:tcPr>
            <w:tcW w:type="pct" w:w="549"/>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9"/>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9"/>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8"/>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1E3364" w:rsidR="001E3364">
        <w:trPr>
          <w:trHeight w:val="20"/>
        </w:trPr>
        <w:tc>
          <w:tcPr>
            <w:tcW w:type="pct" w:w="2805"/>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2. Obveze za zajmove, depozite i slično poduzetnika unutar grupe</w:t>
            </w:r>
          </w:p>
        </w:tc>
        <w:tc>
          <w:tcPr>
            <w:tcW w:type="pct" w:w="549"/>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9"/>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9"/>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8"/>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1E3364" w:rsidR="001E3364">
        <w:trPr>
          <w:trHeight w:val="20"/>
        </w:trPr>
        <w:tc>
          <w:tcPr>
            <w:tcW w:type="pct" w:w="2805"/>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3. Obveze prema društvima povezanim sudjelujućim interesom </w:t>
            </w:r>
          </w:p>
        </w:tc>
        <w:tc>
          <w:tcPr>
            <w:tcW w:type="pct" w:w="549"/>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9"/>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9"/>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8"/>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1E3364" w:rsidR="001E3364">
        <w:trPr>
          <w:trHeight w:val="20"/>
        </w:trPr>
        <w:tc>
          <w:tcPr>
            <w:tcW w:type="pct" w:w="2805"/>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4. Obveze za zajmove, depozite i slično društava povezanih</w:t>
            </w:r>
            <w:r>
              <w:rPr>
                <w:rFonts w:cs="Arial" w:eastAsia="Times New Roman" w:hAnsi="Arial" w:ascii="Arial"/>
                <w:sz w:val="16"/>
                <w:szCs w:val="16"/>
                <w:lang w:eastAsia="hr-HR"/>
              </w:rPr>
              <w:br/>
              <w:t xml:space="preserve">         sudjelujućim interesom</w:t>
            </w:r>
          </w:p>
        </w:tc>
        <w:tc>
          <w:tcPr>
            <w:tcW w:type="pct" w:w="549"/>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9"/>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9"/>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8"/>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1E3364" w:rsidR="001E3364">
        <w:trPr>
          <w:trHeight w:val="20"/>
        </w:trPr>
        <w:tc>
          <w:tcPr>
            <w:tcW w:type="pct" w:w="2805"/>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5. Obveze za zajmove, depozite i slično</w:t>
            </w:r>
          </w:p>
        </w:tc>
        <w:tc>
          <w:tcPr>
            <w:tcW w:type="pct" w:w="549"/>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7.056.036</w:t>
            </w:r>
          </w:p>
        </w:tc>
        <w:tc>
          <w:tcPr>
            <w:tcW w:type="pct" w:w="549"/>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8.486.536</w:t>
            </w:r>
          </w:p>
        </w:tc>
        <w:tc>
          <w:tcPr>
            <w:tcW w:type="pct" w:w="549"/>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10.434.749</w:t>
            </w:r>
          </w:p>
        </w:tc>
        <w:tc>
          <w:tcPr>
            <w:tcW w:type="pct" w:w="548"/>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41.854.972</w:t>
            </w:r>
          </w:p>
        </w:tc>
      </w:tr>
      <w:tr w:rsidTr="001E3364" w:rsidR="001E3364">
        <w:trPr>
          <w:trHeight w:val="20"/>
        </w:trPr>
        <w:tc>
          <w:tcPr>
            <w:tcW w:type="pct" w:w="2805"/>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6. Obveze prema bankama i drugim financijskim institucijama</w:t>
            </w:r>
          </w:p>
        </w:tc>
        <w:tc>
          <w:tcPr>
            <w:tcW w:type="pct" w:w="549"/>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81.993.558</w:t>
            </w:r>
          </w:p>
        </w:tc>
        <w:tc>
          <w:tcPr>
            <w:tcW w:type="pct" w:w="549"/>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66.715.804</w:t>
            </w:r>
          </w:p>
        </w:tc>
        <w:tc>
          <w:tcPr>
            <w:tcW w:type="pct" w:w="549"/>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50.357.931</w:t>
            </w:r>
          </w:p>
        </w:tc>
        <w:tc>
          <w:tcPr>
            <w:tcW w:type="pct" w:w="548"/>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40.435.543</w:t>
            </w:r>
          </w:p>
        </w:tc>
      </w:tr>
      <w:tr w:rsidTr="001E3364" w:rsidR="001E3364">
        <w:trPr>
          <w:trHeight w:val="20"/>
        </w:trPr>
        <w:tc>
          <w:tcPr>
            <w:tcW w:type="pct" w:w="2805"/>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7. Obveze za predujmove</w:t>
            </w:r>
          </w:p>
        </w:tc>
        <w:tc>
          <w:tcPr>
            <w:tcW w:type="pct" w:w="549"/>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9"/>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9"/>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8"/>
            <w:tcBorders>
              <w:top w:val="nil"/>
              <w:left w:val="nil"/>
              <w:bottom w:space="0" w:sz="4" w:color="auto" w:val="single"/>
              <w:right w:space="0" w:sz="4" w:color="auto" w:val="single"/>
            </w:tcBorders>
            <w:noWrap/>
            <w:vAlign w:val="center"/>
          </w:tcPr>
          <w:p w:rsidRDefault="001E3364" w:rsidR="001E3364">
            <w:pPr>
              <w:spacing w:lineRule="auto" w:line="240" w:after="0"/>
              <w:jc w:val="right"/>
              <w:rPr>
                <w:rFonts w:cs="Arial" w:eastAsia="Times New Roman" w:hAnsi="Arial" w:ascii="Arial"/>
                <w:sz w:val="16"/>
                <w:szCs w:val="16"/>
                <w:lang w:eastAsia="hr-HR"/>
              </w:rPr>
            </w:pPr>
          </w:p>
        </w:tc>
      </w:tr>
      <w:tr w:rsidTr="001E3364" w:rsidR="001E3364">
        <w:trPr>
          <w:trHeight w:val="20"/>
        </w:trPr>
        <w:tc>
          <w:tcPr>
            <w:tcW w:type="pct" w:w="2805"/>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8. Obveze prema dobavljačima</w:t>
            </w:r>
          </w:p>
        </w:tc>
        <w:tc>
          <w:tcPr>
            <w:tcW w:type="pct" w:w="549"/>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9"/>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9"/>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8"/>
            <w:tcBorders>
              <w:top w:val="nil"/>
              <w:left w:val="nil"/>
              <w:bottom w:space="0" w:sz="4" w:color="auto" w:val="single"/>
              <w:right w:space="0" w:sz="4" w:color="auto" w:val="single"/>
            </w:tcBorders>
            <w:noWrap/>
            <w:vAlign w:val="center"/>
          </w:tcPr>
          <w:p w:rsidRDefault="001E3364" w:rsidR="001E3364">
            <w:pPr>
              <w:spacing w:lineRule="auto" w:line="240" w:after="0"/>
              <w:jc w:val="right"/>
              <w:rPr>
                <w:rFonts w:cs="Arial" w:eastAsia="Times New Roman" w:hAnsi="Arial" w:ascii="Arial"/>
                <w:sz w:val="16"/>
                <w:szCs w:val="16"/>
                <w:lang w:eastAsia="hr-HR"/>
              </w:rPr>
            </w:pPr>
          </w:p>
        </w:tc>
      </w:tr>
      <w:tr w:rsidTr="001E3364" w:rsidR="001E3364">
        <w:trPr>
          <w:trHeight w:val="20"/>
        </w:trPr>
        <w:tc>
          <w:tcPr>
            <w:tcW w:type="pct" w:w="2805"/>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9. Obveze po vrijednosnim papirima</w:t>
            </w:r>
          </w:p>
        </w:tc>
        <w:tc>
          <w:tcPr>
            <w:tcW w:type="pct" w:w="549"/>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9"/>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9"/>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8"/>
            <w:tcBorders>
              <w:top w:val="nil"/>
              <w:left w:val="nil"/>
              <w:bottom w:space="0" w:sz="4" w:color="auto" w:val="single"/>
              <w:right w:space="0" w:sz="4" w:color="auto" w:val="single"/>
            </w:tcBorders>
            <w:noWrap/>
            <w:vAlign w:val="center"/>
          </w:tcPr>
          <w:p w:rsidRDefault="001E3364" w:rsidR="001E3364">
            <w:pPr>
              <w:spacing w:lineRule="auto" w:line="240" w:after="0"/>
              <w:jc w:val="right"/>
              <w:rPr>
                <w:rFonts w:cs="Arial" w:eastAsia="Times New Roman" w:hAnsi="Arial" w:ascii="Arial"/>
                <w:sz w:val="16"/>
                <w:szCs w:val="16"/>
                <w:lang w:eastAsia="hr-HR"/>
              </w:rPr>
            </w:pPr>
          </w:p>
        </w:tc>
      </w:tr>
      <w:tr w:rsidTr="001E3364" w:rsidR="001E3364">
        <w:trPr>
          <w:trHeight w:val="20"/>
        </w:trPr>
        <w:tc>
          <w:tcPr>
            <w:tcW w:type="pct" w:w="2805"/>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10. Ostale dugoročne obveze</w:t>
            </w:r>
          </w:p>
        </w:tc>
        <w:tc>
          <w:tcPr>
            <w:tcW w:type="pct" w:w="549"/>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9"/>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9"/>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8"/>
            <w:tcBorders>
              <w:top w:val="nil"/>
              <w:left w:val="nil"/>
              <w:bottom w:space="0" w:sz="4" w:color="auto" w:val="single"/>
              <w:right w:space="0" w:sz="4" w:color="auto" w:val="single"/>
            </w:tcBorders>
            <w:noWrap/>
            <w:vAlign w:val="center"/>
          </w:tcPr>
          <w:p w:rsidRDefault="001E3364" w:rsidR="001E3364">
            <w:pPr>
              <w:spacing w:lineRule="auto" w:line="240" w:after="0"/>
              <w:jc w:val="right"/>
              <w:rPr>
                <w:rFonts w:cs="Arial" w:eastAsia="Times New Roman" w:hAnsi="Arial" w:ascii="Arial"/>
                <w:sz w:val="16"/>
                <w:szCs w:val="16"/>
                <w:lang w:eastAsia="hr-HR"/>
              </w:rPr>
            </w:pPr>
          </w:p>
        </w:tc>
      </w:tr>
      <w:tr w:rsidTr="001E3364" w:rsidR="001E3364">
        <w:trPr>
          <w:trHeight w:val="20"/>
        </w:trPr>
        <w:tc>
          <w:tcPr>
            <w:tcW w:type="pct" w:w="2805"/>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11. Odgođena porezna obveza</w:t>
            </w:r>
          </w:p>
        </w:tc>
        <w:tc>
          <w:tcPr>
            <w:tcW w:type="pct" w:w="549"/>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14.046.490</w:t>
            </w:r>
          </w:p>
        </w:tc>
        <w:tc>
          <w:tcPr>
            <w:tcW w:type="pct" w:w="549"/>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11.954.238</w:t>
            </w:r>
          </w:p>
        </w:tc>
        <w:tc>
          <w:tcPr>
            <w:tcW w:type="pct" w:w="549"/>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9.541.047</w:t>
            </w:r>
          </w:p>
        </w:tc>
        <w:tc>
          <w:tcPr>
            <w:tcW w:type="pct" w:w="548"/>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6.840.288</w:t>
            </w:r>
          </w:p>
        </w:tc>
      </w:tr>
      <w:tr w:rsidTr="001E3364" w:rsidR="001E3364">
        <w:trPr>
          <w:trHeight w:val="20"/>
        </w:trPr>
        <w:tc>
          <w:tcPr>
            <w:tcW w:type="pct" w:w="2805"/>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color w:val="0000FF"/>
                <w:sz w:val="16"/>
                <w:szCs w:val="16"/>
                <w:lang w:eastAsia="hr-HR"/>
              </w:rPr>
            </w:pPr>
            <w:r>
              <w:rPr>
                <w:rFonts w:cs="Arial" w:eastAsia="Times New Roman" w:hAnsi="Arial" w:ascii="Arial"/>
                <w:color w:val="0000FF"/>
                <w:sz w:val="16"/>
                <w:szCs w:val="16"/>
                <w:lang w:eastAsia="hr-HR"/>
              </w:rPr>
              <w:t>D)  KRATKOROČNE OBVEZE</w:t>
            </w:r>
          </w:p>
        </w:tc>
        <w:tc>
          <w:tcPr>
            <w:tcW w:type="pct" w:w="549"/>
            <w:tcBorders>
              <w:top w:val="nil"/>
              <w:left w:space="0" w:sz="4" w:color="auto" w:val="single"/>
              <w:bottom w:space="0" w:sz="4" w:color="auto"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42.286.394</w:t>
            </w:r>
          </w:p>
        </w:tc>
        <w:tc>
          <w:tcPr>
            <w:tcW w:type="pct" w:w="549"/>
            <w:tcBorders>
              <w:top w:val="nil"/>
              <w:left w:val="nil"/>
              <w:bottom w:space="0" w:sz="4" w:color="auto"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17.525.597</w:t>
            </w:r>
          </w:p>
        </w:tc>
        <w:tc>
          <w:tcPr>
            <w:tcW w:type="pct" w:w="549"/>
            <w:tcBorders>
              <w:top w:val="nil"/>
              <w:left w:val="nil"/>
              <w:bottom w:space="0" w:sz="4" w:color="auto"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45.225.694</w:t>
            </w:r>
          </w:p>
        </w:tc>
        <w:tc>
          <w:tcPr>
            <w:tcW w:type="pct" w:w="548"/>
            <w:tcBorders>
              <w:top w:val="nil"/>
              <w:left w:val="nil"/>
              <w:bottom w:space="0" w:sz="4" w:color="auto"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19.358.303</w:t>
            </w:r>
          </w:p>
        </w:tc>
      </w:tr>
      <w:tr w:rsidTr="001E3364" w:rsidR="001E3364">
        <w:trPr>
          <w:trHeight w:val="20"/>
        </w:trPr>
        <w:tc>
          <w:tcPr>
            <w:tcW w:type="pct" w:w="2805"/>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1. Obveze prema poduzetnicima unutar grupe </w:t>
            </w:r>
          </w:p>
        </w:tc>
        <w:tc>
          <w:tcPr>
            <w:tcW w:type="pct" w:w="549"/>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9"/>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9"/>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8"/>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1E3364" w:rsidR="001E3364">
        <w:trPr>
          <w:trHeight w:val="20"/>
        </w:trPr>
        <w:tc>
          <w:tcPr>
            <w:tcW w:type="pct" w:w="2805"/>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2. Obveze za zajmove, depozite i slično poduzetnika unutar grupe</w:t>
            </w:r>
          </w:p>
        </w:tc>
        <w:tc>
          <w:tcPr>
            <w:tcW w:type="pct" w:w="549"/>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9"/>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9"/>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8"/>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1E3364" w:rsidR="001E3364">
        <w:trPr>
          <w:trHeight w:val="20"/>
        </w:trPr>
        <w:tc>
          <w:tcPr>
            <w:tcW w:type="pct" w:w="2805"/>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3. Obveze prema društvima povezanim sudjelujućim interesom </w:t>
            </w:r>
          </w:p>
        </w:tc>
        <w:tc>
          <w:tcPr>
            <w:tcW w:type="pct" w:w="549"/>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9"/>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9"/>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8"/>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1E3364" w:rsidR="001E3364">
        <w:trPr>
          <w:trHeight w:val="20"/>
        </w:trPr>
        <w:tc>
          <w:tcPr>
            <w:tcW w:type="pct" w:w="2805"/>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4. Obveze za zajmove, depozite i slično društava povezanih</w:t>
            </w:r>
            <w:r>
              <w:rPr>
                <w:rFonts w:cs="Arial" w:eastAsia="Times New Roman" w:hAnsi="Arial" w:ascii="Arial"/>
                <w:sz w:val="16"/>
                <w:szCs w:val="16"/>
                <w:lang w:eastAsia="hr-HR"/>
              </w:rPr>
              <w:br/>
              <w:t xml:space="preserve">         sudjelujućim interesom</w:t>
            </w:r>
          </w:p>
        </w:tc>
        <w:tc>
          <w:tcPr>
            <w:tcW w:type="pct" w:w="549"/>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9"/>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9"/>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8"/>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1E3364" w:rsidR="001E3364">
        <w:trPr>
          <w:trHeight w:val="20"/>
        </w:trPr>
        <w:tc>
          <w:tcPr>
            <w:tcW w:type="pct" w:w="2805"/>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5. Obveze za zajmove, depozite i slično</w:t>
            </w:r>
          </w:p>
        </w:tc>
        <w:tc>
          <w:tcPr>
            <w:tcW w:type="pct" w:w="549"/>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9"/>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9"/>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8"/>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1E3364" w:rsidR="001E3364">
        <w:trPr>
          <w:trHeight w:val="20"/>
        </w:trPr>
        <w:tc>
          <w:tcPr>
            <w:tcW w:type="pct" w:w="2805"/>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6. Obveze prema bankama i drugim financijskim institucijama</w:t>
            </w:r>
          </w:p>
        </w:tc>
        <w:tc>
          <w:tcPr>
            <w:tcW w:type="pct" w:w="549"/>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10.248.305</w:t>
            </w:r>
          </w:p>
        </w:tc>
        <w:tc>
          <w:tcPr>
            <w:tcW w:type="pct" w:w="549"/>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15.306.767</w:t>
            </w:r>
          </w:p>
        </w:tc>
        <w:tc>
          <w:tcPr>
            <w:tcW w:type="pct" w:w="549"/>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24.235.085</w:t>
            </w:r>
          </w:p>
        </w:tc>
        <w:tc>
          <w:tcPr>
            <w:tcW w:type="pct" w:w="548"/>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6.595.556</w:t>
            </w:r>
          </w:p>
        </w:tc>
      </w:tr>
      <w:tr w:rsidTr="001E3364" w:rsidR="001E3364">
        <w:trPr>
          <w:trHeight w:val="20"/>
        </w:trPr>
        <w:tc>
          <w:tcPr>
            <w:tcW w:type="pct" w:w="2805"/>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7. Obveze za predujmove</w:t>
            </w:r>
          </w:p>
        </w:tc>
        <w:tc>
          <w:tcPr>
            <w:tcW w:type="pct" w:w="549"/>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32.127</w:t>
            </w:r>
          </w:p>
        </w:tc>
        <w:tc>
          <w:tcPr>
            <w:tcW w:type="pct" w:w="549"/>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69.780</w:t>
            </w:r>
          </w:p>
        </w:tc>
        <w:tc>
          <w:tcPr>
            <w:tcW w:type="pct" w:w="549"/>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17.260</w:t>
            </w:r>
          </w:p>
        </w:tc>
        <w:tc>
          <w:tcPr>
            <w:tcW w:type="pct" w:w="548"/>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890.307</w:t>
            </w:r>
          </w:p>
        </w:tc>
      </w:tr>
      <w:tr w:rsidTr="001E3364" w:rsidR="001E3364">
        <w:trPr>
          <w:trHeight w:val="20"/>
        </w:trPr>
        <w:tc>
          <w:tcPr>
            <w:tcW w:type="pct" w:w="2805"/>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8. Obveze prema dobavljačima</w:t>
            </w:r>
          </w:p>
        </w:tc>
        <w:tc>
          <w:tcPr>
            <w:tcW w:type="pct" w:w="549"/>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29.238.068</w:t>
            </w:r>
          </w:p>
        </w:tc>
        <w:tc>
          <w:tcPr>
            <w:tcW w:type="pct" w:w="549"/>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781.596</w:t>
            </w:r>
          </w:p>
        </w:tc>
        <w:tc>
          <w:tcPr>
            <w:tcW w:type="pct" w:w="549"/>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18.634.538</w:t>
            </w:r>
          </w:p>
        </w:tc>
        <w:tc>
          <w:tcPr>
            <w:tcW w:type="pct" w:w="548"/>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9.798.726</w:t>
            </w:r>
          </w:p>
        </w:tc>
      </w:tr>
      <w:tr w:rsidTr="001E3364" w:rsidR="001E3364">
        <w:trPr>
          <w:trHeight w:val="20"/>
        </w:trPr>
        <w:tc>
          <w:tcPr>
            <w:tcW w:type="pct" w:w="2805"/>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9. Obveze po vrijednosnim papirima</w:t>
            </w:r>
          </w:p>
        </w:tc>
        <w:tc>
          <w:tcPr>
            <w:tcW w:type="pct" w:w="549"/>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9"/>
            <w:tcBorders>
              <w:top w:val="nil"/>
              <w:left w:val="nil"/>
              <w:bottom w:space="0" w:sz="4" w:color="auto" w:val="single"/>
              <w:right w:space="0" w:sz="4" w:color="auto" w:val="single"/>
            </w:tcBorders>
            <w:noWrap/>
            <w:vAlign w:val="center"/>
          </w:tcPr>
          <w:p w:rsidRDefault="001E3364" w:rsidR="001E3364">
            <w:pPr>
              <w:spacing w:lineRule="auto" w:line="240" w:after="0"/>
              <w:jc w:val="right"/>
              <w:rPr>
                <w:rFonts w:cs="Arial" w:eastAsia="Times New Roman" w:hAnsi="Arial" w:ascii="Arial"/>
                <w:sz w:val="16"/>
                <w:szCs w:val="16"/>
                <w:lang w:eastAsia="hr-HR"/>
              </w:rPr>
            </w:pPr>
          </w:p>
        </w:tc>
        <w:tc>
          <w:tcPr>
            <w:tcW w:type="pct" w:w="549"/>
            <w:tcBorders>
              <w:top w:val="nil"/>
              <w:left w:val="nil"/>
              <w:bottom w:space="0" w:sz="4" w:color="auto" w:val="single"/>
              <w:right w:space="0" w:sz="4" w:color="auto" w:val="single"/>
            </w:tcBorders>
            <w:noWrap/>
            <w:vAlign w:val="center"/>
          </w:tcPr>
          <w:p w:rsidRDefault="001E3364" w:rsidR="001E3364">
            <w:pPr>
              <w:spacing w:lineRule="auto" w:line="240" w:after="0"/>
              <w:jc w:val="right"/>
              <w:rPr>
                <w:rFonts w:cs="Arial" w:eastAsia="Times New Roman" w:hAnsi="Arial" w:ascii="Arial"/>
                <w:sz w:val="16"/>
                <w:szCs w:val="16"/>
                <w:lang w:eastAsia="hr-HR"/>
              </w:rPr>
            </w:pPr>
          </w:p>
        </w:tc>
        <w:tc>
          <w:tcPr>
            <w:tcW w:type="pct" w:w="548"/>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0</w:t>
            </w:r>
          </w:p>
        </w:tc>
      </w:tr>
      <w:tr w:rsidTr="001E3364" w:rsidR="001E3364">
        <w:trPr>
          <w:trHeight w:val="20"/>
        </w:trPr>
        <w:tc>
          <w:tcPr>
            <w:tcW w:type="pct" w:w="2805"/>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10. Obveze prema zaposlenicima</w:t>
            </w:r>
          </w:p>
        </w:tc>
        <w:tc>
          <w:tcPr>
            <w:tcW w:type="pct" w:w="549"/>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420.658</w:t>
            </w:r>
          </w:p>
        </w:tc>
        <w:tc>
          <w:tcPr>
            <w:tcW w:type="pct" w:w="549"/>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380.708</w:t>
            </w:r>
          </w:p>
        </w:tc>
        <w:tc>
          <w:tcPr>
            <w:tcW w:type="pct" w:w="549"/>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375.615</w:t>
            </w:r>
          </w:p>
        </w:tc>
        <w:tc>
          <w:tcPr>
            <w:tcW w:type="pct" w:w="548"/>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399.380</w:t>
            </w:r>
          </w:p>
        </w:tc>
      </w:tr>
      <w:tr w:rsidTr="001E3364" w:rsidR="001E3364">
        <w:trPr>
          <w:trHeight w:val="20"/>
        </w:trPr>
        <w:tc>
          <w:tcPr>
            <w:tcW w:type="pct" w:w="2805"/>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11. Obveze  za poreze, doprinose i slična davanja</w:t>
            </w:r>
          </w:p>
        </w:tc>
        <w:tc>
          <w:tcPr>
            <w:tcW w:type="pct" w:w="549"/>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2.347.236</w:t>
            </w:r>
          </w:p>
        </w:tc>
        <w:tc>
          <w:tcPr>
            <w:tcW w:type="pct" w:w="549"/>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986.746</w:t>
            </w:r>
          </w:p>
        </w:tc>
        <w:tc>
          <w:tcPr>
            <w:tcW w:type="pct" w:w="549"/>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1.289.662</w:t>
            </w:r>
          </w:p>
        </w:tc>
        <w:tc>
          <w:tcPr>
            <w:tcW w:type="pct" w:w="548"/>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1.674.334</w:t>
            </w:r>
          </w:p>
        </w:tc>
      </w:tr>
      <w:tr w:rsidTr="001E3364" w:rsidR="001E3364">
        <w:trPr>
          <w:trHeight w:val="20"/>
        </w:trPr>
        <w:tc>
          <w:tcPr>
            <w:tcW w:type="pct" w:w="2805"/>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12. Obveze s osnove udjela u rezultatu</w:t>
            </w:r>
          </w:p>
        </w:tc>
        <w:tc>
          <w:tcPr>
            <w:tcW w:type="pct" w:w="549"/>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9"/>
            <w:tcBorders>
              <w:top w:val="nil"/>
              <w:left w:val="nil"/>
              <w:bottom w:space="0" w:sz="4" w:color="auto" w:val="single"/>
              <w:right w:space="0" w:sz="4" w:color="auto" w:val="single"/>
            </w:tcBorders>
            <w:noWrap/>
            <w:vAlign w:val="center"/>
          </w:tcPr>
          <w:p w:rsidRDefault="001E3364" w:rsidR="001E3364">
            <w:pPr>
              <w:spacing w:lineRule="auto" w:line="240" w:after="0"/>
              <w:rPr>
                <w:rFonts w:cs="Arial" w:eastAsia="Times New Roman" w:hAnsi="Arial" w:ascii="Arial"/>
                <w:sz w:val="16"/>
                <w:szCs w:val="16"/>
                <w:lang w:eastAsia="hr-HR"/>
              </w:rPr>
            </w:pPr>
          </w:p>
        </w:tc>
        <w:tc>
          <w:tcPr>
            <w:tcW w:type="pct" w:w="549"/>
            <w:tcBorders>
              <w:top w:val="nil"/>
              <w:left w:val="nil"/>
              <w:bottom w:space="0" w:sz="4" w:color="auto" w:val="single"/>
              <w:right w:space="0" w:sz="4" w:color="auto" w:val="single"/>
            </w:tcBorders>
            <w:noWrap/>
            <w:vAlign w:val="center"/>
          </w:tcPr>
          <w:p w:rsidRDefault="001E3364" w:rsidR="001E3364">
            <w:pPr>
              <w:spacing w:lineRule="auto" w:line="240" w:after="0"/>
              <w:rPr>
                <w:rFonts w:cs="Arial" w:eastAsia="Times New Roman" w:hAnsi="Arial" w:ascii="Arial"/>
                <w:sz w:val="16"/>
                <w:szCs w:val="16"/>
                <w:lang w:eastAsia="hr-HR"/>
              </w:rPr>
            </w:pPr>
          </w:p>
        </w:tc>
        <w:tc>
          <w:tcPr>
            <w:tcW w:type="pct" w:w="548"/>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1E3364" w:rsidR="001E3364">
        <w:trPr>
          <w:trHeight w:val="20"/>
        </w:trPr>
        <w:tc>
          <w:tcPr>
            <w:tcW w:type="pct" w:w="2805"/>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13. Obveze po osnovi dugotrajne imovine namijenjene prodaji</w:t>
            </w:r>
          </w:p>
        </w:tc>
        <w:tc>
          <w:tcPr>
            <w:tcW w:type="pct" w:w="549"/>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9"/>
            <w:tcBorders>
              <w:top w:val="nil"/>
              <w:left w:val="nil"/>
              <w:bottom w:space="0" w:sz="4" w:color="auto" w:val="single"/>
              <w:right w:space="0" w:sz="4" w:color="auto" w:val="single"/>
            </w:tcBorders>
            <w:noWrap/>
            <w:vAlign w:val="center"/>
          </w:tcPr>
          <w:p w:rsidRDefault="001E3364" w:rsidR="001E3364">
            <w:pPr>
              <w:spacing w:lineRule="auto" w:line="240" w:after="0"/>
              <w:rPr>
                <w:rFonts w:cs="Arial" w:eastAsia="Times New Roman" w:hAnsi="Arial" w:ascii="Arial"/>
                <w:sz w:val="16"/>
                <w:szCs w:val="16"/>
                <w:lang w:eastAsia="hr-HR"/>
              </w:rPr>
            </w:pPr>
          </w:p>
        </w:tc>
        <w:tc>
          <w:tcPr>
            <w:tcW w:type="pct" w:w="549"/>
            <w:tcBorders>
              <w:top w:val="nil"/>
              <w:left w:val="nil"/>
              <w:bottom w:space="0" w:sz="4" w:color="auto" w:val="single"/>
              <w:right w:space="0" w:sz="4" w:color="auto" w:val="single"/>
            </w:tcBorders>
            <w:noWrap/>
            <w:vAlign w:val="center"/>
          </w:tcPr>
          <w:p w:rsidRDefault="001E3364" w:rsidR="001E3364">
            <w:pPr>
              <w:spacing w:lineRule="auto" w:line="240" w:after="0"/>
              <w:rPr>
                <w:rFonts w:cs="Arial" w:eastAsia="Times New Roman" w:hAnsi="Arial" w:ascii="Arial"/>
                <w:sz w:val="16"/>
                <w:szCs w:val="16"/>
                <w:lang w:eastAsia="hr-HR"/>
              </w:rPr>
            </w:pPr>
          </w:p>
        </w:tc>
        <w:tc>
          <w:tcPr>
            <w:tcW w:type="pct" w:w="548"/>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1E3364" w:rsidR="001E3364">
        <w:trPr>
          <w:trHeight w:val="20"/>
        </w:trPr>
        <w:tc>
          <w:tcPr>
            <w:tcW w:type="pct" w:w="2805"/>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14. Ostale kratkoročne obveze</w:t>
            </w:r>
          </w:p>
        </w:tc>
        <w:tc>
          <w:tcPr>
            <w:tcW w:type="pct" w:w="549"/>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9"/>
            <w:tcBorders>
              <w:top w:val="nil"/>
              <w:left w:val="nil"/>
              <w:bottom w:space="0" w:sz="4" w:color="auto" w:val="single"/>
              <w:right w:space="0" w:sz="4" w:color="auto" w:val="single"/>
            </w:tcBorders>
            <w:noWrap/>
            <w:vAlign w:val="center"/>
            <w:hideMark/>
          </w:tcPr>
          <w:p w:rsidRDefault="001E3364" w:rsidR="001E3364">
            <w:pPr>
              <w:spacing w:after="0"/>
              <w:rPr>
                <w:rFonts w:cs="Times New Roman"/>
              </w:rPr>
            </w:pPr>
          </w:p>
        </w:tc>
        <w:tc>
          <w:tcPr>
            <w:tcW w:type="pct" w:w="549"/>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673.534</w:t>
            </w:r>
          </w:p>
        </w:tc>
        <w:tc>
          <w:tcPr>
            <w:tcW w:type="pct" w:w="548"/>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1E3364" w:rsidR="001E3364">
        <w:trPr>
          <w:trHeight w:val="20"/>
        </w:trPr>
        <w:tc>
          <w:tcPr>
            <w:tcW w:type="pct" w:w="2805"/>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color w:val="0000FF"/>
                <w:sz w:val="16"/>
                <w:szCs w:val="16"/>
                <w:lang w:eastAsia="hr-HR"/>
              </w:rPr>
            </w:pPr>
            <w:r>
              <w:rPr>
                <w:rFonts w:cs="Arial" w:eastAsia="Times New Roman" w:hAnsi="Arial" w:ascii="Arial"/>
                <w:color w:val="0000FF"/>
                <w:sz w:val="16"/>
                <w:szCs w:val="16"/>
                <w:lang w:eastAsia="hr-HR"/>
              </w:rPr>
              <w:t>E) ODGOĐENO PLAĆANJE TROŠKOVA I PRIHOD BUDUĆEGA RAZDOBLJA</w:t>
            </w:r>
          </w:p>
        </w:tc>
        <w:tc>
          <w:tcPr>
            <w:tcW w:type="pct" w:w="549"/>
            <w:tcBorders>
              <w:top w:val="nil"/>
              <w:left w:space="0" w:sz="4" w:color="000000" w:val="single"/>
              <w:bottom w:space="0" w:sz="4" w:color="000000" w:val="single"/>
              <w:right w:space="0" w:sz="4" w:color="000000" w:val="single"/>
            </w:tcBorders>
            <w:shd w:fill="auto" w:color="C0C0C0" w:val="pct25"/>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9"/>
            <w:tcBorders>
              <w:top w:val="nil"/>
              <w:left w:val="nil"/>
              <w:bottom w:space="0" w:sz="4" w:color="000000" w:val="single"/>
              <w:right w:space="0" w:sz="4" w:color="000000"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41.131</w:t>
            </w:r>
          </w:p>
        </w:tc>
        <w:tc>
          <w:tcPr>
            <w:tcW w:type="pct" w:w="549"/>
            <w:tcBorders>
              <w:top w:val="nil"/>
              <w:left w:val="nil"/>
              <w:bottom w:space="0" w:sz="4" w:color="000000" w:val="single"/>
              <w:right w:space="0" w:sz="4" w:color="000000"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58.053</w:t>
            </w:r>
          </w:p>
        </w:tc>
        <w:tc>
          <w:tcPr>
            <w:tcW w:type="pct" w:w="548"/>
            <w:tcBorders>
              <w:top w:val="nil"/>
              <w:left w:val="nil"/>
              <w:bottom w:space="0" w:sz="4" w:color="000000" w:val="single"/>
              <w:right w:space="0" w:sz="4" w:color="000000"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77.619</w:t>
            </w:r>
          </w:p>
        </w:tc>
      </w:tr>
      <w:tr w:rsidTr="001E3364" w:rsidR="001E3364">
        <w:trPr>
          <w:trHeight w:val="20"/>
        </w:trPr>
        <w:tc>
          <w:tcPr>
            <w:tcW w:type="pct" w:w="2805"/>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color w:val="0000FF"/>
                <w:sz w:val="16"/>
                <w:szCs w:val="16"/>
                <w:lang w:eastAsia="hr-HR"/>
              </w:rPr>
            </w:pPr>
            <w:r>
              <w:rPr>
                <w:rFonts w:cs="Arial" w:eastAsia="Times New Roman" w:hAnsi="Arial" w:ascii="Arial"/>
                <w:color w:val="0000FF"/>
                <w:sz w:val="16"/>
                <w:szCs w:val="16"/>
                <w:lang w:eastAsia="hr-HR"/>
              </w:rPr>
              <w:t>F) UKUPNO – PASIVA</w:t>
            </w:r>
          </w:p>
        </w:tc>
        <w:tc>
          <w:tcPr>
            <w:tcW w:type="pct" w:w="549"/>
            <w:tcBorders>
              <w:top w:val="nil"/>
              <w:left w:space="0" w:sz="4" w:color="000000" w:val="single"/>
              <w:bottom w:space="0" w:sz="4" w:color="000000" w:val="single"/>
              <w:right w:space="0" w:sz="4" w:color="000000"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215.388.042</w:t>
            </w:r>
          </w:p>
        </w:tc>
        <w:tc>
          <w:tcPr>
            <w:tcW w:type="pct" w:w="549"/>
            <w:tcBorders>
              <w:top w:val="nil"/>
              <w:left w:val="nil"/>
              <w:bottom w:space="0" w:sz="4" w:color="000000" w:val="single"/>
              <w:right w:space="0" w:sz="4" w:color="000000"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173.949.104</w:t>
            </w:r>
          </w:p>
        </w:tc>
        <w:tc>
          <w:tcPr>
            <w:tcW w:type="pct" w:w="549"/>
            <w:tcBorders>
              <w:top w:val="nil"/>
              <w:left w:val="nil"/>
              <w:bottom w:space="0" w:sz="4" w:color="000000" w:val="single"/>
              <w:right w:space="0" w:sz="4" w:color="000000"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158.380.459</w:t>
            </w:r>
          </w:p>
        </w:tc>
        <w:tc>
          <w:tcPr>
            <w:tcW w:type="pct" w:w="548"/>
            <w:tcBorders>
              <w:top w:val="nil"/>
              <w:left w:val="nil"/>
              <w:bottom w:space="0" w:sz="4" w:color="000000" w:val="single"/>
              <w:right w:space="0" w:sz="4" w:color="000000"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135.377.084</w:t>
            </w:r>
          </w:p>
        </w:tc>
      </w:tr>
      <w:tr w:rsidTr="001E3364" w:rsidR="001E3364">
        <w:trPr>
          <w:trHeight w:val="20"/>
        </w:trPr>
        <w:tc>
          <w:tcPr>
            <w:tcW w:type="pct" w:w="2805"/>
            <w:tcBorders>
              <w:top w:val="nil"/>
              <w:left w:space="0" w:sz="4" w:color="auto" w:val="single"/>
              <w:bottom w:space="0" w:sz="4" w:color="000000" w:val="single"/>
              <w:right w:val="nil"/>
            </w:tcBorders>
            <w:vAlign w:val="center"/>
            <w:hideMark/>
          </w:tcPr>
          <w:p w:rsidRDefault="001E3364" w:rsidR="001E3364">
            <w:pPr>
              <w:spacing w:lineRule="auto" w:line="240" w:after="0"/>
              <w:rPr>
                <w:rFonts w:cs="Arial" w:eastAsia="Times New Roman" w:hAnsi="Arial" w:ascii="Arial"/>
                <w:color w:val="0000FF"/>
                <w:sz w:val="16"/>
                <w:szCs w:val="16"/>
                <w:lang w:eastAsia="hr-HR"/>
              </w:rPr>
            </w:pPr>
            <w:r>
              <w:rPr>
                <w:rFonts w:cs="Arial" w:eastAsia="Times New Roman" w:hAnsi="Arial" w:ascii="Arial"/>
                <w:color w:val="0000FF"/>
                <w:sz w:val="16"/>
                <w:szCs w:val="16"/>
                <w:lang w:eastAsia="hr-HR"/>
              </w:rPr>
              <w:t>G)  IZVANBILANČNI ZAPISI</w:t>
            </w:r>
          </w:p>
        </w:tc>
        <w:tc>
          <w:tcPr>
            <w:tcW w:type="pct" w:w="549"/>
            <w:tcBorders>
              <w:top w:val="nil"/>
              <w:left w:space="0" w:sz="4" w:color="000000" w:val="single"/>
              <w:bottom w:space="0" w:sz="4" w:color="000000" w:val="single"/>
              <w:right w:space="0" w:sz="4" w:color="000000" w:val="single"/>
            </w:tcBorders>
            <w:shd w:fill="auto" w:color="C0C0C0" w:val="pct25"/>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9"/>
            <w:tcBorders>
              <w:top w:val="nil"/>
              <w:left w:val="nil"/>
              <w:bottom w:space="0" w:sz="4" w:color="000000" w:val="single"/>
              <w:right w:space="0" w:sz="4" w:color="000000" w:val="single"/>
            </w:tcBorders>
            <w:shd w:fill="auto" w:color="C0C0C0" w:val="pct25"/>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9"/>
            <w:tcBorders>
              <w:top w:val="nil"/>
              <w:left w:val="nil"/>
              <w:bottom w:space="0" w:sz="4" w:color="000000" w:val="single"/>
              <w:right w:space="0" w:sz="4" w:color="000000" w:val="single"/>
            </w:tcBorders>
            <w:shd w:fill="auto" w:color="C0C0C0" w:val="pct25"/>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48"/>
            <w:tcBorders>
              <w:top w:val="nil"/>
              <w:left w:val="nil"/>
              <w:bottom w:space="0" w:sz="4" w:color="000000" w:val="single"/>
              <w:right w:space="0" w:sz="4" w:color="000000" w:val="single"/>
            </w:tcBorders>
            <w:shd w:fill="auto" w:color="C0C0C0" w:val="pct25"/>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r>
    </w:tbl>
    <w:p w:rsidRDefault="001E3364" w:rsidP="001E3364" w:rsidR="001E3364">
      <w:pPr>
        <w:spacing w:after="0"/>
        <w:jc w:val="both"/>
        <w:rPr>
          <w:b/>
          <w:sz w:val="24"/>
          <w:szCs w:val="24"/>
        </w:rPr>
      </w:pPr>
    </w:p>
    <w:p w:rsidRDefault="001E3364" w:rsidP="001E3364" w:rsidR="001E3364">
      <w:pPr>
        <w:rPr>
          <w:b/>
          <w:sz w:val="24"/>
          <w:szCs w:val="24"/>
        </w:rPr>
      </w:pPr>
      <w:r>
        <w:rPr>
          <w:b/>
          <w:sz w:val="24"/>
          <w:szCs w:val="24"/>
        </w:rPr>
        <w:br w:type="page"/>
      </w:r>
    </w:p>
    <w:p w:rsidRDefault="001E3364" w:rsidP="001E3364" w:rsidR="001E3364">
      <w:pPr>
        <w:spacing w:after="0"/>
        <w:jc w:val="both"/>
        <w:rPr>
          <w:b/>
          <w:sz w:val="24"/>
          <w:szCs w:val="24"/>
        </w:rPr>
      </w:pPr>
      <w:r>
        <w:rPr>
          <w:b/>
          <w:sz w:val="24"/>
          <w:szCs w:val="24"/>
        </w:rPr>
        <w:lastRenderedPageBreak/>
        <w:t>Račun dobiti i gubitka</w:t>
      </w:r>
    </w:p>
    <w:tbl>
      <w:tblPr>
        <w:tblW w:type="pct" w:w="5551"/>
        <w:tblInd w:type="dxa" w:w="-431"/>
        <w:tblLook w:val="04A0" w:noVBand="1" w:noHBand="0" w:lastColumn="0" w:firstColumn="1" w:lastRow="0" w:firstRow="1"/>
      </w:tblPr>
      <w:tblGrid>
        <w:gridCol w:w="5379"/>
        <w:gridCol w:w="1262"/>
        <w:gridCol w:w="1262"/>
        <w:gridCol w:w="1209"/>
        <w:gridCol w:w="1200"/>
      </w:tblGrid>
      <w:tr w:rsidTr="001E3364" w:rsidR="001E3364">
        <w:trPr>
          <w:trHeight w:val="20"/>
        </w:trPr>
        <w:tc>
          <w:tcPr>
            <w:tcW w:type="pct" w:w="2608"/>
            <w:tcBorders>
              <w:top w:space="0" w:sz="4" w:color="auto" w:val="single"/>
              <w:left w:space="0" w:sz="4" w:color="auto" w:val="single"/>
              <w:bottom w:val="nil"/>
              <w:right w:val="nil"/>
            </w:tcBorders>
            <w:shd w:fill="969696" w:color="auto" w:val="clear"/>
            <w:vAlign w:val="center"/>
            <w:hideMark/>
          </w:tcPr>
          <w:p w:rsidRDefault="001E3364" w:rsidR="001E3364">
            <w:pPr>
              <w:spacing w:lineRule="auto" w:line="240" w:after="0"/>
              <w:jc w:val="center"/>
              <w:rPr>
                <w:rFonts w:cs="Arial" w:eastAsia="Times New Roman" w:hAnsi="Arial" w:ascii="Arial"/>
                <w:b/>
                <w:bCs/>
                <w:color w:val="FFFFFF"/>
                <w:sz w:val="16"/>
                <w:szCs w:val="16"/>
                <w:lang w:eastAsia="hr-HR"/>
              </w:rPr>
            </w:pPr>
            <w:r>
              <w:rPr>
                <w:rFonts w:cs="Arial" w:eastAsia="Times New Roman" w:hAnsi="Arial" w:ascii="Arial"/>
                <w:b/>
                <w:bCs/>
                <w:color w:val="FFFFFF"/>
                <w:sz w:val="16"/>
                <w:szCs w:val="16"/>
                <w:lang w:eastAsia="hr-HR"/>
              </w:rPr>
              <w:t>Naziv pozicije</w:t>
            </w:r>
          </w:p>
        </w:tc>
        <w:tc>
          <w:tcPr>
            <w:tcW w:type="pct" w:w="612"/>
            <w:tcBorders>
              <w:top w:space="0" w:sz="4" w:color="auto" w:val="single"/>
              <w:left w:space="0" w:sz="4" w:color="auto" w:val="single"/>
              <w:bottom w:val="nil"/>
              <w:right w:val="nil"/>
            </w:tcBorders>
            <w:shd w:fill="969696" w:color="auto" w:val="clear"/>
            <w:vAlign w:val="center"/>
            <w:hideMark/>
          </w:tcPr>
          <w:p w:rsidRDefault="001E3364" w:rsidR="001E3364">
            <w:pPr>
              <w:spacing w:lineRule="auto" w:line="240" w:after="0"/>
              <w:jc w:val="center"/>
              <w:rPr>
                <w:rFonts w:cs="Arial" w:eastAsia="Times New Roman" w:hAnsi="Arial" w:ascii="Arial"/>
                <w:b/>
                <w:bCs/>
                <w:color w:val="FFFFFF"/>
                <w:sz w:val="16"/>
                <w:szCs w:val="16"/>
                <w:lang w:eastAsia="hr-HR"/>
              </w:rPr>
            </w:pPr>
            <w:r>
              <w:rPr>
                <w:rFonts w:cs="Arial" w:eastAsia="Times New Roman" w:hAnsi="Arial" w:ascii="Arial"/>
                <w:b/>
                <w:bCs/>
                <w:color w:val="FFFFFF"/>
                <w:sz w:val="16"/>
                <w:szCs w:val="16"/>
                <w:lang w:eastAsia="hr-HR"/>
              </w:rPr>
              <w:t>31.12.2015.</w:t>
            </w:r>
          </w:p>
        </w:tc>
        <w:tc>
          <w:tcPr>
            <w:tcW w:type="pct" w:w="612"/>
            <w:tcBorders>
              <w:top w:space="0" w:sz="4" w:color="auto" w:val="single"/>
              <w:left w:space="0" w:sz="4" w:color="auto" w:val="single"/>
              <w:bottom w:val="nil"/>
              <w:right w:val="nil"/>
            </w:tcBorders>
            <w:shd w:fill="969696" w:color="auto" w:val="clear"/>
            <w:vAlign w:val="center"/>
            <w:hideMark/>
          </w:tcPr>
          <w:p w:rsidRDefault="001E3364" w:rsidR="001E3364">
            <w:pPr>
              <w:spacing w:lineRule="auto" w:line="240" w:after="0"/>
              <w:jc w:val="center"/>
              <w:rPr>
                <w:rFonts w:cs="Arial" w:eastAsia="Times New Roman" w:hAnsi="Arial" w:ascii="Arial"/>
                <w:b/>
                <w:bCs/>
                <w:color w:val="FFFFFF"/>
                <w:sz w:val="16"/>
                <w:szCs w:val="16"/>
                <w:lang w:eastAsia="hr-HR"/>
              </w:rPr>
            </w:pPr>
            <w:r>
              <w:rPr>
                <w:rFonts w:cs="Arial" w:eastAsia="Times New Roman" w:hAnsi="Arial" w:ascii="Arial"/>
                <w:b/>
                <w:bCs/>
                <w:color w:val="FFFFFF"/>
                <w:sz w:val="16"/>
                <w:szCs w:val="16"/>
                <w:lang w:eastAsia="hr-HR"/>
              </w:rPr>
              <w:t>31.12.2016.</w:t>
            </w:r>
          </w:p>
        </w:tc>
        <w:tc>
          <w:tcPr>
            <w:tcW w:type="pct" w:w="586"/>
            <w:tcBorders>
              <w:top w:space="0" w:sz="4" w:color="auto" w:val="single"/>
              <w:left w:space="0" w:sz="4" w:color="auto" w:val="single"/>
              <w:bottom w:val="nil"/>
              <w:right w:space="0" w:sz="4" w:color="auto" w:val="single"/>
            </w:tcBorders>
            <w:shd w:fill="969696" w:color="auto" w:val="clear"/>
            <w:vAlign w:val="center"/>
            <w:hideMark/>
          </w:tcPr>
          <w:p w:rsidRDefault="001E3364" w:rsidR="001E3364">
            <w:pPr>
              <w:spacing w:lineRule="auto" w:line="240" w:after="0"/>
              <w:jc w:val="center"/>
              <w:rPr>
                <w:rFonts w:cs="Arial" w:eastAsia="Times New Roman" w:hAnsi="Arial" w:ascii="Arial"/>
                <w:b/>
                <w:bCs/>
                <w:color w:val="FFFFFF"/>
                <w:sz w:val="16"/>
                <w:szCs w:val="16"/>
                <w:lang w:eastAsia="hr-HR"/>
              </w:rPr>
            </w:pPr>
            <w:r>
              <w:rPr>
                <w:rFonts w:cs="Arial" w:eastAsia="Times New Roman" w:hAnsi="Arial" w:ascii="Arial"/>
                <w:b/>
                <w:bCs/>
                <w:color w:val="FFFFFF"/>
                <w:sz w:val="16"/>
                <w:szCs w:val="16"/>
                <w:lang w:eastAsia="hr-HR"/>
              </w:rPr>
              <w:t>31.12.2017.</w:t>
            </w:r>
          </w:p>
        </w:tc>
        <w:tc>
          <w:tcPr>
            <w:tcW w:type="pct" w:w="583"/>
            <w:tcBorders>
              <w:top w:space="0" w:sz="4" w:color="auto" w:val="single"/>
              <w:left w:val="nil"/>
              <w:bottom w:val="nil"/>
              <w:right w:space="0" w:sz="4" w:color="auto" w:val="single"/>
            </w:tcBorders>
            <w:shd w:fill="969696" w:color="auto" w:val="clear"/>
            <w:vAlign w:val="center"/>
            <w:hideMark/>
          </w:tcPr>
          <w:p w:rsidRDefault="001E3364" w:rsidR="001E3364">
            <w:pPr>
              <w:spacing w:lineRule="auto" w:line="240" w:after="0"/>
              <w:jc w:val="center"/>
              <w:rPr>
                <w:rFonts w:cs="Arial" w:eastAsia="Times New Roman" w:hAnsi="Arial" w:ascii="Arial"/>
                <w:b/>
                <w:bCs/>
                <w:color w:val="FFFFFF"/>
                <w:sz w:val="16"/>
                <w:szCs w:val="16"/>
                <w:lang w:eastAsia="hr-HR"/>
              </w:rPr>
            </w:pPr>
            <w:r>
              <w:rPr>
                <w:rFonts w:cs="Arial" w:eastAsia="Times New Roman" w:hAnsi="Arial" w:ascii="Arial"/>
                <w:b/>
                <w:bCs/>
                <w:color w:val="FFFFFF"/>
                <w:sz w:val="16"/>
                <w:szCs w:val="16"/>
                <w:lang w:eastAsia="hr-HR"/>
              </w:rPr>
              <w:t>6.7.2018.</w:t>
            </w:r>
          </w:p>
        </w:tc>
      </w:tr>
      <w:tr w:rsidTr="001E3364" w:rsidR="001E3364">
        <w:trPr>
          <w:trHeight w:val="20"/>
        </w:trPr>
        <w:tc>
          <w:tcPr>
            <w:tcW w:type="pct" w:w="2608"/>
            <w:tcBorders>
              <w:top w:space="0" w:sz="4" w:color="auto" w:val="single"/>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b/>
                <w:bCs/>
                <w:sz w:val="16"/>
                <w:szCs w:val="16"/>
                <w:lang w:eastAsia="hr-HR"/>
              </w:rPr>
            </w:pPr>
            <w:r>
              <w:rPr>
                <w:rFonts w:cs="Arial" w:eastAsia="Times New Roman" w:hAnsi="Arial" w:ascii="Arial"/>
                <w:b/>
                <w:bCs/>
                <w:sz w:val="16"/>
                <w:szCs w:val="16"/>
                <w:lang w:eastAsia="hr-HR"/>
              </w:rPr>
              <w:t>I. POSLOVNI PRIHODI</w:t>
            </w:r>
          </w:p>
        </w:tc>
        <w:tc>
          <w:tcPr>
            <w:tcW w:type="pct" w:w="612"/>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97.337.321</w:t>
            </w:r>
          </w:p>
        </w:tc>
        <w:tc>
          <w:tcPr>
            <w:tcW w:type="pct" w:w="612"/>
            <w:tcBorders>
              <w:top w:space="0" w:sz="4" w:color="auto" w:val="single"/>
              <w:left w:val="nil"/>
              <w:bottom w:space="0" w:sz="4" w:color="auto"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68.865.202</w:t>
            </w:r>
          </w:p>
        </w:tc>
        <w:tc>
          <w:tcPr>
            <w:tcW w:type="pct" w:w="586"/>
            <w:tcBorders>
              <w:top w:space="0" w:sz="4" w:color="auto" w:val="single"/>
              <w:left w:val="nil"/>
              <w:bottom w:space="0" w:sz="4" w:color="auto"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53.406.173</w:t>
            </w:r>
          </w:p>
        </w:tc>
        <w:tc>
          <w:tcPr>
            <w:tcW w:type="pct" w:w="583"/>
            <w:tcBorders>
              <w:top w:space="0" w:sz="4" w:color="auto" w:val="single"/>
              <w:left w:val="nil"/>
              <w:bottom w:space="0" w:sz="4" w:color="auto"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17.106.253</w:t>
            </w:r>
          </w:p>
        </w:tc>
      </w:tr>
      <w:tr w:rsidTr="001E3364" w:rsidR="001E3364">
        <w:trPr>
          <w:trHeight w:val="20"/>
        </w:trPr>
        <w:tc>
          <w:tcPr>
            <w:tcW w:type="pct" w:w="2608"/>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1. Prihodi od prodaje s poduzetnicima unutar grupe</w:t>
            </w:r>
          </w:p>
        </w:tc>
        <w:tc>
          <w:tcPr>
            <w:tcW w:type="pct" w:w="612"/>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612"/>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86"/>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83"/>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1E3364" w:rsidR="001E3364">
        <w:trPr>
          <w:trHeight w:val="20"/>
        </w:trPr>
        <w:tc>
          <w:tcPr>
            <w:tcW w:type="pct" w:w="2608"/>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2. Prihodi od prodaje (izvan grupe)</w:t>
            </w:r>
          </w:p>
        </w:tc>
        <w:tc>
          <w:tcPr>
            <w:tcW w:type="pct" w:w="612"/>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95.493.949</w:t>
            </w:r>
          </w:p>
        </w:tc>
        <w:tc>
          <w:tcPr>
            <w:tcW w:type="pct" w:w="612"/>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59.991.203</w:t>
            </w:r>
          </w:p>
        </w:tc>
        <w:tc>
          <w:tcPr>
            <w:tcW w:type="pct" w:w="586"/>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46.133.251</w:t>
            </w:r>
          </w:p>
        </w:tc>
        <w:tc>
          <w:tcPr>
            <w:tcW w:type="pct" w:w="583"/>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11.848.462</w:t>
            </w:r>
          </w:p>
        </w:tc>
      </w:tr>
      <w:tr w:rsidTr="001E3364" w:rsidR="001E3364">
        <w:trPr>
          <w:trHeight w:val="20"/>
        </w:trPr>
        <w:tc>
          <w:tcPr>
            <w:tcW w:type="pct" w:w="2608"/>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3. Prihodi na temelju upotrebe vlastitih proizvoda, robe i usluga</w:t>
            </w:r>
          </w:p>
        </w:tc>
        <w:tc>
          <w:tcPr>
            <w:tcW w:type="pct" w:w="612"/>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612"/>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86"/>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83"/>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1E3364" w:rsidR="001E3364">
        <w:trPr>
          <w:trHeight w:val="20"/>
        </w:trPr>
        <w:tc>
          <w:tcPr>
            <w:tcW w:type="pct" w:w="2608"/>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4. Ostali poslovni prihodi s poduzetnicima unutar grupe</w:t>
            </w:r>
          </w:p>
        </w:tc>
        <w:tc>
          <w:tcPr>
            <w:tcW w:type="pct" w:w="612"/>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612"/>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86"/>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83"/>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1E3364" w:rsidR="001E3364">
        <w:trPr>
          <w:trHeight w:val="20"/>
        </w:trPr>
        <w:tc>
          <w:tcPr>
            <w:tcW w:type="pct" w:w="2608"/>
            <w:tcBorders>
              <w:top w:val="nil"/>
              <w:left w:space="0" w:sz="4" w:color="auto" w:val="single"/>
              <w:bottom w:space="0" w:sz="4" w:color="000000"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5. Ostali poslovni prihodi (izvan grupe)</w:t>
            </w:r>
          </w:p>
        </w:tc>
        <w:tc>
          <w:tcPr>
            <w:tcW w:type="pct" w:w="612"/>
            <w:tcBorders>
              <w:top w:val="nil"/>
              <w:left w:val="nil"/>
              <w:bottom w:space="0" w:sz="4" w:color="000000"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1.843.372</w:t>
            </w:r>
          </w:p>
        </w:tc>
        <w:tc>
          <w:tcPr>
            <w:tcW w:type="pct" w:w="612"/>
            <w:tcBorders>
              <w:top w:val="nil"/>
              <w:left w:val="nil"/>
              <w:bottom w:space="0" w:sz="4" w:color="000000"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8.873.999</w:t>
            </w:r>
          </w:p>
        </w:tc>
        <w:tc>
          <w:tcPr>
            <w:tcW w:type="pct" w:w="586"/>
            <w:tcBorders>
              <w:top w:val="nil"/>
              <w:left w:val="nil"/>
              <w:bottom w:space="0" w:sz="4" w:color="000000"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7.272.922</w:t>
            </w:r>
          </w:p>
        </w:tc>
        <w:tc>
          <w:tcPr>
            <w:tcW w:type="pct" w:w="583"/>
            <w:tcBorders>
              <w:top w:val="nil"/>
              <w:left w:val="nil"/>
              <w:bottom w:space="0" w:sz="4" w:color="000000"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5.257.791</w:t>
            </w:r>
          </w:p>
        </w:tc>
      </w:tr>
      <w:tr w:rsidTr="001E3364" w:rsidR="001E3364">
        <w:trPr>
          <w:trHeight w:val="20"/>
        </w:trPr>
        <w:tc>
          <w:tcPr>
            <w:tcW w:type="pct" w:w="2608"/>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b/>
                <w:bCs/>
                <w:sz w:val="16"/>
                <w:szCs w:val="16"/>
                <w:lang w:eastAsia="hr-HR"/>
              </w:rPr>
            </w:pPr>
            <w:r>
              <w:rPr>
                <w:rFonts w:cs="Arial" w:eastAsia="Times New Roman" w:hAnsi="Arial" w:ascii="Arial"/>
                <w:b/>
                <w:bCs/>
                <w:sz w:val="16"/>
                <w:szCs w:val="16"/>
                <w:lang w:eastAsia="hr-HR"/>
              </w:rPr>
              <w:t>II. POSLOVNI RASHODI</w:t>
            </w:r>
          </w:p>
        </w:tc>
        <w:tc>
          <w:tcPr>
            <w:tcW w:type="pct" w:w="612"/>
            <w:tcBorders>
              <w:top w:val="nil"/>
              <w:left w:space="0" w:sz="4" w:color="auto" w:val="single"/>
              <w:bottom w:space="0" w:sz="4" w:color="auto"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88.398.599</w:t>
            </w:r>
          </w:p>
        </w:tc>
        <w:tc>
          <w:tcPr>
            <w:tcW w:type="pct" w:w="612"/>
            <w:tcBorders>
              <w:top w:val="nil"/>
              <w:left w:val="nil"/>
              <w:bottom w:space="0" w:sz="4" w:color="auto"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66.350.282</w:t>
            </w:r>
          </w:p>
        </w:tc>
        <w:tc>
          <w:tcPr>
            <w:tcW w:type="pct" w:w="586"/>
            <w:tcBorders>
              <w:top w:val="nil"/>
              <w:left w:val="nil"/>
              <w:bottom w:space="0" w:sz="4" w:color="auto"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60.206.751</w:t>
            </w:r>
          </w:p>
        </w:tc>
        <w:tc>
          <w:tcPr>
            <w:tcW w:type="pct" w:w="583"/>
            <w:tcBorders>
              <w:top w:val="nil"/>
              <w:left w:val="nil"/>
              <w:bottom w:space="0" w:sz="4" w:color="auto"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18.928.996</w:t>
            </w:r>
          </w:p>
        </w:tc>
      </w:tr>
      <w:tr w:rsidTr="001E3364" w:rsidR="001E3364">
        <w:trPr>
          <w:trHeight w:val="20"/>
        </w:trPr>
        <w:tc>
          <w:tcPr>
            <w:tcW w:type="pct" w:w="2608"/>
            <w:tcBorders>
              <w:top w:val="nil"/>
              <w:left w:space="0" w:sz="4" w:color="auto" w:val="single"/>
              <w:bottom w:space="0" w:sz="4" w:color="000000"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1. Promjene vrijednosti zaliha proizvodnje u tijeku i gotovih proizvoda</w:t>
            </w:r>
          </w:p>
        </w:tc>
        <w:tc>
          <w:tcPr>
            <w:tcW w:type="pct" w:w="612"/>
            <w:tcBorders>
              <w:top w:val="nil"/>
              <w:left w:val="nil"/>
              <w:bottom w:space="0" w:sz="4" w:color="000000"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612"/>
            <w:tcBorders>
              <w:top w:val="nil"/>
              <w:left w:val="nil"/>
              <w:bottom w:space="0" w:sz="4" w:color="000000"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86"/>
            <w:tcBorders>
              <w:top w:val="nil"/>
              <w:left w:val="nil"/>
              <w:bottom w:space="0" w:sz="4" w:color="000000"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83"/>
            <w:tcBorders>
              <w:top w:val="nil"/>
              <w:left w:val="nil"/>
              <w:bottom w:space="0" w:sz="4" w:color="000000"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1E3364" w:rsidR="001E3364">
        <w:trPr>
          <w:trHeight w:val="20"/>
        </w:trPr>
        <w:tc>
          <w:tcPr>
            <w:tcW w:type="pct" w:w="2608"/>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b/>
                <w:bCs/>
                <w:sz w:val="16"/>
                <w:szCs w:val="16"/>
                <w:lang w:eastAsia="hr-HR"/>
              </w:rPr>
            </w:pPr>
            <w:r>
              <w:rPr>
                <w:rFonts w:cs="Arial" w:eastAsia="Times New Roman" w:hAnsi="Arial" w:ascii="Arial"/>
                <w:b/>
                <w:bCs/>
                <w:sz w:val="16"/>
                <w:szCs w:val="16"/>
                <w:lang w:eastAsia="hr-HR"/>
              </w:rPr>
              <w:t xml:space="preserve">    2. Materijalni troškovi</w:t>
            </w:r>
          </w:p>
        </w:tc>
        <w:tc>
          <w:tcPr>
            <w:tcW w:type="pct" w:w="612"/>
            <w:tcBorders>
              <w:top w:val="nil"/>
              <w:left w:space="0" w:sz="4" w:color="auto" w:val="single"/>
              <w:bottom w:space="0" w:sz="4" w:color="auto"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70.998.059</w:t>
            </w:r>
          </w:p>
        </w:tc>
        <w:tc>
          <w:tcPr>
            <w:tcW w:type="pct" w:w="612"/>
            <w:tcBorders>
              <w:top w:val="nil"/>
              <w:left w:val="nil"/>
              <w:bottom w:space="0" w:sz="4" w:color="auto"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46.177.738</w:t>
            </w:r>
          </w:p>
        </w:tc>
        <w:tc>
          <w:tcPr>
            <w:tcW w:type="pct" w:w="586"/>
            <w:tcBorders>
              <w:top w:val="nil"/>
              <w:left w:val="nil"/>
              <w:bottom w:space="0" w:sz="4" w:color="auto"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45.429.282</w:t>
            </w:r>
          </w:p>
        </w:tc>
        <w:tc>
          <w:tcPr>
            <w:tcW w:type="pct" w:w="583"/>
            <w:tcBorders>
              <w:top w:val="nil"/>
              <w:left w:val="nil"/>
              <w:bottom w:space="0" w:sz="4" w:color="auto"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14.409.706</w:t>
            </w:r>
          </w:p>
        </w:tc>
      </w:tr>
      <w:tr w:rsidTr="001E3364" w:rsidR="001E3364">
        <w:trPr>
          <w:trHeight w:val="20"/>
        </w:trPr>
        <w:tc>
          <w:tcPr>
            <w:tcW w:type="pct" w:w="2608"/>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a) Troškovi sirovina i materijala </w:t>
            </w:r>
          </w:p>
        </w:tc>
        <w:tc>
          <w:tcPr>
            <w:tcW w:type="pct" w:w="612"/>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36.208.247</w:t>
            </w:r>
          </w:p>
        </w:tc>
        <w:tc>
          <w:tcPr>
            <w:tcW w:type="pct" w:w="612"/>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25.995.449</w:t>
            </w:r>
          </w:p>
        </w:tc>
        <w:tc>
          <w:tcPr>
            <w:tcW w:type="pct" w:w="586"/>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15.638.052</w:t>
            </w:r>
          </w:p>
        </w:tc>
        <w:tc>
          <w:tcPr>
            <w:tcW w:type="pct" w:w="583"/>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9.881.263</w:t>
            </w:r>
          </w:p>
        </w:tc>
      </w:tr>
      <w:tr w:rsidTr="001E3364" w:rsidR="001E3364">
        <w:trPr>
          <w:trHeight w:val="20"/>
        </w:trPr>
        <w:tc>
          <w:tcPr>
            <w:tcW w:type="pct" w:w="2608"/>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b) Troškovi prodane robe </w:t>
            </w:r>
          </w:p>
        </w:tc>
        <w:tc>
          <w:tcPr>
            <w:tcW w:type="pct" w:w="612"/>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27.263.894</w:t>
            </w:r>
          </w:p>
        </w:tc>
        <w:tc>
          <w:tcPr>
            <w:tcW w:type="pct" w:w="612"/>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11.827.239</w:t>
            </w:r>
          </w:p>
        </w:tc>
        <w:tc>
          <w:tcPr>
            <w:tcW w:type="pct" w:w="586"/>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21.978.944</w:t>
            </w:r>
          </w:p>
        </w:tc>
        <w:tc>
          <w:tcPr>
            <w:tcW w:type="pct" w:w="583"/>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2.981.379</w:t>
            </w:r>
          </w:p>
        </w:tc>
      </w:tr>
      <w:tr w:rsidTr="001E3364" w:rsidR="001E3364">
        <w:trPr>
          <w:trHeight w:val="20"/>
        </w:trPr>
        <w:tc>
          <w:tcPr>
            <w:tcW w:type="pct" w:w="2608"/>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c) Ostali vanjski troškovi </w:t>
            </w:r>
          </w:p>
        </w:tc>
        <w:tc>
          <w:tcPr>
            <w:tcW w:type="pct" w:w="612"/>
            <w:tcBorders>
              <w:top w:val="nil"/>
              <w:left w:space="0" w:sz="4" w:color="auto" w:val="single"/>
              <w:bottom w:space="0" w:sz="4" w:color="000000"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7.525.918</w:t>
            </w:r>
          </w:p>
        </w:tc>
        <w:tc>
          <w:tcPr>
            <w:tcW w:type="pct" w:w="612"/>
            <w:tcBorders>
              <w:top w:val="nil"/>
              <w:left w:val="nil"/>
              <w:bottom w:space="0" w:sz="4" w:color="000000"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8.355.050</w:t>
            </w:r>
          </w:p>
        </w:tc>
        <w:tc>
          <w:tcPr>
            <w:tcW w:type="pct" w:w="586"/>
            <w:tcBorders>
              <w:top w:val="nil"/>
              <w:left w:val="nil"/>
              <w:bottom w:space="0" w:sz="4" w:color="000000"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7.812.286</w:t>
            </w:r>
          </w:p>
        </w:tc>
        <w:tc>
          <w:tcPr>
            <w:tcW w:type="pct" w:w="583"/>
            <w:tcBorders>
              <w:top w:val="nil"/>
              <w:left w:val="nil"/>
              <w:bottom w:space="0" w:sz="4" w:color="000000"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1.547.064</w:t>
            </w:r>
          </w:p>
        </w:tc>
      </w:tr>
      <w:tr w:rsidTr="001E3364" w:rsidR="001E3364">
        <w:trPr>
          <w:trHeight w:val="20"/>
        </w:trPr>
        <w:tc>
          <w:tcPr>
            <w:tcW w:type="pct" w:w="2608"/>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b/>
                <w:bCs/>
                <w:sz w:val="16"/>
                <w:szCs w:val="16"/>
                <w:lang w:eastAsia="hr-HR"/>
              </w:rPr>
            </w:pPr>
            <w:r>
              <w:rPr>
                <w:rFonts w:cs="Arial" w:eastAsia="Times New Roman" w:hAnsi="Arial" w:ascii="Arial"/>
                <w:b/>
                <w:bCs/>
                <w:sz w:val="16"/>
                <w:szCs w:val="16"/>
                <w:lang w:eastAsia="hr-HR"/>
              </w:rPr>
              <w:t xml:space="preserve">   3. Troškovi osoblja</w:t>
            </w:r>
          </w:p>
        </w:tc>
        <w:tc>
          <w:tcPr>
            <w:tcW w:type="pct" w:w="612"/>
            <w:tcBorders>
              <w:top w:val="nil"/>
              <w:left w:space="0" w:sz="4" w:color="auto" w:val="single"/>
              <w:bottom w:space="0" w:sz="4" w:color="auto"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4.785.722</w:t>
            </w:r>
          </w:p>
        </w:tc>
        <w:tc>
          <w:tcPr>
            <w:tcW w:type="pct" w:w="612"/>
            <w:tcBorders>
              <w:top w:val="nil"/>
              <w:left w:val="nil"/>
              <w:bottom w:space="0" w:sz="4" w:color="auto"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5.324.298</w:t>
            </w:r>
          </w:p>
        </w:tc>
        <w:tc>
          <w:tcPr>
            <w:tcW w:type="pct" w:w="586"/>
            <w:tcBorders>
              <w:top w:val="nil"/>
              <w:left w:val="nil"/>
              <w:bottom w:space="0" w:sz="4" w:color="auto"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5.399.106</w:t>
            </w:r>
          </w:p>
        </w:tc>
        <w:tc>
          <w:tcPr>
            <w:tcW w:type="pct" w:w="583"/>
            <w:tcBorders>
              <w:top w:val="nil"/>
              <w:left w:val="nil"/>
              <w:bottom w:space="0" w:sz="4" w:color="auto"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1.764.719</w:t>
            </w:r>
          </w:p>
        </w:tc>
      </w:tr>
      <w:tr w:rsidTr="001E3364" w:rsidR="001E3364">
        <w:trPr>
          <w:trHeight w:val="20"/>
        </w:trPr>
        <w:tc>
          <w:tcPr>
            <w:tcW w:type="pct" w:w="2608"/>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a) Neto plaće i nadnice</w:t>
            </w:r>
          </w:p>
        </w:tc>
        <w:tc>
          <w:tcPr>
            <w:tcW w:type="pct" w:w="612"/>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3.221.491</w:t>
            </w:r>
          </w:p>
        </w:tc>
        <w:tc>
          <w:tcPr>
            <w:tcW w:type="pct" w:w="612"/>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3.427.554</w:t>
            </w:r>
          </w:p>
        </w:tc>
        <w:tc>
          <w:tcPr>
            <w:tcW w:type="pct" w:w="586"/>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3.556.371</w:t>
            </w:r>
          </w:p>
        </w:tc>
        <w:tc>
          <w:tcPr>
            <w:tcW w:type="pct" w:w="583"/>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1.177.242</w:t>
            </w:r>
          </w:p>
        </w:tc>
      </w:tr>
      <w:tr w:rsidTr="001E3364" w:rsidR="001E3364">
        <w:trPr>
          <w:trHeight w:val="20"/>
        </w:trPr>
        <w:tc>
          <w:tcPr>
            <w:tcW w:type="pct" w:w="2608"/>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b) Troškovi poreza i doprinosa iz plaća</w:t>
            </w:r>
          </w:p>
        </w:tc>
        <w:tc>
          <w:tcPr>
            <w:tcW w:type="pct" w:w="612"/>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872.575</w:t>
            </w:r>
          </w:p>
        </w:tc>
        <w:tc>
          <w:tcPr>
            <w:tcW w:type="pct" w:w="612"/>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1.114.203</w:t>
            </w:r>
          </w:p>
        </w:tc>
        <w:tc>
          <w:tcPr>
            <w:tcW w:type="pct" w:w="586"/>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1.060.162</w:t>
            </w:r>
          </w:p>
        </w:tc>
        <w:tc>
          <w:tcPr>
            <w:tcW w:type="pct" w:w="583"/>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337.287</w:t>
            </w:r>
          </w:p>
        </w:tc>
      </w:tr>
      <w:tr w:rsidTr="001E3364" w:rsidR="001E3364">
        <w:trPr>
          <w:trHeight w:val="20"/>
        </w:trPr>
        <w:tc>
          <w:tcPr>
            <w:tcW w:type="pct" w:w="2608"/>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c) Doprinosi na plaće</w:t>
            </w:r>
          </w:p>
        </w:tc>
        <w:tc>
          <w:tcPr>
            <w:tcW w:type="pct" w:w="612"/>
            <w:tcBorders>
              <w:top w:val="nil"/>
              <w:left w:space="0" w:sz="4" w:color="auto" w:val="single"/>
              <w:bottom w:val="nil"/>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691.656</w:t>
            </w:r>
          </w:p>
        </w:tc>
        <w:tc>
          <w:tcPr>
            <w:tcW w:type="pct" w:w="612"/>
            <w:tcBorders>
              <w:top w:val="nil"/>
              <w:left w:val="nil"/>
              <w:bottom w:val="nil"/>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782.541</w:t>
            </w:r>
          </w:p>
        </w:tc>
        <w:tc>
          <w:tcPr>
            <w:tcW w:type="pct" w:w="586"/>
            <w:tcBorders>
              <w:top w:val="nil"/>
              <w:left w:val="nil"/>
              <w:bottom w:val="nil"/>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782.573</w:t>
            </w:r>
          </w:p>
        </w:tc>
        <w:tc>
          <w:tcPr>
            <w:tcW w:type="pct" w:w="583"/>
            <w:tcBorders>
              <w:top w:val="nil"/>
              <w:left w:val="nil"/>
              <w:bottom w:val="nil"/>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250.190</w:t>
            </w:r>
          </w:p>
        </w:tc>
      </w:tr>
      <w:tr w:rsidTr="001E3364" w:rsidR="001E3364">
        <w:trPr>
          <w:trHeight w:val="20"/>
        </w:trPr>
        <w:tc>
          <w:tcPr>
            <w:tcW w:type="pct" w:w="2608"/>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b/>
                <w:bCs/>
                <w:sz w:val="16"/>
                <w:szCs w:val="16"/>
                <w:lang w:eastAsia="hr-HR"/>
              </w:rPr>
            </w:pPr>
            <w:r>
              <w:rPr>
                <w:rFonts w:cs="Arial" w:eastAsia="Times New Roman" w:hAnsi="Arial" w:ascii="Arial"/>
                <w:b/>
                <w:bCs/>
                <w:sz w:val="16"/>
                <w:szCs w:val="16"/>
                <w:lang w:eastAsia="hr-HR"/>
              </w:rPr>
              <w:t xml:space="preserve">   4. Amortizacija</w:t>
            </w:r>
          </w:p>
        </w:tc>
        <w:tc>
          <w:tcPr>
            <w:tcW w:type="pct" w:w="612"/>
            <w:tcBorders>
              <w:top w:space="0" w:sz="4" w:color="000000" w:val="single"/>
              <w:left w:space="0" w:sz="4" w:color="auto" w:val="single"/>
              <w:bottom w:space="0" w:sz="4" w:color="000000"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5.191.887</w:t>
            </w:r>
          </w:p>
        </w:tc>
        <w:tc>
          <w:tcPr>
            <w:tcW w:type="pct" w:w="612"/>
            <w:tcBorders>
              <w:top w:space="0" w:sz="4" w:color="000000" w:val="single"/>
              <w:left w:val="nil"/>
              <w:bottom w:space="0" w:sz="4" w:color="000000"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7.382.469</w:t>
            </w:r>
          </w:p>
        </w:tc>
        <w:tc>
          <w:tcPr>
            <w:tcW w:type="pct" w:w="586"/>
            <w:tcBorders>
              <w:top w:space="0" w:sz="4" w:color="000000" w:val="single"/>
              <w:left w:val="nil"/>
              <w:bottom w:space="0" w:sz="4" w:color="000000"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4.925.322</w:t>
            </w:r>
          </w:p>
        </w:tc>
        <w:tc>
          <w:tcPr>
            <w:tcW w:type="pct" w:w="583"/>
            <w:tcBorders>
              <w:top w:space="0" w:sz="4" w:color="000000" w:val="single"/>
              <w:left w:val="nil"/>
              <w:bottom w:space="0" w:sz="4" w:color="000000"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1.508.274</w:t>
            </w:r>
          </w:p>
        </w:tc>
      </w:tr>
      <w:tr w:rsidTr="001E3364" w:rsidR="001E3364">
        <w:trPr>
          <w:trHeight w:val="20"/>
        </w:trPr>
        <w:tc>
          <w:tcPr>
            <w:tcW w:type="pct" w:w="2608"/>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b/>
                <w:bCs/>
                <w:sz w:val="16"/>
                <w:szCs w:val="16"/>
                <w:lang w:eastAsia="hr-HR"/>
              </w:rPr>
            </w:pPr>
            <w:r>
              <w:rPr>
                <w:rFonts w:cs="Arial" w:eastAsia="Times New Roman" w:hAnsi="Arial" w:ascii="Arial"/>
                <w:b/>
                <w:bCs/>
                <w:sz w:val="16"/>
                <w:szCs w:val="16"/>
                <w:lang w:eastAsia="hr-HR"/>
              </w:rPr>
              <w:t xml:space="preserve">   5. Ostali troškovi</w:t>
            </w:r>
          </w:p>
        </w:tc>
        <w:tc>
          <w:tcPr>
            <w:tcW w:type="pct" w:w="612"/>
            <w:tcBorders>
              <w:top w:val="nil"/>
              <w:left w:space="0" w:sz="4" w:color="auto" w:val="single"/>
              <w:bottom w:space="0" w:sz="4" w:color="000000"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1.227.310</w:t>
            </w:r>
          </w:p>
        </w:tc>
        <w:tc>
          <w:tcPr>
            <w:tcW w:type="pct" w:w="612"/>
            <w:tcBorders>
              <w:top w:val="nil"/>
              <w:left w:val="nil"/>
              <w:bottom w:space="0" w:sz="4" w:color="000000"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1.015.761</w:t>
            </w:r>
          </w:p>
        </w:tc>
        <w:tc>
          <w:tcPr>
            <w:tcW w:type="pct" w:w="586"/>
            <w:tcBorders>
              <w:top w:val="nil"/>
              <w:left w:val="nil"/>
              <w:bottom w:space="0" w:sz="4" w:color="000000"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940.244</w:t>
            </w:r>
          </w:p>
        </w:tc>
        <w:tc>
          <w:tcPr>
            <w:tcW w:type="pct" w:w="583"/>
            <w:tcBorders>
              <w:top w:val="nil"/>
              <w:left w:val="nil"/>
              <w:bottom w:space="0" w:sz="4" w:color="000000"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334.939</w:t>
            </w:r>
          </w:p>
        </w:tc>
      </w:tr>
      <w:tr w:rsidTr="001E3364" w:rsidR="001E3364">
        <w:trPr>
          <w:trHeight w:val="20"/>
        </w:trPr>
        <w:tc>
          <w:tcPr>
            <w:tcW w:type="pct" w:w="2608"/>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b/>
                <w:bCs/>
                <w:sz w:val="16"/>
                <w:szCs w:val="16"/>
                <w:lang w:eastAsia="hr-HR"/>
              </w:rPr>
            </w:pPr>
            <w:r>
              <w:rPr>
                <w:rFonts w:cs="Arial" w:eastAsia="Times New Roman" w:hAnsi="Arial" w:ascii="Arial"/>
                <w:b/>
                <w:bCs/>
                <w:sz w:val="16"/>
                <w:szCs w:val="16"/>
                <w:lang w:eastAsia="hr-HR"/>
              </w:rPr>
              <w:t xml:space="preserve">   6. Vrijednosna usklađenja</w:t>
            </w:r>
          </w:p>
        </w:tc>
        <w:tc>
          <w:tcPr>
            <w:tcW w:type="pct" w:w="612"/>
            <w:tcBorders>
              <w:top w:val="nil"/>
              <w:left w:space="0" w:sz="4" w:color="auto" w:val="single"/>
              <w:bottom w:space="0" w:sz="4" w:color="auto"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0</w:t>
            </w:r>
          </w:p>
        </w:tc>
        <w:tc>
          <w:tcPr>
            <w:tcW w:type="pct" w:w="612"/>
            <w:tcBorders>
              <w:top w:val="nil"/>
              <w:left w:val="nil"/>
              <w:bottom w:space="0" w:sz="4" w:color="auto"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0</w:t>
            </w:r>
          </w:p>
        </w:tc>
        <w:tc>
          <w:tcPr>
            <w:tcW w:type="pct" w:w="586"/>
            <w:tcBorders>
              <w:top w:val="nil"/>
              <w:left w:val="nil"/>
              <w:bottom w:space="0" w:sz="4" w:color="auto"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0</w:t>
            </w:r>
          </w:p>
        </w:tc>
        <w:tc>
          <w:tcPr>
            <w:tcW w:type="pct" w:w="583"/>
            <w:tcBorders>
              <w:top w:val="nil"/>
              <w:left w:val="nil"/>
              <w:bottom w:space="0" w:sz="4" w:color="auto"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0</w:t>
            </w:r>
          </w:p>
        </w:tc>
      </w:tr>
      <w:tr w:rsidTr="001E3364" w:rsidR="001E3364">
        <w:trPr>
          <w:trHeight w:val="20"/>
        </w:trPr>
        <w:tc>
          <w:tcPr>
            <w:tcW w:type="pct" w:w="2608"/>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a) dugotrajne imovine osim financijske imovine</w:t>
            </w:r>
          </w:p>
        </w:tc>
        <w:tc>
          <w:tcPr>
            <w:tcW w:type="pct" w:w="612"/>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612"/>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86"/>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83"/>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1E3364" w:rsidR="001E3364">
        <w:trPr>
          <w:trHeight w:val="20"/>
        </w:trPr>
        <w:tc>
          <w:tcPr>
            <w:tcW w:type="pct" w:w="2608"/>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b) kratkotrajne imovine osim financijske imovine</w:t>
            </w:r>
          </w:p>
        </w:tc>
        <w:tc>
          <w:tcPr>
            <w:tcW w:type="pct" w:w="612"/>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612"/>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86"/>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83"/>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1E3364" w:rsidR="001E3364">
        <w:trPr>
          <w:trHeight w:val="20"/>
        </w:trPr>
        <w:tc>
          <w:tcPr>
            <w:tcW w:type="pct" w:w="2608"/>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b/>
                <w:bCs/>
                <w:sz w:val="16"/>
                <w:szCs w:val="16"/>
                <w:lang w:eastAsia="hr-HR"/>
              </w:rPr>
            </w:pPr>
            <w:r>
              <w:rPr>
                <w:rFonts w:cs="Arial" w:eastAsia="Times New Roman" w:hAnsi="Arial" w:ascii="Arial"/>
                <w:b/>
                <w:bCs/>
                <w:sz w:val="16"/>
                <w:szCs w:val="16"/>
                <w:lang w:eastAsia="hr-HR"/>
              </w:rPr>
              <w:t xml:space="preserve">   7. Rezerviranja</w:t>
            </w:r>
          </w:p>
        </w:tc>
        <w:tc>
          <w:tcPr>
            <w:tcW w:type="pct" w:w="612"/>
            <w:tcBorders>
              <w:top w:val="nil"/>
              <w:left w:space="0" w:sz="4" w:color="auto" w:val="single"/>
              <w:bottom w:space="0" w:sz="4" w:color="auto"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0</w:t>
            </w:r>
          </w:p>
        </w:tc>
        <w:tc>
          <w:tcPr>
            <w:tcW w:type="pct" w:w="612"/>
            <w:tcBorders>
              <w:top w:val="nil"/>
              <w:left w:val="nil"/>
              <w:bottom w:space="0" w:sz="4" w:color="auto"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0</w:t>
            </w:r>
          </w:p>
        </w:tc>
        <w:tc>
          <w:tcPr>
            <w:tcW w:type="pct" w:w="586"/>
            <w:tcBorders>
              <w:top w:val="nil"/>
              <w:left w:val="nil"/>
              <w:bottom w:space="0" w:sz="4" w:color="auto"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0</w:t>
            </w:r>
          </w:p>
        </w:tc>
        <w:tc>
          <w:tcPr>
            <w:tcW w:type="pct" w:w="583"/>
            <w:tcBorders>
              <w:top w:val="nil"/>
              <w:left w:val="nil"/>
              <w:bottom w:space="0" w:sz="4" w:color="auto"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0</w:t>
            </w:r>
          </w:p>
        </w:tc>
      </w:tr>
      <w:tr w:rsidTr="001E3364" w:rsidR="001E3364">
        <w:trPr>
          <w:trHeight w:val="20"/>
        </w:trPr>
        <w:tc>
          <w:tcPr>
            <w:tcW w:type="pct" w:w="2608"/>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a) Rezerviranja za mirovine, otpremnine i slične obveze</w:t>
            </w:r>
          </w:p>
        </w:tc>
        <w:tc>
          <w:tcPr>
            <w:tcW w:type="pct" w:w="612"/>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612"/>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86"/>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83"/>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1E3364" w:rsidR="001E3364">
        <w:trPr>
          <w:trHeight w:val="20"/>
        </w:trPr>
        <w:tc>
          <w:tcPr>
            <w:tcW w:type="pct" w:w="2608"/>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b) Rezerviranja za porezne obveze</w:t>
            </w:r>
          </w:p>
        </w:tc>
        <w:tc>
          <w:tcPr>
            <w:tcW w:type="pct" w:w="612"/>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612"/>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86"/>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83"/>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1E3364" w:rsidR="001E3364">
        <w:trPr>
          <w:trHeight w:val="20"/>
        </w:trPr>
        <w:tc>
          <w:tcPr>
            <w:tcW w:type="pct" w:w="2608"/>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c) Rezerviranja za započete sudske sporove</w:t>
            </w:r>
          </w:p>
        </w:tc>
        <w:tc>
          <w:tcPr>
            <w:tcW w:type="pct" w:w="612"/>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612"/>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86"/>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83"/>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1E3364" w:rsidR="001E3364">
        <w:trPr>
          <w:trHeight w:val="20"/>
        </w:trPr>
        <w:tc>
          <w:tcPr>
            <w:tcW w:type="pct" w:w="2608"/>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d) Rezerviranja za troškove obnavljanja prirodnih bogatstava</w:t>
            </w:r>
          </w:p>
        </w:tc>
        <w:tc>
          <w:tcPr>
            <w:tcW w:type="pct" w:w="612"/>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612"/>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86"/>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83"/>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1E3364" w:rsidR="001E3364">
        <w:trPr>
          <w:trHeight w:val="20"/>
        </w:trPr>
        <w:tc>
          <w:tcPr>
            <w:tcW w:type="pct" w:w="2608"/>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e) Rezerviranja za troškove u jamstvenim rokovima</w:t>
            </w:r>
          </w:p>
        </w:tc>
        <w:tc>
          <w:tcPr>
            <w:tcW w:type="pct" w:w="612"/>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612"/>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86"/>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83"/>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1E3364" w:rsidR="001E3364">
        <w:trPr>
          <w:trHeight w:val="20"/>
        </w:trPr>
        <w:tc>
          <w:tcPr>
            <w:tcW w:type="pct" w:w="2608"/>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f) Druga rezerviranja</w:t>
            </w:r>
          </w:p>
        </w:tc>
        <w:tc>
          <w:tcPr>
            <w:tcW w:type="pct" w:w="612"/>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612"/>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86"/>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83"/>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1E3364" w:rsidR="001E3364">
        <w:trPr>
          <w:trHeight w:val="20"/>
        </w:trPr>
        <w:tc>
          <w:tcPr>
            <w:tcW w:type="pct" w:w="2608"/>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b/>
                <w:bCs/>
                <w:sz w:val="16"/>
                <w:szCs w:val="16"/>
                <w:lang w:eastAsia="hr-HR"/>
              </w:rPr>
            </w:pPr>
            <w:r>
              <w:rPr>
                <w:rFonts w:cs="Arial" w:eastAsia="Times New Roman" w:hAnsi="Arial" w:ascii="Arial"/>
                <w:b/>
                <w:bCs/>
                <w:sz w:val="16"/>
                <w:szCs w:val="16"/>
                <w:lang w:eastAsia="hr-HR"/>
              </w:rPr>
              <w:t xml:space="preserve">   8. Ostali poslovni rashodi</w:t>
            </w:r>
          </w:p>
        </w:tc>
        <w:tc>
          <w:tcPr>
            <w:tcW w:type="pct" w:w="612"/>
            <w:tcBorders>
              <w:top w:val="nil"/>
              <w:left w:space="0" w:sz="4" w:color="auto" w:val="single"/>
              <w:bottom w:space="0" w:sz="4" w:color="auto"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6.195.621</w:t>
            </w:r>
          </w:p>
        </w:tc>
        <w:tc>
          <w:tcPr>
            <w:tcW w:type="pct" w:w="612"/>
            <w:tcBorders>
              <w:top w:val="nil"/>
              <w:left w:val="nil"/>
              <w:bottom w:space="0" w:sz="4" w:color="auto"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6.450.016</w:t>
            </w:r>
          </w:p>
        </w:tc>
        <w:tc>
          <w:tcPr>
            <w:tcW w:type="pct" w:w="586"/>
            <w:tcBorders>
              <w:top w:val="nil"/>
              <w:left w:val="nil"/>
              <w:bottom w:space="0" w:sz="4" w:color="auto"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3.512.797</w:t>
            </w:r>
          </w:p>
        </w:tc>
        <w:tc>
          <w:tcPr>
            <w:tcW w:type="pct" w:w="583"/>
            <w:tcBorders>
              <w:top w:val="nil"/>
              <w:left w:val="nil"/>
              <w:bottom w:space="0" w:sz="4" w:color="auto"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911.358</w:t>
            </w:r>
          </w:p>
        </w:tc>
      </w:tr>
      <w:tr w:rsidTr="001E3364" w:rsidR="001E3364">
        <w:trPr>
          <w:trHeight w:val="20"/>
        </w:trPr>
        <w:tc>
          <w:tcPr>
            <w:tcW w:type="pct" w:w="2608"/>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b/>
                <w:bCs/>
                <w:sz w:val="16"/>
                <w:szCs w:val="16"/>
                <w:lang w:eastAsia="hr-HR"/>
              </w:rPr>
            </w:pPr>
            <w:r>
              <w:rPr>
                <w:rFonts w:cs="Arial" w:eastAsia="Times New Roman" w:hAnsi="Arial" w:ascii="Arial"/>
                <w:b/>
                <w:bCs/>
                <w:sz w:val="16"/>
                <w:szCs w:val="16"/>
                <w:lang w:eastAsia="hr-HR"/>
              </w:rPr>
              <w:t>III. FINANCIJSKI PRIHODI</w:t>
            </w:r>
          </w:p>
        </w:tc>
        <w:tc>
          <w:tcPr>
            <w:tcW w:type="pct" w:w="612"/>
            <w:tcBorders>
              <w:top w:val="nil"/>
              <w:left w:space="0" w:sz="4" w:color="auto" w:val="single"/>
              <w:bottom w:space="0" w:sz="4" w:color="auto"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61.283</w:t>
            </w:r>
          </w:p>
        </w:tc>
        <w:tc>
          <w:tcPr>
            <w:tcW w:type="pct" w:w="612"/>
            <w:tcBorders>
              <w:top w:val="nil"/>
              <w:left w:val="nil"/>
              <w:bottom w:space="0" w:sz="4" w:color="auto"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1.371.823</w:t>
            </w:r>
          </w:p>
        </w:tc>
        <w:tc>
          <w:tcPr>
            <w:tcW w:type="pct" w:w="586"/>
            <w:tcBorders>
              <w:top w:val="nil"/>
              <w:left w:val="nil"/>
              <w:bottom w:space="0" w:sz="4" w:color="auto"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267.566</w:t>
            </w:r>
          </w:p>
        </w:tc>
        <w:tc>
          <w:tcPr>
            <w:tcW w:type="pct" w:w="583"/>
            <w:tcBorders>
              <w:top w:val="nil"/>
              <w:left w:val="nil"/>
              <w:bottom w:space="0" w:sz="4" w:color="auto"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42.186</w:t>
            </w:r>
          </w:p>
        </w:tc>
      </w:tr>
      <w:tr w:rsidTr="001E3364" w:rsidR="001E3364">
        <w:trPr>
          <w:trHeight w:val="20"/>
        </w:trPr>
        <w:tc>
          <w:tcPr>
            <w:tcW w:type="pct" w:w="2608"/>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1. Prihodi od ulaganja u udjele (dionice) poduzetnika unutar grupe</w:t>
            </w:r>
          </w:p>
        </w:tc>
        <w:tc>
          <w:tcPr>
            <w:tcW w:type="pct" w:w="612"/>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612"/>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86"/>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83"/>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1E3364" w:rsidR="001E3364">
        <w:trPr>
          <w:trHeight w:val="20"/>
        </w:trPr>
        <w:tc>
          <w:tcPr>
            <w:tcW w:type="pct" w:w="2608"/>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2. Prihodi od ulaganja u udjele (dionice) društava povezanih</w:t>
            </w:r>
            <w:r>
              <w:rPr>
                <w:rFonts w:cs="Arial" w:eastAsia="Times New Roman" w:hAnsi="Arial" w:ascii="Arial"/>
                <w:sz w:val="16"/>
                <w:szCs w:val="16"/>
                <w:lang w:eastAsia="hr-HR"/>
              </w:rPr>
              <w:br/>
              <w:t xml:space="preserve">         sudjelujućim interesima</w:t>
            </w:r>
          </w:p>
        </w:tc>
        <w:tc>
          <w:tcPr>
            <w:tcW w:type="pct" w:w="612"/>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612"/>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86"/>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83"/>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1E3364" w:rsidR="001E3364">
        <w:trPr>
          <w:trHeight w:val="20"/>
        </w:trPr>
        <w:tc>
          <w:tcPr>
            <w:tcW w:type="pct" w:w="2608"/>
            <w:tcBorders>
              <w:top w:val="nil"/>
              <w:left w:space="0" w:sz="4" w:color="auto" w:val="single"/>
              <w:bottom w:space="0" w:sz="4" w:color="auto" w:val="single"/>
              <w:right w:val="nil"/>
            </w:tcBorders>
            <w:vAlign w:val="center"/>
            <w:hideMark/>
          </w:tcPr>
          <w:p w:rsidRDefault="001E3364" w:rsidR="001E3364">
            <w:pPr>
              <w:spacing w:lineRule="auto" w:line="240" w:after="0"/>
              <w:ind w:hanging="22" w:left="22"/>
              <w:rPr>
                <w:rFonts w:cs="Arial" w:eastAsia="Times New Roman" w:hAnsi="Arial" w:ascii="Arial"/>
                <w:sz w:val="16"/>
                <w:szCs w:val="16"/>
                <w:lang w:eastAsia="hr-HR"/>
              </w:rPr>
            </w:pPr>
            <w:r>
              <w:rPr>
                <w:rFonts w:cs="Arial" w:eastAsia="Times New Roman" w:hAnsi="Arial" w:ascii="Arial"/>
                <w:sz w:val="16"/>
                <w:szCs w:val="16"/>
                <w:lang w:eastAsia="hr-HR"/>
              </w:rPr>
              <w:t xml:space="preserve">     3. Prihodi od ostalih dugotrajnih financijskih ulaganja i zajmova</w:t>
            </w:r>
            <w:r>
              <w:rPr>
                <w:rFonts w:cs="Arial" w:eastAsia="Times New Roman" w:hAnsi="Arial" w:ascii="Arial"/>
                <w:sz w:val="16"/>
                <w:szCs w:val="16"/>
                <w:lang w:eastAsia="hr-HR"/>
              </w:rPr>
              <w:br/>
              <w:t xml:space="preserve">         poduzetnicima unutar grupe</w:t>
            </w:r>
          </w:p>
        </w:tc>
        <w:tc>
          <w:tcPr>
            <w:tcW w:type="pct" w:w="612"/>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612"/>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86"/>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83"/>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1E3364" w:rsidR="001E3364">
        <w:trPr>
          <w:trHeight w:val="20"/>
        </w:trPr>
        <w:tc>
          <w:tcPr>
            <w:tcW w:type="pct" w:w="2608"/>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4. Ostali prihodi s osnove kamata iz odnosa s poduzetnicima unutar grupe</w:t>
            </w:r>
          </w:p>
        </w:tc>
        <w:tc>
          <w:tcPr>
            <w:tcW w:type="pct" w:w="612"/>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612"/>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86"/>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83"/>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1E3364" w:rsidR="001E3364">
        <w:trPr>
          <w:trHeight w:val="20"/>
        </w:trPr>
        <w:tc>
          <w:tcPr>
            <w:tcW w:type="pct" w:w="2608"/>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5. Tečajne razlike i ostali financijski prihodi iz odnosa s</w:t>
            </w:r>
            <w:r>
              <w:rPr>
                <w:rFonts w:cs="Arial" w:eastAsia="Times New Roman" w:hAnsi="Arial" w:ascii="Arial"/>
                <w:sz w:val="16"/>
                <w:szCs w:val="16"/>
                <w:lang w:eastAsia="hr-HR"/>
              </w:rPr>
              <w:br/>
              <w:t xml:space="preserve">         poduzetnicima unutar grupe</w:t>
            </w:r>
          </w:p>
        </w:tc>
        <w:tc>
          <w:tcPr>
            <w:tcW w:type="pct" w:w="612"/>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612"/>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86"/>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83"/>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1E3364" w:rsidR="001E3364">
        <w:trPr>
          <w:trHeight w:val="20"/>
        </w:trPr>
        <w:tc>
          <w:tcPr>
            <w:tcW w:type="pct" w:w="2608"/>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6. Prihodi od ostalih dugotrajnih financijskih ulaganja i zajmova</w:t>
            </w:r>
          </w:p>
        </w:tc>
        <w:tc>
          <w:tcPr>
            <w:tcW w:type="pct" w:w="612"/>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612"/>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86"/>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83"/>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1E3364" w:rsidR="001E3364">
        <w:trPr>
          <w:trHeight w:val="20"/>
        </w:trPr>
        <w:tc>
          <w:tcPr>
            <w:tcW w:type="pct" w:w="2608"/>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7. Ostali prihodi s osnove kamata</w:t>
            </w:r>
          </w:p>
        </w:tc>
        <w:tc>
          <w:tcPr>
            <w:tcW w:type="pct" w:w="612"/>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4.928</w:t>
            </w:r>
          </w:p>
        </w:tc>
        <w:tc>
          <w:tcPr>
            <w:tcW w:type="pct" w:w="612"/>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1.154.108</w:t>
            </w:r>
          </w:p>
        </w:tc>
        <w:tc>
          <w:tcPr>
            <w:tcW w:type="pct" w:w="586"/>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267.340</w:t>
            </w:r>
          </w:p>
        </w:tc>
        <w:tc>
          <w:tcPr>
            <w:tcW w:type="pct" w:w="583"/>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14.011</w:t>
            </w:r>
          </w:p>
        </w:tc>
      </w:tr>
      <w:tr w:rsidTr="001E3364" w:rsidR="001E3364">
        <w:trPr>
          <w:trHeight w:val="20"/>
        </w:trPr>
        <w:tc>
          <w:tcPr>
            <w:tcW w:type="pct" w:w="2608"/>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8. Tečajne razlike i ostali financijski prihodi</w:t>
            </w:r>
          </w:p>
        </w:tc>
        <w:tc>
          <w:tcPr>
            <w:tcW w:type="pct" w:w="612"/>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56.355</w:t>
            </w:r>
          </w:p>
        </w:tc>
        <w:tc>
          <w:tcPr>
            <w:tcW w:type="pct" w:w="612"/>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217.715</w:t>
            </w:r>
          </w:p>
        </w:tc>
        <w:tc>
          <w:tcPr>
            <w:tcW w:type="pct" w:w="586"/>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226</w:t>
            </w:r>
          </w:p>
        </w:tc>
        <w:tc>
          <w:tcPr>
            <w:tcW w:type="pct" w:w="583"/>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28.175</w:t>
            </w:r>
          </w:p>
        </w:tc>
      </w:tr>
      <w:tr w:rsidTr="001E3364" w:rsidR="001E3364">
        <w:trPr>
          <w:trHeight w:val="20"/>
        </w:trPr>
        <w:tc>
          <w:tcPr>
            <w:tcW w:type="pct" w:w="2608"/>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9. Nerealizirani dobici (prihodi) od financijske imovine</w:t>
            </w:r>
          </w:p>
        </w:tc>
        <w:tc>
          <w:tcPr>
            <w:tcW w:type="pct" w:w="612"/>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612"/>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86"/>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83"/>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0</w:t>
            </w:r>
          </w:p>
        </w:tc>
      </w:tr>
      <w:tr w:rsidTr="001E3364" w:rsidR="001E3364">
        <w:trPr>
          <w:trHeight w:val="20"/>
        </w:trPr>
        <w:tc>
          <w:tcPr>
            <w:tcW w:type="pct" w:w="2608"/>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10. Ostali financijski prihodi</w:t>
            </w:r>
          </w:p>
        </w:tc>
        <w:tc>
          <w:tcPr>
            <w:tcW w:type="pct" w:w="612"/>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612"/>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86"/>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83"/>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0</w:t>
            </w:r>
          </w:p>
        </w:tc>
      </w:tr>
      <w:tr w:rsidTr="001E3364" w:rsidR="001E3364">
        <w:trPr>
          <w:trHeight w:val="20"/>
        </w:trPr>
        <w:tc>
          <w:tcPr>
            <w:tcW w:type="pct" w:w="2608"/>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b/>
                <w:bCs/>
                <w:sz w:val="16"/>
                <w:szCs w:val="16"/>
                <w:lang w:eastAsia="hr-HR"/>
              </w:rPr>
            </w:pPr>
            <w:r>
              <w:rPr>
                <w:rFonts w:cs="Arial" w:eastAsia="Times New Roman" w:hAnsi="Arial" w:ascii="Arial"/>
                <w:b/>
                <w:bCs/>
                <w:sz w:val="16"/>
                <w:szCs w:val="16"/>
                <w:lang w:eastAsia="hr-HR"/>
              </w:rPr>
              <w:t>IV. FINANCIJSKI RASHODI</w:t>
            </w:r>
          </w:p>
        </w:tc>
        <w:tc>
          <w:tcPr>
            <w:tcW w:type="pct" w:w="612"/>
            <w:tcBorders>
              <w:top w:val="nil"/>
              <w:left w:space="0" w:sz="4" w:color="auto" w:val="single"/>
              <w:bottom w:space="0" w:sz="4" w:color="auto"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3.780.798</w:t>
            </w:r>
          </w:p>
        </w:tc>
        <w:tc>
          <w:tcPr>
            <w:tcW w:type="pct" w:w="612"/>
            <w:tcBorders>
              <w:top w:val="nil"/>
              <w:left w:val="nil"/>
              <w:bottom w:space="0" w:sz="4" w:color="auto"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4.253.625</w:t>
            </w:r>
          </w:p>
        </w:tc>
        <w:tc>
          <w:tcPr>
            <w:tcW w:type="pct" w:w="586"/>
            <w:tcBorders>
              <w:top w:val="nil"/>
              <w:left w:val="nil"/>
              <w:bottom w:space="0" w:sz="4" w:color="auto"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4.656.768</w:t>
            </w:r>
          </w:p>
        </w:tc>
        <w:tc>
          <w:tcPr>
            <w:tcW w:type="pct" w:w="583"/>
            <w:tcBorders>
              <w:top w:val="nil"/>
              <w:left w:val="nil"/>
              <w:bottom w:space="0" w:sz="4" w:color="auto" w:val="single"/>
              <w:right w:space="0" w:sz="4" w:color="auto"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2.721.376</w:t>
            </w:r>
          </w:p>
        </w:tc>
      </w:tr>
      <w:tr w:rsidTr="001E3364" w:rsidR="001E3364">
        <w:trPr>
          <w:trHeight w:val="20"/>
        </w:trPr>
        <w:tc>
          <w:tcPr>
            <w:tcW w:type="pct" w:w="2608"/>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1. Rashodi s osnove kamata i slični rashodi s poduzetnicima unutar grupe</w:t>
            </w:r>
          </w:p>
        </w:tc>
        <w:tc>
          <w:tcPr>
            <w:tcW w:type="pct" w:w="612"/>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612"/>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86"/>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83"/>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0</w:t>
            </w:r>
          </w:p>
        </w:tc>
      </w:tr>
      <w:tr w:rsidTr="001E3364" w:rsidR="001E3364">
        <w:trPr>
          <w:trHeight w:val="20"/>
        </w:trPr>
        <w:tc>
          <w:tcPr>
            <w:tcW w:type="pct" w:w="2608"/>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2. Tečajne razlike i drugi rashodi s poduzetnicima unutar grupe</w:t>
            </w:r>
          </w:p>
        </w:tc>
        <w:tc>
          <w:tcPr>
            <w:tcW w:type="pct" w:w="612"/>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612"/>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86"/>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83"/>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0</w:t>
            </w:r>
          </w:p>
        </w:tc>
      </w:tr>
      <w:tr w:rsidTr="001E3364" w:rsidR="001E3364">
        <w:trPr>
          <w:trHeight w:val="20"/>
        </w:trPr>
        <w:tc>
          <w:tcPr>
            <w:tcW w:type="pct" w:w="2608"/>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3. Rashodi s osnove kamata i slični rashodi</w:t>
            </w:r>
          </w:p>
        </w:tc>
        <w:tc>
          <w:tcPr>
            <w:tcW w:type="pct" w:w="612"/>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2.113.468</w:t>
            </w:r>
          </w:p>
        </w:tc>
        <w:tc>
          <w:tcPr>
            <w:tcW w:type="pct" w:w="612"/>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3.069.712</w:t>
            </w:r>
          </w:p>
        </w:tc>
        <w:tc>
          <w:tcPr>
            <w:tcW w:type="pct" w:w="586"/>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3.923.613</w:t>
            </w:r>
          </w:p>
        </w:tc>
        <w:tc>
          <w:tcPr>
            <w:tcW w:type="pct" w:w="583"/>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2.664.594</w:t>
            </w:r>
          </w:p>
        </w:tc>
      </w:tr>
      <w:tr w:rsidTr="001E3364" w:rsidR="001E3364">
        <w:trPr>
          <w:trHeight w:val="20"/>
        </w:trPr>
        <w:tc>
          <w:tcPr>
            <w:tcW w:type="pct" w:w="2608"/>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4. Tečajne razlike i drugi rashodi</w:t>
            </w:r>
          </w:p>
        </w:tc>
        <w:tc>
          <w:tcPr>
            <w:tcW w:type="pct" w:w="612"/>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208.468</w:t>
            </w:r>
          </w:p>
        </w:tc>
        <w:tc>
          <w:tcPr>
            <w:tcW w:type="pct" w:w="612"/>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225.713</w:t>
            </w:r>
          </w:p>
        </w:tc>
        <w:tc>
          <w:tcPr>
            <w:tcW w:type="pct" w:w="586"/>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516.862</w:t>
            </w:r>
          </w:p>
        </w:tc>
        <w:tc>
          <w:tcPr>
            <w:tcW w:type="pct" w:w="583"/>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20.408</w:t>
            </w:r>
          </w:p>
        </w:tc>
      </w:tr>
      <w:tr w:rsidTr="001E3364" w:rsidR="001E3364">
        <w:trPr>
          <w:trHeight w:val="20"/>
        </w:trPr>
        <w:tc>
          <w:tcPr>
            <w:tcW w:type="pct" w:w="2608"/>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5. Nerealizirani gubici (rashodi) od financijske imovine</w:t>
            </w:r>
          </w:p>
        </w:tc>
        <w:tc>
          <w:tcPr>
            <w:tcW w:type="pct" w:w="612"/>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612"/>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86"/>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83"/>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0</w:t>
            </w:r>
          </w:p>
        </w:tc>
      </w:tr>
      <w:tr w:rsidTr="001E3364" w:rsidR="001E3364">
        <w:trPr>
          <w:trHeight w:val="20"/>
        </w:trPr>
        <w:tc>
          <w:tcPr>
            <w:tcW w:type="pct" w:w="2608"/>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6. Vrijednosna usklađenja financijske imovine (neto)</w:t>
            </w:r>
          </w:p>
        </w:tc>
        <w:tc>
          <w:tcPr>
            <w:tcW w:type="pct" w:w="612"/>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612"/>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86"/>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83"/>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0</w:t>
            </w:r>
          </w:p>
        </w:tc>
      </w:tr>
      <w:tr w:rsidTr="001E3364" w:rsidR="001E3364">
        <w:trPr>
          <w:trHeight w:val="20"/>
        </w:trPr>
        <w:tc>
          <w:tcPr>
            <w:tcW w:type="pct" w:w="2608"/>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7. Ostali financijski rashodi</w:t>
            </w:r>
          </w:p>
        </w:tc>
        <w:tc>
          <w:tcPr>
            <w:tcW w:type="pct" w:w="612"/>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1.458.862</w:t>
            </w:r>
          </w:p>
        </w:tc>
        <w:tc>
          <w:tcPr>
            <w:tcW w:type="pct" w:w="612"/>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958.200</w:t>
            </w:r>
          </w:p>
        </w:tc>
        <w:tc>
          <w:tcPr>
            <w:tcW w:type="pct" w:w="586"/>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216.293</w:t>
            </w:r>
          </w:p>
        </w:tc>
        <w:tc>
          <w:tcPr>
            <w:tcW w:type="pct" w:w="583"/>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36.374</w:t>
            </w:r>
          </w:p>
        </w:tc>
      </w:tr>
      <w:tr w:rsidTr="001E3364" w:rsidR="001E3364">
        <w:trPr>
          <w:trHeight w:val="20"/>
        </w:trPr>
        <w:tc>
          <w:tcPr>
            <w:tcW w:type="pct" w:w="2608"/>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b/>
                <w:bCs/>
                <w:sz w:val="16"/>
                <w:szCs w:val="16"/>
                <w:lang w:eastAsia="hr-HR"/>
              </w:rPr>
            </w:pPr>
            <w:r>
              <w:rPr>
                <w:rFonts w:cs="Arial" w:eastAsia="Times New Roman" w:hAnsi="Arial" w:ascii="Arial"/>
                <w:b/>
                <w:bCs/>
                <w:sz w:val="16"/>
                <w:szCs w:val="16"/>
                <w:lang w:eastAsia="hr-HR"/>
              </w:rPr>
              <w:t>V.    UDIO U DOBITI OD DRUŠTAVA POVEZANIH SUDJELUJUĆIM INTERESOM</w:t>
            </w:r>
          </w:p>
        </w:tc>
        <w:tc>
          <w:tcPr>
            <w:tcW w:type="pct" w:w="612"/>
            <w:tcBorders>
              <w:top w:val="nil"/>
              <w:left w:space="0" w:sz="4" w:color="000000" w:val="single"/>
              <w:bottom w:space="0" w:sz="4" w:color="000000" w:val="single"/>
              <w:right w:space="0" w:sz="4" w:color="000000" w:val="single"/>
            </w:tcBorders>
            <w:shd w:fill="auto" w:color="C0C0C0" w:val="pct25"/>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612"/>
            <w:tcBorders>
              <w:top w:val="nil"/>
              <w:left w:val="nil"/>
              <w:bottom w:space="0" w:sz="4" w:color="000000" w:val="single"/>
              <w:right w:space="0" w:sz="4" w:color="000000" w:val="single"/>
            </w:tcBorders>
            <w:shd w:fill="auto" w:color="C0C0C0" w:val="pct25"/>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86"/>
            <w:tcBorders>
              <w:top w:val="nil"/>
              <w:left w:val="nil"/>
              <w:bottom w:space="0" w:sz="4" w:color="000000" w:val="single"/>
              <w:right w:space="0" w:sz="4" w:color="000000" w:val="single"/>
            </w:tcBorders>
            <w:shd w:fill="auto" w:color="C0C0C0" w:val="pct25"/>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83"/>
            <w:tcBorders>
              <w:top w:val="nil"/>
              <w:left w:val="nil"/>
              <w:bottom w:space="0" w:sz="4" w:color="000000" w:val="single"/>
              <w:right w:space="0" w:sz="4" w:color="000000" w:val="single"/>
            </w:tcBorders>
            <w:shd w:fill="auto" w:color="C0C0C0" w:val="pct25"/>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1E3364" w:rsidR="001E3364">
        <w:trPr>
          <w:trHeight w:val="20"/>
        </w:trPr>
        <w:tc>
          <w:tcPr>
            <w:tcW w:type="pct" w:w="2608"/>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b/>
                <w:bCs/>
                <w:sz w:val="16"/>
                <w:szCs w:val="16"/>
                <w:lang w:eastAsia="hr-HR"/>
              </w:rPr>
            </w:pPr>
            <w:r>
              <w:rPr>
                <w:rFonts w:cs="Arial" w:eastAsia="Times New Roman" w:hAnsi="Arial" w:ascii="Arial"/>
                <w:b/>
                <w:bCs/>
                <w:sz w:val="16"/>
                <w:szCs w:val="16"/>
                <w:lang w:eastAsia="hr-HR"/>
              </w:rPr>
              <w:t>VI.   UDIO U DOBITI OD  ZAJEDNIČKIH POTHVATA</w:t>
            </w:r>
          </w:p>
        </w:tc>
        <w:tc>
          <w:tcPr>
            <w:tcW w:type="pct" w:w="612"/>
            <w:tcBorders>
              <w:top w:val="nil"/>
              <w:left w:space="0" w:sz="4" w:color="000000" w:val="single"/>
              <w:bottom w:space="0" w:sz="4" w:color="000000" w:val="single"/>
              <w:right w:space="0" w:sz="4" w:color="000000" w:val="single"/>
            </w:tcBorders>
            <w:shd w:fill="auto" w:color="C0C0C0" w:val="pct25"/>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612"/>
            <w:tcBorders>
              <w:top w:val="nil"/>
              <w:left w:val="nil"/>
              <w:bottom w:space="0" w:sz="4" w:color="000000" w:val="single"/>
              <w:right w:space="0" w:sz="4" w:color="000000" w:val="single"/>
            </w:tcBorders>
            <w:shd w:fill="auto" w:color="C0C0C0" w:val="pct25"/>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86"/>
            <w:tcBorders>
              <w:top w:val="nil"/>
              <w:left w:val="nil"/>
              <w:bottom w:space="0" w:sz="4" w:color="000000" w:val="single"/>
              <w:right w:space="0" w:sz="4" w:color="000000" w:val="single"/>
            </w:tcBorders>
            <w:shd w:fill="auto" w:color="C0C0C0" w:val="pct25"/>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83"/>
            <w:tcBorders>
              <w:top w:val="nil"/>
              <w:left w:val="nil"/>
              <w:bottom w:space="0" w:sz="4" w:color="000000" w:val="single"/>
              <w:right w:space="0" w:sz="4" w:color="000000" w:val="single"/>
            </w:tcBorders>
            <w:shd w:fill="auto" w:color="C0C0C0" w:val="pct25"/>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1E3364" w:rsidR="001E3364">
        <w:trPr>
          <w:trHeight w:val="20"/>
        </w:trPr>
        <w:tc>
          <w:tcPr>
            <w:tcW w:type="pct" w:w="2608"/>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b/>
                <w:bCs/>
                <w:sz w:val="16"/>
                <w:szCs w:val="16"/>
                <w:lang w:eastAsia="hr-HR"/>
              </w:rPr>
            </w:pPr>
            <w:r>
              <w:rPr>
                <w:rFonts w:cs="Arial" w:eastAsia="Times New Roman" w:hAnsi="Arial" w:ascii="Arial"/>
                <w:b/>
                <w:bCs/>
                <w:sz w:val="16"/>
                <w:szCs w:val="16"/>
                <w:lang w:eastAsia="hr-HR"/>
              </w:rPr>
              <w:t>VII.  UDIO U GUBITKU OD DRUŠTAVA POVEZANIH SUDJELUJUĆIM INTERESOM</w:t>
            </w:r>
          </w:p>
        </w:tc>
        <w:tc>
          <w:tcPr>
            <w:tcW w:type="pct" w:w="612"/>
            <w:tcBorders>
              <w:top w:val="nil"/>
              <w:left w:space="0" w:sz="4" w:color="000000" w:val="single"/>
              <w:bottom w:space="0" w:sz="4" w:color="000000" w:val="single"/>
              <w:right w:space="0" w:sz="4" w:color="000000" w:val="single"/>
            </w:tcBorders>
            <w:shd w:fill="auto" w:color="C0C0C0" w:val="pct25"/>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612"/>
            <w:tcBorders>
              <w:top w:val="nil"/>
              <w:left w:val="nil"/>
              <w:bottom w:space="0" w:sz="4" w:color="000000" w:val="single"/>
              <w:right w:space="0" w:sz="4" w:color="000000" w:val="single"/>
            </w:tcBorders>
            <w:shd w:fill="auto" w:color="C0C0C0" w:val="pct25"/>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86"/>
            <w:tcBorders>
              <w:top w:val="nil"/>
              <w:left w:val="nil"/>
              <w:bottom w:space="0" w:sz="4" w:color="000000" w:val="single"/>
              <w:right w:space="0" w:sz="4" w:color="000000" w:val="single"/>
            </w:tcBorders>
            <w:shd w:fill="auto" w:color="C0C0C0" w:val="pct25"/>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83"/>
            <w:tcBorders>
              <w:top w:val="nil"/>
              <w:left w:val="nil"/>
              <w:bottom w:space="0" w:sz="4" w:color="000000" w:val="single"/>
              <w:right w:space="0" w:sz="4" w:color="000000" w:val="single"/>
            </w:tcBorders>
            <w:shd w:fill="auto" w:color="C0C0C0" w:val="pct25"/>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1E3364" w:rsidR="001E3364">
        <w:trPr>
          <w:trHeight w:val="20"/>
        </w:trPr>
        <w:tc>
          <w:tcPr>
            <w:tcW w:type="pct" w:w="2608"/>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b/>
                <w:bCs/>
                <w:sz w:val="16"/>
                <w:szCs w:val="16"/>
                <w:lang w:eastAsia="hr-HR"/>
              </w:rPr>
            </w:pPr>
            <w:r>
              <w:rPr>
                <w:rFonts w:cs="Arial" w:eastAsia="Times New Roman" w:hAnsi="Arial" w:ascii="Arial"/>
                <w:b/>
                <w:bCs/>
                <w:sz w:val="16"/>
                <w:szCs w:val="16"/>
                <w:lang w:eastAsia="hr-HR"/>
              </w:rPr>
              <w:t>VIII. UDIO U GUBITKU OD ZAJEDNIČKIH POTHVATA</w:t>
            </w:r>
          </w:p>
        </w:tc>
        <w:tc>
          <w:tcPr>
            <w:tcW w:type="pct" w:w="612"/>
            <w:tcBorders>
              <w:top w:val="nil"/>
              <w:left w:space="0" w:sz="4" w:color="000000" w:val="single"/>
              <w:bottom w:space="0" w:sz="4" w:color="000000" w:val="single"/>
              <w:right w:space="0" w:sz="4" w:color="000000" w:val="single"/>
            </w:tcBorders>
            <w:shd w:fill="auto" w:color="C0C0C0" w:val="pct25"/>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612"/>
            <w:tcBorders>
              <w:top w:val="nil"/>
              <w:left w:val="nil"/>
              <w:bottom w:space="0" w:sz="4" w:color="000000" w:val="single"/>
              <w:right w:space="0" w:sz="4" w:color="000000" w:val="single"/>
            </w:tcBorders>
            <w:shd w:fill="auto" w:color="C0C0C0" w:val="pct25"/>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86"/>
            <w:tcBorders>
              <w:top w:val="nil"/>
              <w:left w:val="nil"/>
              <w:bottom w:space="0" w:sz="4" w:color="000000" w:val="single"/>
              <w:right w:space="0" w:sz="4" w:color="000000" w:val="single"/>
            </w:tcBorders>
            <w:shd w:fill="auto" w:color="C0C0C0" w:val="pct25"/>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83"/>
            <w:tcBorders>
              <w:top w:val="nil"/>
              <w:left w:val="nil"/>
              <w:bottom w:space="0" w:sz="4" w:color="000000" w:val="single"/>
              <w:right w:space="0" w:sz="4" w:color="000000" w:val="single"/>
            </w:tcBorders>
            <w:shd w:fill="auto" w:color="C0C0C0" w:val="pct25"/>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1E3364" w:rsidR="001E3364">
        <w:trPr>
          <w:trHeight w:val="20"/>
        </w:trPr>
        <w:tc>
          <w:tcPr>
            <w:tcW w:type="pct" w:w="2608"/>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b/>
                <w:bCs/>
                <w:sz w:val="16"/>
                <w:szCs w:val="16"/>
                <w:lang w:eastAsia="hr-HR"/>
              </w:rPr>
            </w:pPr>
            <w:r>
              <w:rPr>
                <w:rFonts w:cs="Arial" w:eastAsia="Times New Roman" w:hAnsi="Arial" w:ascii="Arial"/>
                <w:b/>
                <w:bCs/>
                <w:sz w:val="16"/>
                <w:szCs w:val="16"/>
                <w:lang w:eastAsia="hr-HR"/>
              </w:rPr>
              <w:t>IX.   UKUPNI PRIHODI</w:t>
            </w:r>
          </w:p>
        </w:tc>
        <w:tc>
          <w:tcPr>
            <w:tcW w:type="pct" w:w="612"/>
            <w:tcBorders>
              <w:top w:val="nil"/>
              <w:left w:space="0" w:sz="4" w:color="000000" w:val="single"/>
              <w:bottom w:space="0" w:sz="4" w:color="000000" w:val="single"/>
              <w:right w:space="0" w:sz="4" w:color="000000"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97.398.604</w:t>
            </w:r>
          </w:p>
        </w:tc>
        <w:tc>
          <w:tcPr>
            <w:tcW w:type="pct" w:w="612"/>
            <w:tcBorders>
              <w:top w:val="nil"/>
              <w:left w:val="nil"/>
              <w:bottom w:space="0" w:sz="4" w:color="000000" w:val="single"/>
              <w:right w:space="0" w:sz="4" w:color="000000"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70.237.025</w:t>
            </w:r>
          </w:p>
        </w:tc>
        <w:tc>
          <w:tcPr>
            <w:tcW w:type="pct" w:w="586"/>
            <w:tcBorders>
              <w:top w:val="nil"/>
              <w:left w:val="nil"/>
              <w:bottom w:space="0" w:sz="4" w:color="000000" w:val="single"/>
              <w:right w:space="0" w:sz="4" w:color="000000"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53.673.739</w:t>
            </w:r>
          </w:p>
        </w:tc>
        <w:tc>
          <w:tcPr>
            <w:tcW w:type="pct" w:w="583"/>
            <w:tcBorders>
              <w:top w:val="nil"/>
              <w:left w:val="nil"/>
              <w:bottom w:space="0" w:sz="4" w:color="000000" w:val="single"/>
              <w:right w:space="0" w:sz="4" w:color="000000"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17.148.439</w:t>
            </w:r>
          </w:p>
        </w:tc>
      </w:tr>
      <w:tr w:rsidTr="001E3364" w:rsidR="001E3364">
        <w:trPr>
          <w:trHeight w:val="20"/>
        </w:trPr>
        <w:tc>
          <w:tcPr>
            <w:tcW w:type="pct" w:w="2608"/>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b/>
                <w:bCs/>
                <w:sz w:val="16"/>
                <w:szCs w:val="16"/>
                <w:lang w:eastAsia="hr-HR"/>
              </w:rPr>
            </w:pPr>
            <w:r>
              <w:rPr>
                <w:rFonts w:cs="Arial" w:eastAsia="Times New Roman" w:hAnsi="Arial" w:ascii="Arial"/>
                <w:b/>
                <w:bCs/>
                <w:sz w:val="16"/>
                <w:szCs w:val="16"/>
                <w:lang w:eastAsia="hr-HR"/>
              </w:rPr>
              <w:t>X.    UKUPNI RASHODI</w:t>
            </w:r>
          </w:p>
        </w:tc>
        <w:tc>
          <w:tcPr>
            <w:tcW w:type="pct" w:w="612"/>
            <w:tcBorders>
              <w:top w:val="nil"/>
              <w:left w:space="0" w:sz="4" w:color="000000" w:val="single"/>
              <w:bottom w:space="0" w:sz="4" w:color="000000" w:val="single"/>
              <w:right w:space="0" w:sz="4" w:color="000000"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92.179.397</w:t>
            </w:r>
          </w:p>
        </w:tc>
        <w:tc>
          <w:tcPr>
            <w:tcW w:type="pct" w:w="612"/>
            <w:tcBorders>
              <w:top w:val="nil"/>
              <w:left w:val="nil"/>
              <w:bottom w:space="0" w:sz="4" w:color="000000" w:val="single"/>
              <w:right w:space="0" w:sz="4" w:color="000000"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70.603.907</w:t>
            </w:r>
          </w:p>
        </w:tc>
        <w:tc>
          <w:tcPr>
            <w:tcW w:type="pct" w:w="586"/>
            <w:tcBorders>
              <w:top w:val="nil"/>
              <w:left w:val="nil"/>
              <w:bottom w:space="0" w:sz="4" w:color="000000" w:val="single"/>
              <w:right w:space="0" w:sz="4" w:color="000000"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64.863.519</w:t>
            </w:r>
          </w:p>
        </w:tc>
        <w:tc>
          <w:tcPr>
            <w:tcW w:type="pct" w:w="583"/>
            <w:tcBorders>
              <w:top w:val="nil"/>
              <w:left w:val="nil"/>
              <w:bottom w:space="0" w:sz="4" w:color="000000" w:val="single"/>
              <w:right w:space="0" w:sz="4" w:color="000000"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21.650.372</w:t>
            </w:r>
          </w:p>
        </w:tc>
      </w:tr>
      <w:tr w:rsidTr="001E3364" w:rsidR="001E3364">
        <w:trPr>
          <w:trHeight w:val="20"/>
        </w:trPr>
        <w:tc>
          <w:tcPr>
            <w:tcW w:type="pct" w:w="2608"/>
            <w:tcBorders>
              <w:top w:val="nil"/>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b/>
                <w:bCs/>
                <w:sz w:val="16"/>
                <w:szCs w:val="16"/>
                <w:lang w:eastAsia="hr-HR"/>
              </w:rPr>
            </w:pPr>
            <w:r>
              <w:rPr>
                <w:rFonts w:cs="Arial" w:eastAsia="Times New Roman" w:hAnsi="Arial" w:ascii="Arial"/>
                <w:b/>
                <w:bCs/>
                <w:sz w:val="16"/>
                <w:szCs w:val="16"/>
                <w:lang w:eastAsia="hr-HR"/>
              </w:rPr>
              <w:t>XI.   DOBIT ILI GUBITAK PRIJE OPOREZIVANJA</w:t>
            </w:r>
          </w:p>
        </w:tc>
        <w:tc>
          <w:tcPr>
            <w:tcW w:type="pct" w:w="612"/>
            <w:tcBorders>
              <w:top w:val="nil"/>
              <w:left w:space="0" w:sz="4" w:color="000000" w:val="single"/>
              <w:bottom w:space="0" w:sz="4" w:color="000000" w:val="single"/>
              <w:right w:space="0" w:sz="4" w:color="000000"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5.219.207</w:t>
            </w:r>
          </w:p>
        </w:tc>
        <w:tc>
          <w:tcPr>
            <w:tcW w:type="pct" w:w="612"/>
            <w:tcBorders>
              <w:top w:val="nil"/>
              <w:left w:val="nil"/>
              <w:bottom w:space="0" w:sz="4" w:color="000000" w:val="single"/>
              <w:right w:space="0" w:sz="4" w:color="000000"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(366.882)</w:t>
            </w:r>
          </w:p>
        </w:tc>
        <w:tc>
          <w:tcPr>
            <w:tcW w:type="pct" w:w="586"/>
            <w:tcBorders>
              <w:top w:val="nil"/>
              <w:left w:val="nil"/>
              <w:bottom w:space="0" w:sz="4" w:color="000000" w:val="single"/>
              <w:right w:space="0" w:sz="4" w:color="000000"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(11.189.780)</w:t>
            </w:r>
          </w:p>
        </w:tc>
        <w:tc>
          <w:tcPr>
            <w:tcW w:type="pct" w:w="583"/>
            <w:tcBorders>
              <w:top w:val="nil"/>
              <w:left w:val="nil"/>
              <w:bottom w:space="0" w:sz="4" w:color="000000" w:val="single"/>
              <w:right w:space="0" w:sz="4" w:color="000000"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-4.501.933</w:t>
            </w:r>
          </w:p>
        </w:tc>
      </w:tr>
      <w:tr w:rsidTr="001E3364" w:rsidR="001E3364">
        <w:trPr>
          <w:trHeight w:val="20"/>
        </w:trPr>
        <w:tc>
          <w:tcPr>
            <w:tcW w:type="pct" w:w="2608"/>
            <w:tcBorders>
              <w:top w:space="0" w:sz="4" w:color="auto" w:val="single"/>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1. Dobit prije oporezivanja </w:t>
            </w:r>
          </w:p>
        </w:tc>
        <w:tc>
          <w:tcPr>
            <w:tcW w:type="pct" w:w="612"/>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5.219.207</w:t>
            </w:r>
          </w:p>
        </w:tc>
        <w:tc>
          <w:tcPr>
            <w:tcW w:type="pct" w:w="612"/>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86"/>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83"/>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1E3364" w:rsidR="001E3364">
        <w:trPr>
          <w:trHeight w:val="20"/>
        </w:trPr>
        <w:tc>
          <w:tcPr>
            <w:tcW w:type="pct" w:w="2608"/>
            <w:tcBorders>
              <w:top w:space="0" w:sz="4" w:color="auto" w:val="single"/>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2. Gubitak prije oporezivanja</w:t>
            </w:r>
          </w:p>
        </w:tc>
        <w:tc>
          <w:tcPr>
            <w:tcW w:type="pct" w:w="612"/>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612"/>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366.882</w:t>
            </w:r>
          </w:p>
        </w:tc>
        <w:tc>
          <w:tcPr>
            <w:tcW w:type="pct" w:w="586"/>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11.189.780</w:t>
            </w:r>
          </w:p>
        </w:tc>
        <w:tc>
          <w:tcPr>
            <w:tcW w:type="pct" w:w="583"/>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4.501.933</w:t>
            </w:r>
          </w:p>
        </w:tc>
      </w:tr>
      <w:tr w:rsidTr="001E3364" w:rsidR="001E3364">
        <w:trPr>
          <w:trHeight w:val="20"/>
        </w:trPr>
        <w:tc>
          <w:tcPr>
            <w:tcW w:type="pct" w:w="2608"/>
            <w:tcBorders>
              <w:top w:space="0" w:sz="4" w:color="auto" w:val="single"/>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b/>
                <w:bCs/>
                <w:sz w:val="16"/>
                <w:szCs w:val="16"/>
                <w:lang w:eastAsia="hr-HR"/>
              </w:rPr>
            </w:pPr>
            <w:r>
              <w:rPr>
                <w:rFonts w:cs="Arial" w:eastAsia="Times New Roman" w:hAnsi="Arial" w:ascii="Arial"/>
                <w:b/>
                <w:bCs/>
                <w:sz w:val="16"/>
                <w:szCs w:val="16"/>
                <w:lang w:eastAsia="hr-HR"/>
              </w:rPr>
              <w:t>XII.  POREZ NA DOBIT</w:t>
            </w:r>
          </w:p>
        </w:tc>
        <w:tc>
          <w:tcPr>
            <w:tcW w:type="pct" w:w="612"/>
            <w:tcBorders>
              <w:top w:val="nil"/>
              <w:left w:space="0" w:sz="4" w:color="000000" w:val="single"/>
              <w:bottom w:space="0" w:sz="4" w:color="000000" w:val="single"/>
              <w:right w:space="0" w:sz="4" w:color="000000"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132.465</w:t>
            </w:r>
          </w:p>
        </w:tc>
        <w:tc>
          <w:tcPr>
            <w:tcW w:type="pct" w:w="612"/>
            <w:tcBorders>
              <w:top w:val="nil"/>
              <w:left w:val="nil"/>
              <w:bottom w:space="0" w:sz="4" w:color="000000" w:val="single"/>
              <w:right w:space="0" w:sz="4" w:color="000000"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(20.457)</w:t>
            </w:r>
          </w:p>
        </w:tc>
        <w:tc>
          <w:tcPr>
            <w:tcW w:type="pct" w:w="586"/>
            <w:tcBorders>
              <w:top w:val="nil"/>
              <w:left w:val="nil"/>
              <w:bottom w:space="0" w:sz="4" w:color="000000" w:val="single"/>
              <w:right w:space="0" w:sz="4" w:color="000000"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(518.853)</w:t>
            </w:r>
          </w:p>
        </w:tc>
        <w:tc>
          <w:tcPr>
            <w:tcW w:type="pct" w:w="583"/>
            <w:tcBorders>
              <w:top w:val="nil"/>
              <w:left w:val="nil"/>
              <w:bottom w:space="0" w:sz="4" w:color="000000" w:val="single"/>
              <w:right w:space="0" w:sz="4" w:color="000000"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-76.749</w:t>
            </w:r>
          </w:p>
        </w:tc>
      </w:tr>
      <w:tr w:rsidTr="001E3364" w:rsidR="001E3364">
        <w:trPr>
          <w:trHeight w:val="20"/>
        </w:trPr>
        <w:tc>
          <w:tcPr>
            <w:tcW w:type="pct" w:w="2608"/>
            <w:tcBorders>
              <w:top w:space="0" w:sz="4" w:color="auto" w:val="single"/>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b/>
                <w:bCs/>
                <w:sz w:val="16"/>
                <w:szCs w:val="16"/>
                <w:lang w:eastAsia="hr-HR"/>
              </w:rPr>
            </w:pPr>
            <w:r>
              <w:rPr>
                <w:rFonts w:cs="Arial" w:eastAsia="Times New Roman" w:hAnsi="Arial" w:ascii="Arial"/>
                <w:b/>
                <w:bCs/>
                <w:sz w:val="16"/>
                <w:szCs w:val="16"/>
                <w:lang w:eastAsia="hr-HR"/>
              </w:rPr>
              <w:t>XIII. DOBIT ILI GUBITAK RAZDOBLJA</w:t>
            </w:r>
          </w:p>
        </w:tc>
        <w:tc>
          <w:tcPr>
            <w:tcW w:type="pct" w:w="612"/>
            <w:tcBorders>
              <w:top w:val="nil"/>
              <w:left w:space="0" w:sz="4" w:color="000000" w:val="single"/>
              <w:bottom w:space="0" w:sz="4" w:color="000000" w:val="single"/>
              <w:right w:space="0" w:sz="4" w:color="000000"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5.086.742</w:t>
            </w:r>
          </w:p>
        </w:tc>
        <w:tc>
          <w:tcPr>
            <w:tcW w:type="pct" w:w="612"/>
            <w:tcBorders>
              <w:top w:val="nil"/>
              <w:left w:val="nil"/>
              <w:bottom w:space="0" w:sz="4" w:color="000000" w:val="single"/>
              <w:right w:space="0" w:sz="4" w:color="000000"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(346.425)</w:t>
            </w:r>
          </w:p>
        </w:tc>
        <w:tc>
          <w:tcPr>
            <w:tcW w:type="pct" w:w="586"/>
            <w:tcBorders>
              <w:top w:val="nil"/>
              <w:left w:val="nil"/>
              <w:bottom w:space="0" w:sz="4" w:color="000000" w:val="single"/>
              <w:right w:space="0" w:sz="4" w:color="000000"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(10.670.927)</w:t>
            </w:r>
          </w:p>
        </w:tc>
        <w:tc>
          <w:tcPr>
            <w:tcW w:type="pct" w:w="583"/>
            <w:tcBorders>
              <w:top w:val="nil"/>
              <w:left w:val="nil"/>
              <w:bottom w:space="0" w:sz="4" w:color="000000" w:val="single"/>
              <w:right w:space="0" w:sz="4" w:color="000000" w:val="single"/>
            </w:tcBorders>
            <w:shd w:fill="auto" w:color="C0C0C0" w:val="pct25"/>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-4.425.184</w:t>
            </w:r>
          </w:p>
        </w:tc>
      </w:tr>
      <w:tr w:rsidTr="001E3364" w:rsidR="001E3364">
        <w:trPr>
          <w:trHeight w:val="20"/>
        </w:trPr>
        <w:tc>
          <w:tcPr>
            <w:tcW w:type="pct" w:w="2608"/>
            <w:tcBorders>
              <w:top w:space="0" w:sz="4" w:color="auto" w:val="single"/>
              <w:left w:space="0" w:sz="4" w:color="auto" w:val="single"/>
              <w:bottom w:space="0" w:sz="4" w:color="auto" w:val="single"/>
              <w:right w:val="nil"/>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1. Dobit razdoblja</w:t>
            </w:r>
          </w:p>
        </w:tc>
        <w:tc>
          <w:tcPr>
            <w:tcW w:type="pct" w:w="612"/>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5.086.742</w:t>
            </w:r>
          </w:p>
        </w:tc>
        <w:tc>
          <w:tcPr>
            <w:tcW w:type="pct" w:w="612"/>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86"/>
            <w:tcBorders>
              <w:top w:val="nil"/>
              <w:left w:val="nil"/>
              <w:bottom w:space="0" w:sz="4" w:color="auto"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83"/>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 </w:t>
            </w:r>
          </w:p>
        </w:tc>
      </w:tr>
      <w:tr w:rsidTr="001E3364" w:rsidR="001E3364">
        <w:trPr>
          <w:trHeight w:val="20"/>
        </w:trPr>
        <w:tc>
          <w:tcPr>
            <w:tcW w:type="pct" w:w="2608"/>
            <w:tcBorders>
              <w:top w:space="0" w:sz="4" w:color="auto" w:val="single"/>
              <w:left w:space="0" w:sz="4" w:color="auto" w:val="single"/>
              <w:bottom w:space="0" w:sz="4" w:color="000000" w:val="single"/>
              <w:right w:space="0" w:sz="4" w:color="000000"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2. Gubitak razdoblja</w:t>
            </w:r>
          </w:p>
        </w:tc>
        <w:tc>
          <w:tcPr>
            <w:tcW w:type="pct" w:w="612"/>
            <w:tcBorders>
              <w:top w:val="nil"/>
              <w:left w:space="0" w:sz="4" w:color="auto" w:val="single"/>
              <w:bottom w:space="0" w:sz="4" w:color="000000" w:val="single"/>
              <w:right w:space="0" w:sz="4" w:color="auto" w:val="single"/>
            </w:tcBorders>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612"/>
            <w:tcBorders>
              <w:top w:val="nil"/>
              <w:left w:val="nil"/>
              <w:bottom w:space="0" w:sz="4" w:color="000000"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346.425</w:t>
            </w:r>
          </w:p>
        </w:tc>
        <w:tc>
          <w:tcPr>
            <w:tcW w:type="pct" w:w="586"/>
            <w:tcBorders>
              <w:top w:val="nil"/>
              <w:left w:val="nil"/>
              <w:bottom w:space="0" w:sz="4" w:color="000000"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10.670.927</w:t>
            </w:r>
          </w:p>
        </w:tc>
        <w:tc>
          <w:tcPr>
            <w:tcW w:type="pct" w:w="583"/>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Arial" w:eastAsia="Times New Roman" w:hAnsi="Arial" w:ascii="Arial"/>
                <w:sz w:val="16"/>
                <w:szCs w:val="16"/>
                <w:lang w:eastAsia="hr-HR"/>
              </w:rPr>
            </w:pPr>
            <w:r>
              <w:rPr>
                <w:rFonts w:cs="Arial" w:eastAsia="Times New Roman" w:hAnsi="Arial" w:ascii="Arial"/>
                <w:sz w:val="16"/>
                <w:szCs w:val="16"/>
                <w:lang w:eastAsia="hr-HR"/>
              </w:rPr>
              <w:t>4.425.184</w:t>
            </w:r>
          </w:p>
        </w:tc>
      </w:tr>
    </w:tbl>
    <w:p w:rsidRDefault="001E3364" w:rsidP="001E3364" w:rsidR="001E3364">
      <w:pPr>
        <w:rPr>
          <w:b/>
          <w:sz w:val="24"/>
          <w:szCs w:val="24"/>
        </w:rPr>
      </w:pPr>
      <w:r>
        <w:rPr>
          <w:b/>
          <w:sz w:val="24"/>
          <w:szCs w:val="24"/>
        </w:rPr>
        <w:br w:type="page"/>
      </w:r>
    </w:p>
    <w:p w:rsidRDefault="001E3364" w:rsidP="001E3364" w:rsidR="001E3364">
      <w:pPr>
        <w:jc w:val="both"/>
        <w:rPr>
          <w:b/>
          <w:sz w:val="24"/>
          <w:szCs w:val="24"/>
        </w:rPr>
      </w:pPr>
      <w:r>
        <w:rPr>
          <w:b/>
          <w:sz w:val="24"/>
          <w:szCs w:val="24"/>
        </w:rPr>
        <w:lastRenderedPageBreak/>
        <w:t>Izvještaj o novčanom toku</w:t>
      </w:r>
    </w:p>
    <w:tbl>
      <w:tblPr>
        <w:tblW w:type="pct" w:w="5472"/>
        <w:tblInd w:type="dxa" w:w="-431"/>
        <w:tblLook w:val="04A0" w:noVBand="1" w:noHBand="0" w:lastColumn="0" w:firstColumn="1" w:lastRow="0" w:firstRow="1"/>
      </w:tblPr>
      <w:tblGrid>
        <w:gridCol w:w="5958"/>
        <w:gridCol w:w="1020"/>
        <w:gridCol w:w="1021"/>
        <w:gridCol w:w="1021"/>
        <w:gridCol w:w="1145"/>
      </w:tblGrid>
      <w:tr w:rsidTr="001E3364" w:rsidR="001E3364">
        <w:trPr>
          <w:trHeight w:val="20"/>
        </w:trPr>
        <w:tc>
          <w:tcPr>
            <w:tcW w:type="pct" w:w="2930"/>
            <w:tcBorders>
              <w:top w:space="0" w:sz="4" w:color="auto" w:val="single"/>
              <w:left w:space="0" w:sz="4" w:color="auto" w:val="single"/>
              <w:bottom w:val="nil"/>
              <w:right w:val="nil"/>
            </w:tcBorders>
            <w:shd w:fill="969696" w:color="auto" w:val="clear"/>
            <w:vAlign w:val="center"/>
            <w:hideMark/>
          </w:tcPr>
          <w:p w:rsidRDefault="001E3364" w:rsidR="001E3364">
            <w:pPr>
              <w:spacing w:lineRule="auto" w:line="240" w:after="0"/>
              <w:jc w:val="center"/>
              <w:rPr>
                <w:rFonts w:cs="Calibri" w:eastAsia="Times New Roman" w:hAnsi="Calibri" w:ascii="Calibri"/>
                <w:b/>
                <w:bCs/>
                <w:color w:val="FFFFFF"/>
                <w:sz w:val="16"/>
                <w:szCs w:val="16"/>
                <w:lang w:eastAsia="hr-HR"/>
              </w:rPr>
            </w:pPr>
            <w:r>
              <w:rPr>
                <w:rFonts w:cs="Calibri" w:eastAsia="Times New Roman" w:hAnsi="Calibri" w:ascii="Calibri"/>
                <w:b/>
                <w:bCs/>
                <w:color w:val="FFFFFF"/>
                <w:sz w:val="16"/>
                <w:szCs w:val="16"/>
                <w:lang w:eastAsia="hr-HR"/>
              </w:rPr>
              <w:t>Naziv pozicije</w:t>
            </w:r>
          </w:p>
        </w:tc>
        <w:tc>
          <w:tcPr>
            <w:tcW w:type="pct" w:w="502"/>
            <w:tcBorders>
              <w:top w:space="0" w:sz="4" w:color="auto" w:val="single"/>
              <w:left w:space="0" w:sz="4" w:color="auto" w:val="single"/>
              <w:bottom w:val="nil"/>
              <w:right w:val="nil"/>
            </w:tcBorders>
            <w:shd w:fill="969696" w:color="auto" w:val="clear"/>
            <w:vAlign w:val="center"/>
            <w:hideMark/>
          </w:tcPr>
          <w:p w:rsidRDefault="001E3364" w:rsidR="001E3364">
            <w:pPr>
              <w:spacing w:lineRule="auto" w:line="240" w:after="0"/>
              <w:jc w:val="center"/>
              <w:rPr>
                <w:rFonts w:cs="Calibri" w:eastAsia="Times New Roman" w:hAnsi="Calibri" w:ascii="Calibri"/>
                <w:b/>
                <w:bCs/>
                <w:color w:val="FFFFFF"/>
                <w:sz w:val="16"/>
                <w:szCs w:val="16"/>
                <w:lang w:eastAsia="hr-HR"/>
              </w:rPr>
            </w:pPr>
            <w:r>
              <w:rPr>
                <w:rFonts w:cs="Calibri" w:eastAsia="Times New Roman" w:hAnsi="Calibri" w:ascii="Calibri"/>
                <w:b/>
                <w:bCs/>
                <w:color w:val="FFFFFF"/>
                <w:sz w:val="16"/>
                <w:szCs w:val="16"/>
                <w:lang w:eastAsia="hr-HR"/>
              </w:rPr>
              <w:t>31.12.2015.</w:t>
            </w:r>
          </w:p>
        </w:tc>
        <w:tc>
          <w:tcPr>
            <w:tcW w:type="pct" w:w="502"/>
            <w:tcBorders>
              <w:top w:space="0" w:sz="4" w:color="auto" w:val="single"/>
              <w:left w:space="0" w:sz="4" w:color="auto" w:val="single"/>
              <w:bottom w:val="nil"/>
              <w:right w:val="nil"/>
            </w:tcBorders>
            <w:shd w:fill="969696" w:color="auto" w:val="clear"/>
            <w:vAlign w:val="center"/>
            <w:hideMark/>
          </w:tcPr>
          <w:p w:rsidRDefault="001E3364" w:rsidR="001E3364">
            <w:pPr>
              <w:spacing w:lineRule="auto" w:line="240" w:after="0"/>
              <w:jc w:val="center"/>
              <w:rPr>
                <w:rFonts w:cs="Calibri" w:eastAsia="Times New Roman" w:hAnsi="Calibri" w:ascii="Calibri"/>
                <w:b/>
                <w:bCs/>
                <w:color w:val="FFFFFF"/>
                <w:sz w:val="16"/>
                <w:szCs w:val="16"/>
                <w:lang w:eastAsia="hr-HR"/>
              </w:rPr>
            </w:pPr>
            <w:r>
              <w:rPr>
                <w:rFonts w:cs="Calibri" w:eastAsia="Times New Roman" w:hAnsi="Calibri" w:ascii="Calibri"/>
                <w:b/>
                <w:bCs/>
                <w:color w:val="FFFFFF"/>
                <w:sz w:val="16"/>
                <w:szCs w:val="16"/>
                <w:lang w:eastAsia="hr-HR"/>
              </w:rPr>
              <w:t>31.12.2016.</w:t>
            </w:r>
          </w:p>
        </w:tc>
        <w:tc>
          <w:tcPr>
            <w:tcW w:type="pct" w:w="502"/>
            <w:tcBorders>
              <w:top w:space="0" w:sz="4" w:color="auto" w:val="single"/>
              <w:left w:space="0" w:sz="4" w:color="auto" w:val="single"/>
              <w:bottom w:val="nil"/>
              <w:right w:space="0" w:sz="4" w:color="auto" w:val="single"/>
            </w:tcBorders>
            <w:shd w:fill="969696" w:color="auto" w:val="clear"/>
            <w:vAlign w:val="center"/>
            <w:hideMark/>
          </w:tcPr>
          <w:p w:rsidRDefault="001E3364" w:rsidR="001E3364">
            <w:pPr>
              <w:spacing w:lineRule="auto" w:line="240" w:after="0"/>
              <w:jc w:val="center"/>
              <w:rPr>
                <w:rFonts w:cs="Calibri" w:eastAsia="Times New Roman" w:hAnsi="Calibri" w:ascii="Calibri"/>
                <w:b/>
                <w:bCs/>
                <w:color w:val="FFFFFF"/>
                <w:sz w:val="16"/>
                <w:szCs w:val="16"/>
                <w:lang w:eastAsia="hr-HR"/>
              </w:rPr>
            </w:pPr>
            <w:r>
              <w:rPr>
                <w:rFonts w:cs="Calibri" w:eastAsia="Times New Roman" w:hAnsi="Calibri" w:ascii="Calibri"/>
                <w:b/>
                <w:bCs/>
                <w:color w:val="FFFFFF"/>
                <w:sz w:val="16"/>
                <w:szCs w:val="16"/>
                <w:lang w:eastAsia="hr-HR"/>
              </w:rPr>
              <w:t>31.12.2017</w:t>
            </w:r>
          </w:p>
        </w:tc>
        <w:tc>
          <w:tcPr>
            <w:tcW w:type="pct" w:w="563"/>
            <w:tcBorders>
              <w:top w:space="0" w:sz="4" w:color="auto" w:val="single"/>
              <w:left w:val="nil"/>
              <w:bottom w:val="nil"/>
              <w:right w:space="0" w:sz="4" w:color="auto" w:val="single"/>
            </w:tcBorders>
            <w:shd w:fill="969696" w:color="auto" w:val="clear"/>
            <w:vAlign w:val="center"/>
            <w:hideMark/>
          </w:tcPr>
          <w:p w:rsidRDefault="001E3364" w:rsidR="001E3364">
            <w:pPr>
              <w:spacing w:lineRule="auto" w:line="240" w:after="0"/>
              <w:jc w:val="center"/>
              <w:rPr>
                <w:rFonts w:cs="Calibri" w:eastAsia="Times New Roman" w:hAnsi="Calibri" w:ascii="Calibri"/>
                <w:b/>
                <w:bCs/>
                <w:color w:val="FFFFFF"/>
                <w:sz w:val="16"/>
                <w:szCs w:val="16"/>
                <w:lang w:eastAsia="hr-HR"/>
              </w:rPr>
            </w:pPr>
            <w:r>
              <w:rPr>
                <w:rFonts w:cs="Calibri" w:eastAsia="Times New Roman" w:hAnsi="Calibri" w:ascii="Calibri"/>
                <w:b/>
                <w:bCs/>
                <w:color w:val="FFFFFF"/>
                <w:sz w:val="16"/>
                <w:szCs w:val="16"/>
                <w:lang w:eastAsia="hr-HR"/>
              </w:rPr>
              <w:t>6.7.2018</w:t>
            </w:r>
          </w:p>
        </w:tc>
      </w:tr>
      <w:tr w:rsidTr="001E3364" w:rsidR="001E3364">
        <w:trPr>
          <w:trHeight w:val="20"/>
        </w:trPr>
        <w:tc>
          <w:tcPr>
            <w:tcW w:type="pct" w:w="2930"/>
            <w:tcBorders>
              <w:top w:space="0" w:sz="4" w:color="auto" w:val="single"/>
              <w:left w:space="0" w:sz="4" w:color="auto" w:val="single"/>
              <w:bottom w:space="0" w:sz="4" w:color="auto" w:val="single"/>
              <w:right w:val="nil"/>
            </w:tcBorders>
            <w:shd w:fill="DCE6F1" w:color="auto" w:val="clear"/>
            <w:vAlign w:val="center"/>
            <w:hideMark/>
          </w:tcPr>
          <w:p w:rsidRDefault="001E3364" w:rsidR="001E3364">
            <w:pPr>
              <w:spacing w:lineRule="auto" w:line="240" w:after="0"/>
              <w:rPr>
                <w:rFonts w:cs="Calibri" w:eastAsia="Times New Roman" w:hAnsi="Calibri" w:ascii="Calibri"/>
                <w:b/>
                <w:bCs/>
                <w:color w:val="000080"/>
                <w:sz w:val="16"/>
                <w:szCs w:val="16"/>
                <w:lang w:eastAsia="hr-HR"/>
              </w:rPr>
            </w:pPr>
            <w:r>
              <w:rPr>
                <w:rFonts w:cs="Calibri" w:eastAsia="Times New Roman" w:hAnsi="Calibri" w:ascii="Calibri"/>
                <w:b/>
                <w:bCs/>
                <w:color w:val="000080"/>
                <w:sz w:val="16"/>
                <w:szCs w:val="16"/>
                <w:lang w:eastAsia="hr-HR"/>
              </w:rPr>
              <w:t>IZVJEŠTAJ O NOVČANOM TOKU</w:t>
            </w:r>
          </w:p>
        </w:tc>
        <w:tc>
          <w:tcPr>
            <w:tcW w:type="pct" w:w="502"/>
            <w:tcBorders>
              <w:top w:space="0" w:sz="4" w:color="auto" w:val="single"/>
              <w:left w:val="nil"/>
              <w:bottom w:space="0" w:sz="4" w:color="auto" w:val="single"/>
              <w:right w:val="nil"/>
            </w:tcBorders>
            <w:shd w:fill="DCE6F1" w:color="auto" w:val="clear"/>
            <w:noWrap/>
            <w:vAlign w:val="bottom"/>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w:t>
            </w:r>
          </w:p>
        </w:tc>
        <w:tc>
          <w:tcPr>
            <w:tcW w:type="pct" w:w="502"/>
            <w:tcBorders>
              <w:top w:space="0" w:sz="4" w:color="auto" w:val="single"/>
              <w:left w:val="nil"/>
              <w:bottom w:space="0" w:sz="4" w:color="auto" w:val="single"/>
              <w:right w:val="nil"/>
            </w:tcBorders>
            <w:shd w:fill="DCE6F1" w:color="auto" w:val="clear"/>
            <w:noWrap/>
            <w:vAlign w:val="bottom"/>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w:t>
            </w:r>
          </w:p>
        </w:tc>
        <w:tc>
          <w:tcPr>
            <w:tcW w:type="pct" w:w="502"/>
            <w:tcBorders>
              <w:top w:space="0" w:sz="4" w:color="auto" w:val="single"/>
              <w:left w:val="nil"/>
              <w:bottom w:space="0" w:sz="4" w:color="auto" w:val="single"/>
              <w:right w:space="0" w:sz="4" w:color="auto" w:val="single"/>
            </w:tcBorders>
            <w:shd w:fill="DCE6F1" w:color="auto" w:val="clear"/>
            <w:noWrap/>
            <w:vAlign w:val="bottom"/>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w:t>
            </w:r>
          </w:p>
        </w:tc>
        <w:tc>
          <w:tcPr>
            <w:tcW w:type="pct" w:w="563"/>
            <w:tcBorders>
              <w:top w:space="0" w:sz="4" w:color="auto" w:val="single"/>
              <w:left w:val="nil"/>
              <w:bottom w:space="0" w:sz="4" w:color="auto" w:val="single"/>
              <w:right w:space="0" w:sz="4" w:color="auto" w:val="single"/>
            </w:tcBorders>
            <w:shd w:fill="DCE6F1" w:color="auto" w:val="clear"/>
            <w:noWrap/>
            <w:vAlign w:val="bottom"/>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w:t>
            </w:r>
          </w:p>
        </w:tc>
      </w:tr>
      <w:tr w:rsidTr="001E3364" w:rsidR="001E3364">
        <w:trPr>
          <w:trHeight w:val="20"/>
        </w:trPr>
        <w:tc>
          <w:tcPr>
            <w:tcW w:type="pct" w:w="2930"/>
            <w:tcBorders>
              <w:top w:val="nil"/>
              <w:left w:space="0" w:sz="4" w:color="auto" w:val="single"/>
              <w:bottom w:space="0" w:sz="4" w:color="auto" w:val="single"/>
              <w:right w:val="nil"/>
            </w:tcBorders>
            <w:shd w:fill="C0C0C0" w:color="C0C0C0" w:val="pct12"/>
            <w:vAlign w:val="center"/>
            <w:hideMark/>
          </w:tcPr>
          <w:p w:rsidRDefault="001E3364" w:rsidR="001E3364">
            <w:pPr>
              <w:spacing w:lineRule="auto" w:line="240" w:after="0"/>
              <w:rPr>
                <w:rFonts w:cs="Calibri" w:eastAsia="Times New Roman" w:hAnsi="Calibri" w:ascii="Calibri"/>
                <w:b/>
                <w:bCs/>
                <w:color w:val="000080"/>
                <w:sz w:val="16"/>
                <w:szCs w:val="16"/>
                <w:lang w:eastAsia="hr-HR"/>
              </w:rPr>
            </w:pPr>
            <w:r>
              <w:rPr>
                <w:rFonts w:cs="Calibri" w:eastAsia="Times New Roman" w:hAnsi="Calibri" w:ascii="Calibri"/>
                <w:b/>
                <w:bCs/>
                <w:color w:val="000080"/>
                <w:sz w:val="16"/>
                <w:szCs w:val="16"/>
                <w:lang w:eastAsia="hr-HR"/>
              </w:rPr>
              <w:t>NOVČANI TIJEK OD POSLOVNIH AKTIVNOSTI</w:t>
            </w:r>
          </w:p>
        </w:tc>
        <w:tc>
          <w:tcPr>
            <w:tcW w:type="pct" w:w="502"/>
            <w:tcBorders>
              <w:top w:val="nil"/>
              <w:left w:val="nil"/>
              <w:bottom w:space="0" w:sz="4" w:color="auto" w:val="single"/>
              <w:right w:space="0" w:sz="4" w:color="auto" w:val="single"/>
            </w:tcBorders>
            <w:shd w:fill="C0C0C0" w:color="C0C0C0" w:val="pct12"/>
            <w:vAlign w:val="center"/>
            <w:hideMark/>
          </w:tcPr>
          <w:p w:rsidRDefault="001E3364" w:rsidR="001E3364">
            <w:pPr>
              <w:spacing w:lineRule="auto" w:line="240" w:after="0"/>
              <w:rPr>
                <w:rFonts w:cs="Calibri" w:eastAsia="Times New Roman" w:hAnsi="Calibri" w:ascii="Calibri"/>
                <w:color w:val="000080"/>
                <w:sz w:val="16"/>
                <w:szCs w:val="16"/>
                <w:lang w:eastAsia="hr-HR"/>
              </w:rPr>
            </w:pPr>
            <w:r>
              <w:rPr>
                <w:rFonts w:cs="Calibri" w:eastAsia="Times New Roman" w:hAnsi="Calibri" w:ascii="Calibri"/>
                <w:color w:val="000080"/>
                <w:sz w:val="16"/>
                <w:szCs w:val="16"/>
                <w:lang w:eastAsia="hr-HR"/>
              </w:rPr>
              <w:t> </w:t>
            </w:r>
          </w:p>
        </w:tc>
        <w:tc>
          <w:tcPr>
            <w:tcW w:type="pct" w:w="502"/>
            <w:tcBorders>
              <w:top w:val="nil"/>
              <w:left w:val="nil"/>
              <w:bottom w:space="0" w:sz="4" w:color="auto" w:val="single"/>
              <w:right w:space="0" w:sz="4" w:color="auto" w:val="single"/>
            </w:tcBorders>
            <w:shd w:fill="C0C0C0" w:color="C0C0C0" w:val="pct12"/>
            <w:vAlign w:val="center"/>
            <w:hideMark/>
          </w:tcPr>
          <w:p w:rsidRDefault="001E3364" w:rsidR="001E3364">
            <w:pPr>
              <w:spacing w:lineRule="auto" w:line="240" w:after="0"/>
              <w:rPr>
                <w:rFonts w:cs="Calibri" w:eastAsia="Times New Roman" w:hAnsi="Calibri" w:ascii="Calibri"/>
                <w:color w:val="000080"/>
                <w:sz w:val="16"/>
                <w:szCs w:val="16"/>
                <w:lang w:eastAsia="hr-HR"/>
              </w:rPr>
            </w:pPr>
            <w:r>
              <w:rPr>
                <w:rFonts w:cs="Calibri" w:eastAsia="Times New Roman" w:hAnsi="Calibri" w:ascii="Calibri"/>
                <w:color w:val="000080"/>
                <w:sz w:val="16"/>
                <w:szCs w:val="16"/>
                <w:lang w:eastAsia="hr-HR"/>
              </w:rPr>
              <w:t> </w:t>
            </w:r>
          </w:p>
        </w:tc>
        <w:tc>
          <w:tcPr>
            <w:tcW w:type="pct" w:w="502"/>
            <w:tcBorders>
              <w:top w:val="nil"/>
              <w:left w:val="nil"/>
              <w:bottom w:space="0" w:sz="4" w:color="auto" w:val="single"/>
              <w:right w:space="0" w:sz="4" w:color="auto" w:val="single"/>
            </w:tcBorders>
            <w:shd w:fill="C0C0C0" w:color="C0C0C0" w:val="pct12"/>
            <w:vAlign w:val="center"/>
            <w:hideMark/>
          </w:tcPr>
          <w:p w:rsidRDefault="001E3364" w:rsidR="001E3364">
            <w:pPr>
              <w:spacing w:lineRule="auto" w:line="240" w:after="0"/>
              <w:rPr>
                <w:rFonts w:cs="Calibri" w:eastAsia="Times New Roman" w:hAnsi="Calibri" w:ascii="Calibri"/>
                <w:color w:val="000080"/>
                <w:sz w:val="16"/>
                <w:szCs w:val="16"/>
                <w:lang w:eastAsia="hr-HR"/>
              </w:rPr>
            </w:pPr>
            <w:r>
              <w:rPr>
                <w:rFonts w:cs="Calibri" w:eastAsia="Times New Roman" w:hAnsi="Calibri" w:ascii="Calibri"/>
                <w:color w:val="000080"/>
                <w:sz w:val="16"/>
                <w:szCs w:val="16"/>
                <w:lang w:eastAsia="hr-HR"/>
              </w:rPr>
              <w:t> </w:t>
            </w:r>
          </w:p>
        </w:tc>
        <w:tc>
          <w:tcPr>
            <w:tcW w:type="pct" w:w="563"/>
            <w:tcBorders>
              <w:top w:val="nil"/>
              <w:left w:val="nil"/>
              <w:bottom w:space="0" w:sz="4" w:color="auto" w:val="single"/>
              <w:right w:space="0" w:sz="4" w:color="auto" w:val="single"/>
            </w:tcBorders>
            <w:shd w:fill="C0C0C0" w:color="C0C0C0" w:val="pct12"/>
            <w:vAlign w:val="center"/>
            <w:hideMark/>
          </w:tcPr>
          <w:p w:rsidRDefault="001E3364" w:rsidR="001E3364">
            <w:pPr>
              <w:spacing w:lineRule="auto" w:line="240" w:after="0"/>
              <w:rPr>
                <w:rFonts w:cs="Calibri" w:eastAsia="Times New Roman" w:hAnsi="Calibri" w:ascii="Calibri"/>
                <w:color w:val="000080"/>
                <w:sz w:val="16"/>
                <w:szCs w:val="16"/>
                <w:lang w:eastAsia="hr-HR"/>
              </w:rPr>
            </w:pPr>
            <w:r>
              <w:rPr>
                <w:rFonts w:cs="Calibri" w:eastAsia="Times New Roman" w:hAnsi="Calibri" w:ascii="Calibri"/>
                <w:color w:val="000080"/>
                <w:sz w:val="16"/>
                <w:szCs w:val="16"/>
                <w:lang w:eastAsia="hr-HR"/>
              </w:rPr>
              <w:t> </w:t>
            </w:r>
          </w:p>
        </w:tc>
      </w:tr>
      <w:tr w:rsidTr="001E3364" w:rsidR="001E3364">
        <w:trPr>
          <w:trHeight w:val="20"/>
        </w:trPr>
        <w:tc>
          <w:tcPr>
            <w:tcW w:type="pct" w:w="2930"/>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1. Dobit prije oporezivanja</w:t>
            </w:r>
          </w:p>
        </w:tc>
        <w:tc>
          <w:tcPr>
            <w:tcW w:type="pct" w:w="502"/>
            <w:tcBorders>
              <w:top w:space="0" w:sz="4" w:color="auto" w:val="single"/>
              <w:left w:space="0" w:sz="4" w:color="auto" w:val="single"/>
              <w:bottom w:space="0" w:sz="4" w:color="auto" w:val="single"/>
              <w:right w:val="nil"/>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5.219.207</w:t>
            </w:r>
          </w:p>
        </w:tc>
        <w:tc>
          <w:tcPr>
            <w:tcW w:type="pct" w:w="502"/>
            <w:tcBorders>
              <w:top w:space="0" w:sz="4" w:color="auto" w:val="single"/>
              <w:left w:space="0" w:sz="4" w:color="auto" w:val="single"/>
              <w:bottom w:space="0" w:sz="4" w:color="auto" w:val="single"/>
              <w:right w:val="nil"/>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-366.882</w:t>
            </w:r>
          </w:p>
        </w:tc>
        <w:tc>
          <w:tcPr>
            <w:tcW w:type="pct" w:w="502"/>
            <w:tcBorders>
              <w:top w:space="0" w:sz="4" w:color="auto" w:val="single"/>
              <w:left w:space="0" w:sz="4" w:color="auto" w:val="single"/>
              <w:bottom w:space="0" w:sz="4" w:color="auto" w:val="single"/>
              <w:right w:val="nil"/>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-11.189.780</w:t>
            </w:r>
          </w:p>
        </w:tc>
        <w:tc>
          <w:tcPr>
            <w:tcW w:type="pct" w:w="563"/>
            <w:tcBorders>
              <w:top w:space="0" w:sz="4" w:color="auto" w:val="single"/>
              <w:left w:space="0" w:sz="4" w:color="auto" w:val="single"/>
              <w:bottom w:space="0" w:sz="4" w:color="auto" w:val="single"/>
              <w:right w:val="nil"/>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-4.501.933</w:t>
            </w:r>
          </w:p>
        </w:tc>
      </w:tr>
      <w:tr w:rsidTr="001E3364" w:rsidR="001E3364">
        <w:trPr>
          <w:trHeight w:val="20"/>
        </w:trPr>
        <w:tc>
          <w:tcPr>
            <w:tcW w:type="pct" w:w="2930"/>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2. Usklađenja:</w:t>
            </w:r>
          </w:p>
        </w:tc>
        <w:tc>
          <w:tcPr>
            <w:tcW w:type="pct" w:w="502"/>
            <w:tcBorders>
              <w:top w:val="nil"/>
              <w:left w:space="0" w:sz="4" w:color="auto" w:val="single"/>
              <w:bottom w:space="0" w:sz="4" w:color="auto" w:val="single"/>
              <w:right w:val="nil"/>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8.688.531</w:t>
            </w:r>
          </w:p>
        </w:tc>
        <w:tc>
          <w:tcPr>
            <w:tcW w:type="pct" w:w="502"/>
            <w:tcBorders>
              <w:top w:val="nil"/>
              <w:left w:space="0" w:sz="4" w:color="auto" w:val="single"/>
              <w:bottom w:space="0" w:sz="4" w:color="auto" w:val="single"/>
              <w:right w:val="nil"/>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9.298.073</w:t>
            </w:r>
          </w:p>
        </w:tc>
        <w:tc>
          <w:tcPr>
            <w:tcW w:type="pct" w:w="502"/>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5.174.844</w:t>
            </w:r>
          </w:p>
        </w:tc>
        <w:tc>
          <w:tcPr>
            <w:tcW w:type="pct" w:w="563"/>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4.158.857</w:t>
            </w:r>
          </w:p>
        </w:tc>
      </w:tr>
      <w:tr w:rsidTr="001E3364" w:rsidR="001E3364">
        <w:trPr>
          <w:trHeight w:val="20"/>
        </w:trPr>
        <w:tc>
          <w:tcPr>
            <w:tcW w:type="pct" w:w="2930"/>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i/>
                <w:iCs/>
                <w:sz w:val="16"/>
                <w:szCs w:val="16"/>
                <w:lang w:eastAsia="hr-HR"/>
              </w:rPr>
            </w:pPr>
            <w:r>
              <w:rPr>
                <w:rFonts w:cs="Arial" w:eastAsia="Times New Roman" w:hAnsi="Arial" w:ascii="Arial"/>
                <w:i/>
                <w:iCs/>
                <w:sz w:val="16"/>
                <w:szCs w:val="16"/>
                <w:lang w:eastAsia="hr-HR"/>
              </w:rPr>
              <w:t xml:space="preserve"> a) Amortizacija</w:t>
            </w:r>
          </w:p>
        </w:tc>
        <w:tc>
          <w:tcPr>
            <w:tcW w:type="pct" w:w="502"/>
            <w:tcBorders>
              <w:top w:val="nil"/>
              <w:left w:space="0" w:sz="4" w:color="auto" w:val="single"/>
              <w:bottom w:space="0" w:sz="4" w:color="auto" w:val="single"/>
              <w:right w:val="nil"/>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5.191.887</w:t>
            </w:r>
          </w:p>
        </w:tc>
        <w:tc>
          <w:tcPr>
            <w:tcW w:type="pct" w:w="502"/>
            <w:tcBorders>
              <w:top w:val="nil"/>
              <w:left w:space="0" w:sz="4" w:color="auto" w:val="single"/>
              <w:bottom w:space="0" w:sz="4" w:color="auto" w:val="single"/>
              <w:right w:val="nil"/>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7.382.469</w:t>
            </w:r>
          </w:p>
        </w:tc>
        <w:tc>
          <w:tcPr>
            <w:tcW w:type="pct" w:w="502"/>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4.925.322</w:t>
            </w:r>
          </w:p>
        </w:tc>
        <w:tc>
          <w:tcPr>
            <w:tcW w:type="pct" w:w="563"/>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1.508.274</w:t>
            </w:r>
          </w:p>
        </w:tc>
      </w:tr>
      <w:tr w:rsidTr="001E3364" w:rsidR="001E3364">
        <w:trPr>
          <w:trHeight w:val="20"/>
        </w:trPr>
        <w:tc>
          <w:tcPr>
            <w:tcW w:type="pct" w:w="2930"/>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i/>
                <w:iCs/>
                <w:sz w:val="16"/>
                <w:szCs w:val="16"/>
                <w:lang w:eastAsia="hr-HR"/>
              </w:rPr>
            </w:pPr>
            <w:r>
              <w:rPr>
                <w:rFonts w:cs="Arial" w:eastAsia="Times New Roman" w:hAnsi="Arial" w:ascii="Arial"/>
                <w:i/>
                <w:iCs/>
                <w:sz w:val="16"/>
                <w:szCs w:val="16"/>
                <w:lang w:eastAsia="hr-HR"/>
              </w:rPr>
              <w:t xml:space="preserve"> b) Dobici i gubici od prodaje i vrijednosna usklađenja dugotrajne materijalne i</w:t>
            </w:r>
            <w:r>
              <w:rPr>
                <w:rFonts w:cs="Arial" w:eastAsia="Times New Roman" w:hAnsi="Arial" w:ascii="Arial"/>
                <w:i/>
                <w:iCs/>
                <w:sz w:val="16"/>
                <w:szCs w:val="16"/>
                <w:lang w:eastAsia="hr-HR"/>
              </w:rPr>
              <w:br/>
              <w:t xml:space="preserve">      nematerijalne imovine</w:t>
            </w:r>
          </w:p>
        </w:tc>
        <w:tc>
          <w:tcPr>
            <w:tcW w:type="pct" w:w="502"/>
            <w:tcBorders>
              <w:top w:val="nil"/>
              <w:left w:space="0" w:sz="4" w:color="auto" w:val="single"/>
              <w:bottom w:space="0" w:sz="4" w:color="auto" w:val="single"/>
              <w:right w:val="nil"/>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1.388.104</w:t>
            </w:r>
          </w:p>
        </w:tc>
        <w:tc>
          <w:tcPr>
            <w:tcW w:type="pct" w:w="502"/>
            <w:tcBorders>
              <w:top w:val="nil"/>
              <w:left w:space="0" w:sz="4" w:color="auto" w:val="single"/>
              <w:bottom w:space="0" w:sz="4" w:color="auto" w:val="single"/>
              <w:right w:val="nil"/>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0</w:t>
            </w:r>
          </w:p>
        </w:tc>
        <w:tc>
          <w:tcPr>
            <w:tcW w:type="pct" w:w="502"/>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0</w:t>
            </w:r>
          </w:p>
        </w:tc>
        <w:tc>
          <w:tcPr>
            <w:tcW w:type="pct" w:w="563"/>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0</w:t>
            </w:r>
          </w:p>
        </w:tc>
      </w:tr>
      <w:tr w:rsidTr="001E3364" w:rsidR="001E3364">
        <w:trPr>
          <w:trHeight w:val="20"/>
        </w:trPr>
        <w:tc>
          <w:tcPr>
            <w:tcW w:type="pct" w:w="2930"/>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i/>
                <w:iCs/>
                <w:sz w:val="16"/>
                <w:szCs w:val="16"/>
                <w:lang w:eastAsia="hr-HR"/>
              </w:rPr>
            </w:pPr>
            <w:r>
              <w:rPr>
                <w:rFonts w:cs="Arial" w:eastAsia="Times New Roman" w:hAnsi="Arial" w:ascii="Arial"/>
                <w:i/>
                <w:iCs/>
                <w:sz w:val="16"/>
                <w:szCs w:val="16"/>
                <w:lang w:eastAsia="hr-HR"/>
              </w:rPr>
              <w:t xml:space="preserve"> c) Dobici i gubici od prodaje i nerealizirani dobici i gubici i vrijednosno usklađenje financijske imovine</w:t>
            </w:r>
          </w:p>
        </w:tc>
        <w:tc>
          <w:tcPr>
            <w:tcW w:type="pct" w:w="502"/>
            <w:tcBorders>
              <w:top w:val="nil"/>
              <w:left w:space="0" w:sz="4" w:color="auto" w:val="single"/>
              <w:bottom w:space="0" w:sz="4" w:color="auto" w:val="single"/>
              <w:right w:val="nil"/>
            </w:tcBorders>
            <w:noWrap/>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w:t>
            </w:r>
          </w:p>
        </w:tc>
        <w:tc>
          <w:tcPr>
            <w:tcW w:type="pct" w:w="502"/>
            <w:tcBorders>
              <w:top w:val="nil"/>
              <w:left w:space="0" w:sz="4" w:color="auto" w:val="single"/>
              <w:bottom w:space="0" w:sz="4" w:color="auto" w:val="single"/>
              <w:right w:val="nil"/>
            </w:tcBorders>
            <w:noWrap/>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w:t>
            </w:r>
          </w:p>
        </w:tc>
        <w:tc>
          <w:tcPr>
            <w:tcW w:type="pct" w:w="502"/>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w:t>
            </w:r>
          </w:p>
        </w:tc>
        <w:tc>
          <w:tcPr>
            <w:tcW w:type="pct" w:w="563"/>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 </w:t>
            </w:r>
          </w:p>
        </w:tc>
      </w:tr>
      <w:tr w:rsidTr="001E3364" w:rsidR="001E3364">
        <w:trPr>
          <w:trHeight w:val="20"/>
        </w:trPr>
        <w:tc>
          <w:tcPr>
            <w:tcW w:type="pct" w:w="2930"/>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i/>
                <w:iCs/>
                <w:sz w:val="16"/>
                <w:szCs w:val="16"/>
                <w:lang w:eastAsia="hr-HR"/>
              </w:rPr>
            </w:pPr>
            <w:r>
              <w:rPr>
                <w:rFonts w:cs="Arial" w:eastAsia="Times New Roman" w:hAnsi="Arial" w:ascii="Arial"/>
                <w:i/>
                <w:iCs/>
                <w:sz w:val="16"/>
                <w:szCs w:val="16"/>
                <w:lang w:eastAsia="hr-HR"/>
              </w:rPr>
              <w:t xml:space="preserve"> d) Prihodi od kamata i dividendi</w:t>
            </w:r>
          </w:p>
        </w:tc>
        <w:tc>
          <w:tcPr>
            <w:tcW w:type="pct" w:w="502"/>
            <w:tcBorders>
              <w:top w:val="nil"/>
              <w:left w:space="0" w:sz="4" w:color="auto" w:val="single"/>
              <w:bottom w:space="0" w:sz="4" w:color="auto" w:val="single"/>
              <w:right w:val="nil"/>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-4.928</w:t>
            </w:r>
          </w:p>
        </w:tc>
        <w:tc>
          <w:tcPr>
            <w:tcW w:type="pct" w:w="502"/>
            <w:tcBorders>
              <w:top w:val="nil"/>
              <w:left w:space="0" w:sz="4" w:color="auto" w:val="single"/>
              <w:bottom w:space="0" w:sz="4" w:color="auto" w:val="single"/>
              <w:right w:val="nil"/>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-1.154.108</w:t>
            </w:r>
          </w:p>
        </w:tc>
        <w:tc>
          <w:tcPr>
            <w:tcW w:type="pct" w:w="502"/>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-267.340</w:t>
            </w:r>
          </w:p>
        </w:tc>
        <w:tc>
          <w:tcPr>
            <w:tcW w:type="pct" w:w="563"/>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-14.011</w:t>
            </w:r>
          </w:p>
        </w:tc>
      </w:tr>
      <w:tr w:rsidTr="001E3364" w:rsidR="001E3364">
        <w:trPr>
          <w:trHeight w:val="20"/>
        </w:trPr>
        <w:tc>
          <w:tcPr>
            <w:tcW w:type="pct" w:w="2930"/>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i/>
                <w:iCs/>
                <w:sz w:val="16"/>
                <w:szCs w:val="16"/>
                <w:lang w:eastAsia="hr-HR"/>
              </w:rPr>
            </w:pPr>
            <w:r>
              <w:rPr>
                <w:rFonts w:cs="Arial" w:eastAsia="Times New Roman" w:hAnsi="Arial" w:ascii="Arial"/>
                <w:i/>
                <w:iCs/>
                <w:sz w:val="16"/>
                <w:szCs w:val="16"/>
                <w:lang w:eastAsia="hr-HR"/>
              </w:rPr>
              <w:t xml:space="preserve"> e) Rashodi od kamata</w:t>
            </w:r>
          </w:p>
        </w:tc>
        <w:tc>
          <w:tcPr>
            <w:tcW w:type="pct" w:w="502"/>
            <w:tcBorders>
              <w:top w:val="nil"/>
              <w:left w:space="0" w:sz="4" w:color="auto" w:val="single"/>
              <w:bottom w:space="0" w:sz="4" w:color="auto" w:val="single"/>
              <w:right w:val="nil"/>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2.113.468</w:t>
            </w:r>
          </w:p>
        </w:tc>
        <w:tc>
          <w:tcPr>
            <w:tcW w:type="pct" w:w="502"/>
            <w:tcBorders>
              <w:top w:val="nil"/>
              <w:left w:space="0" w:sz="4" w:color="auto" w:val="single"/>
              <w:bottom w:space="0" w:sz="4" w:color="auto" w:val="single"/>
              <w:right w:val="nil"/>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3.069.712</w:t>
            </w:r>
          </w:p>
        </w:tc>
        <w:tc>
          <w:tcPr>
            <w:tcW w:type="pct" w:w="502"/>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516.862</w:t>
            </w:r>
          </w:p>
        </w:tc>
        <w:tc>
          <w:tcPr>
            <w:tcW w:type="pct" w:w="563"/>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2.664.594</w:t>
            </w:r>
          </w:p>
        </w:tc>
      </w:tr>
      <w:tr w:rsidTr="001E3364" w:rsidR="001E3364">
        <w:trPr>
          <w:trHeight w:val="20"/>
        </w:trPr>
        <w:tc>
          <w:tcPr>
            <w:tcW w:type="pct" w:w="2930"/>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i/>
                <w:iCs/>
                <w:sz w:val="16"/>
                <w:szCs w:val="16"/>
                <w:lang w:eastAsia="hr-HR"/>
              </w:rPr>
            </w:pPr>
            <w:r>
              <w:rPr>
                <w:rFonts w:cs="Arial" w:eastAsia="Times New Roman" w:hAnsi="Arial" w:ascii="Arial"/>
                <w:i/>
                <w:iCs/>
                <w:sz w:val="16"/>
                <w:szCs w:val="16"/>
                <w:lang w:eastAsia="hr-HR"/>
              </w:rPr>
              <w:t xml:space="preserve"> f) Rezerviranja</w:t>
            </w:r>
          </w:p>
        </w:tc>
        <w:tc>
          <w:tcPr>
            <w:tcW w:type="pct" w:w="502"/>
            <w:tcBorders>
              <w:top w:val="nil"/>
              <w:left w:space="0" w:sz="4" w:color="auto" w:val="single"/>
              <w:bottom w:space="0" w:sz="4" w:color="auto" w:val="single"/>
              <w:right w:val="nil"/>
            </w:tcBorders>
            <w:noWrap/>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w:t>
            </w:r>
          </w:p>
        </w:tc>
        <w:tc>
          <w:tcPr>
            <w:tcW w:type="pct" w:w="502"/>
            <w:tcBorders>
              <w:top w:val="nil"/>
              <w:left w:space="0" w:sz="4" w:color="auto" w:val="single"/>
              <w:bottom w:space="0" w:sz="4" w:color="auto" w:val="single"/>
              <w:right w:val="nil"/>
            </w:tcBorders>
            <w:noWrap/>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w:t>
            </w:r>
          </w:p>
        </w:tc>
        <w:tc>
          <w:tcPr>
            <w:tcW w:type="pct" w:w="502"/>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w:t>
            </w:r>
          </w:p>
        </w:tc>
        <w:tc>
          <w:tcPr>
            <w:tcW w:type="pct" w:w="563"/>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 </w:t>
            </w:r>
          </w:p>
        </w:tc>
      </w:tr>
      <w:tr w:rsidTr="001E3364" w:rsidR="001E3364">
        <w:trPr>
          <w:trHeight w:val="20"/>
        </w:trPr>
        <w:tc>
          <w:tcPr>
            <w:tcW w:type="pct" w:w="2930"/>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i/>
                <w:iCs/>
                <w:sz w:val="16"/>
                <w:szCs w:val="16"/>
                <w:lang w:eastAsia="hr-HR"/>
              </w:rPr>
            </w:pPr>
            <w:r>
              <w:rPr>
                <w:rFonts w:cs="Arial" w:eastAsia="Times New Roman" w:hAnsi="Arial" w:ascii="Arial"/>
                <w:i/>
                <w:iCs/>
                <w:sz w:val="16"/>
                <w:szCs w:val="16"/>
                <w:lang w:eastAsia="hr-HR"/>
              </w:rPr>
              <w:t xml:space="preserve"> g) Tečajne razlike (nerealizirane)</w:t>
            </w:r>
          </w:p>
        </w:tc>
        <w:tc>
          <w:tcPr>
            <w:tcW w:type="pct" w:w="502"/>
            <w:tcBorders>
              <w:top w:val="nil"/>
              <w:left w:space="0" w:sz="4" w:color="auto" w:val="single"/>
              <w:bottom w:space="0" w:sz="4" w:color="auto" w:val="single"/>
              <w:right w:val="nil"/>
            </w:tcBorders>
            <w:noWrap/>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w:t>
            </w:r>
          </w:p>
        </w:tc>
        <w:tc>
          <w:tcPr>
            <w:tcW w:type="pct" w:w="502"/>
            <w:tcBorders>
              <w:top w:val="nil"/>
              <w:left w:space="0" w:sz="4" w:color="auto" w:val="single"/>
              <w:bottom w:space="0" w:sz="4" w:color="auto" w:val="single"/>
              <w:right w:val="nil"/>
            </w:tcBorders>
            <w:noWrap/>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w:t>
            </w:r>
          </w:p>
        </w:tc>
        <w:tc>
          <w:tcPr>
            <w:tcW w:type="pct" w:w="502"/>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w:t>
            </w:r>
          </w:p>
        </w:tc>
        <w:tc>
          <w:tcPr>
            <w:tcW w:type="pct" w:w="563"/>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 </w:t>
            </w:r>
          </w:p>
        </w:tc>
      </w:tr>
      <w:tr w:rsidTr="001E3364" w:rsidR="001E3364">
        <w:trPr>
          <w:trHeight w:val="20"/>
        </w:trPr>
        <w:tc>
          <w:tcPr>
            <w:tcW w:type="pct" w:w="2930"/>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i/>
                <w:iCs/>
                <w:sz w:val="16"/>
                <w:szCs w:val="16"/>
                <w:lang w:eastAsia="hr-HR"/>
              </w:rPr>
            </w:pPr>
            <w:r>
              <w:rPr>
                <w:rFonts w:cs="Arial" w:eastAsia="Times New Roman" w:hAnsi="Arial" w:ascii="Arial"/>
                <w:i/>
                <w:iCs/>
                <w:sz w:val="16"/>
                <w:szCs w:val="16"/>
                <w:lang w:eastAsia="hr-HR"/>
              </w:rPr>
              <w:t xml:space="preserve"> h) Ostala usklađenja za nenovčane transakcije i nerealizirane dobitke i gubitke</w:t>
            </w:r>
          </w:p>
        </w:tc>
        <w:tc>
          <w:tcPr>
            <w:tcW w:type="pct" w:w="502"/>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w:t>
            </w:r>
          </w:p>
        </w:tc>
        <w:tc>
          <w:tcPr>
            <w:tcW w:type="pct" w:w="502"/>
            <w:tcBorders>
              <w:top w:val="nil"/>
              <w:left w:val="nil"/>
              <w:bottom w:space="0" w:sz="4" w:color="auto" w:val="single"/>
              <w:right w:space="0" w:sz="4" w:color="auto" w:val="single"/>
            </w:tcBorders>
            <w:noWrap/>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w:t>
            </w:r>
          </w:p>
        </w:tc>
        <w:tc>
          <w:tcPr>
            <w:tcW w:type="pct" w:w="502"/>
            <w:tcBorders>
              <w:top w:val="nil"/>
              <w:left w:val="nil"/>
              <w:bottom w:space="0" w:sz="4" w:color="auto" w:val="single"/>
              <w:right w:space="0" w:sz="4" w:color="auto" w:val="single"/>
            </w:tcBorders>
            <w:noWrap/>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w:t>
            </w:r>
          </w:p>
        </w:tc>
        <w:tc>
          <w:tcPr>
            <w:tcW w:type="pct" w:w="563"/>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 </w:t>
            </w:r>
          </w:p>
        </w:tc>
      </w:tr>
      <w:tr w:rsidTr="001E3364" w:rsidR="001E3364">
        <w:trPr>
          <w:trHeight w:val="20"/>
        </w:trPr>
        <w:tc>
          <w:tcPr>
            <w:tcW w:type="pct" w:w="2930"/>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b/>
                <w:bCs/>
                <w:sz w:val="16"/>
                <w:szCs w:val="16"/>
                <w:lang w:eastAsia="hr-HR"/>
              </w:rPr>
            </w:pPr>
            <w:r>
              <w:rPr>
                <w:rFonts w:cs="Arial" w:eastAsia="Times New Roman" w:hAnsi="Arial" w:ascii="Arial"/>
                <w:b/>
                <w:bCs/>
                <w:sz w:val="16"/>
                <w:szCs w:val="16"/>
                <w:lang w:eastAsia="hr-HR"/>
              </w:rPr>
              <w:t>I.  Povećanje ili smanjenje novčanih tokova prije promjena u radnom kapitalu</w:t>
            </w:r>
          </w:p>
        </w:tc>
        <w:tc>
          <w:tcPr>
            <w:tcW w:type="pct" w:w="502"/>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13.907.738</w:t>
            </w:r>
          </w:p>
        </w:tc>
        <w:tc>
          <w:tcPr>
            <w:tcW w:type="pct" w:w="502"/>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8.931.191</w:t>
            </w:r>
          </w:p>
        </w:tc>
        <w:tc>
          <w:tcPr>
            <w:tcW w:type="pct" w:w="502"/>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-6.014.936</w:t>
            </w:r>
          </w:p>
        </w:tc>
        <w:tc>
          <w:tcPr>
            <w:tcW w:type="pct" w:w="563"/>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-343.076</w:t>
            </w:r>
          </w:p>
        </w:tc>
      </w:tr>
      <w:tr w:rsidTr="001E3364" w:rsidR="001E3364">
        <w:trPr>
          <w:trHeight w:val="20"/>
        </w:trPr>
        <w:tc>
          <w:tcPr>
            <w:tcW w:type="pct" w:w="2930"/>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3. Promjene u radnom kapitalu</w:t>
            </w:r>
          </w:p>
        </w:tc>
        <w:tc>
          <w:tcPr>
            <w:tcW w:type="pct" w:w="502"/>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-6.386.829</w:t>
            </w:r>
          </w:p>
        </w:tc>
        <w:tc>
          <w:tcPr>
            <w:tcW w:type="pct" w:w="502"/>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-13.296.537</w:t>
            </w:r>
          </w:p>
        </w:tc>
        <w:tc>
          <w:tcPr>
            <w:tcW w:type="pct" w:w="502"/>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15.805.525</w:t>
            </w:r>
          </w:p>
        </w:tc>
        <w:tc>
          <w:tcPr>
            <w:tcW w:type="pct" w:w="563"/>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1.762.304</w:t>
            </w:r>
          </w:p>
        </w:tc>
      </w:tr>
      <w:tr w:rsidTr="001E3364" w:rsidR="001E3364">
        <w:trPr>
          <w:trHeight w:val="20"/>
        </w:trPr>
        <w:tc>
          <w:tcPr>
            <w:tcW w:type="pct" w:w="2930"/>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i/>
                <w:iCs/>
                <w:sz w:val="16"/>
                <w:szCs w:val="16"/>
                <w:lang w:eastAsia="hr-HR"/>
              </w:rPr>
            </w:pPr>
            <w:r>
              <w:rPr>
                <w:rFonts w:cs="Arial" w:eastAsia="Times New Roman" w:hAnsi="Arial" w:ascii="Arial"/>
                <w:i/>
                <w:iCs/>
                <w:sz w:val="16"/>
                <w:szCs w:val="16"/>
                <w:lang w:eastAsia="hr-HR"/>
              </w:rPr>
              <w:t xml:space="preserve"> a) Povećanje ili smanjenje kratkoročnih obveza</w:t>
            </w:r>
          </w:p>
        </w:tc>
        <w:tc>
          <w:tcPr>
            <w:tcW w:type="pct" w:w="502"/>
            <w:tcBorders>
              <w:top w:val="nil"/>
              <w:left w:space="0" w:sz="4" w:color="auto" w:val="single"/>
              <w:bottom w:space="0" w:sz="4" w:color="auto" w:val="single"/>
              <w:right w:val="nil"/>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10.197.825</w:t>
            </w:r>
          </w:p>
        </w:tc>
        <w:tc>
          <w:tcPr>
            <w:tcW w:type="pct" w:w="502"/>
            <w:tcBorders>
              <w:top w:val="nil"/>
              <w:left w:space="0" w:sz="4" w:color="auto" w:val="single"/>
              <w:bottom w:space="0" w:sz="4" w:color="auto" w:val="single"/>
              <w:right w:val="nil"/>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-30.852.764</w:t>
            </w:r>
          </w:p>
        </w:tc>
        <w:tc>
          <w:tcPr>
            <w:tcW w:type="pct" w:w="502"/>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18.269.849</w:t>
            </w:r>
          </w:p>
        </w:tc>
        <w:tc>
          <w:tcPr>
            <w:tcW w:type="pct" w:w="563"/>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-715.612</w:t>
            </w:r>
          </w:p>
        </w:tc>
      </w:tr>
      <w:tr w:rsidTr="001E3364" w:rsidR="001E3364">
        <w:trPr>
          <w:trHeight w:val="20"/>
        </w:trPr>
        <w:tc>
          <w:tcPr>
            <w:tcW w:type="pct" w:w="2930"/>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i/>
                <w:iCs/>
                <w:sz w:val="16"/>
                <w:szCs w:val="16"/>
                <w:lang w:eastAsia="hr-HR"/>
              </w:rPr>
            </w:pPr>
            <w:r>
              <w:rPr>
                <w:rFonts w:cs="Arial" w:eastAsia="Times New Roman" w:hAnsi="Arial" w:ascii="Arial"/>
                <w:i/>
                <w:iCs/>
                <w:sz w:val="16"/>
                <w:szCs w:val="16"/>
                <w:lang w:eastAsia="hr-HR"/>
              </w:rPr>
              <w:t xml:space="preserve"> b) Povećanje ili smanjenje kratkotrajnih potraživanja</w:t>
            </w:r>
          </w:p>
        </w:tc>
        <w:tc>
          <w:tcPr>
            <w:tcW w:type="pct" w:w="502"/>
            <w:tcBorders>
              <w:top w:val="nil"/>
              <w:left w:space="0" w:sz="4" w:color="auto" w:val="single"/>
              <w:bottom w:space="0" w:sz="4" w:color="auto" w:val="single"/>
              <w:right w:val="nil"/>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-12.449.619</w:t>
            </w:r>
          </w:p>
        </w:tc>
        <w:tc>
          <w:tcPr>
            <w:tcW w:type="pct" w:w="502"/>
            <w:tcBorders>
              <w:top w:val="nil"/>
              <w:left w:space="0" w:sz="4" w:color="auto" w:val="single"/>
              <w:bottom w:space="0" w:sz="4" w:color="auto" w:val="single"/>
              <w:right w:val="nil"/>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18.476.820</w:t>
            </w:r>
          </w:p>
        </w:tc>
        <w:tc>
          <w:tcPr>
            <w:tcW w:type="pct" w:w="502"/>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4.466.413</w:t>
            </w:r>
          </w:p>
        </w:tc>
        <w:tc>
          <w:tcPr>
            <w:tcW w:type="pct" w:w="563"/>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-3.305.044</w:t>
            </w:r>
          </w:p>
        </w:tc>
      </w:tr>
      <w:tr w:rsidTr="001E3364" w:rsidR="001E3364">
        <w:trPr>
          <w:trHeight w:val="20"/>
        </w:trPr>
        <w:tc>
          <w:tcPr>
            <w:tcW w:type="pct" w:w="2930"/>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i/>
                <w:iCs/>
                <w:sz w:val="16"/>
                <w:szCs w:val="16"/>
                <w:lang w:eastAsia="hr-HR"/>
              </w:rPr>
            </w:pPr>
            <w:r>
              <w:rPr>
                <w:rFonts w:cs="Arial" w:eastAsia="Times New Roman" w:hAnsi="Arial" w:ascii="Arial"/>
                <w:i/>
                <w:iCs/>
                <w:sz w:val="16"/>
                <w:szCs w:val="16"/>
                <w:lang w:eastAsia="hr-HR"/>
              </w:rPr>
              <w:t xml:space="preserve"> c) Povećanje ili smanjenje zaliha</w:t>
            </w:r>
          </w:p>
        </w:tc>
        <w:tc>
          <w:tcPr>
            <w:tcW w:type="pct" w:w="502"/>
            <w:tcBorders>
              <w:top w:val="nil"/>
              <w:left w:space="0" w:sz="4" w:color="auto" w:val="single"/>
              <w:bottom w:space="0" w:sz="4" w:color="auto" w:val="single"/>
              <w:right w:val="nil"/>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-4.135.035</w:t>
            </w:r>
          </w:p>
        </w:tc>
        <w:tc>
          <w:tcPr>
            <w:tcW w:type="pct" w:w="502"/>
            <w:tcBorders>
              <w:top w:val="nil"/>
              <w:left w:space="0" w:sz="4" w:color="auto" w:val="single"/>
              <w:bottom w:space="0" w:sz="4" w:color="auto" w:val="single"/>
              <w:right w:val="nil"/>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-920.593</w:t>
            </w:r>
          </w:p>
        </w:tc>
        <w:tc>
          <w:tcPr>
            <w:tcW w:type="pct" w:w="502"/>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-6.930.737</w:t>
            </w:r>
          </w:p>
        </w:tc>
        <w:tc>
          <w:tcPr>
            <w:tcW w:type="pct" w:w="563"/>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5.782.960</w:t>
            </w:r>
          </w:p>
        </w:tc>
      </w:tr>
      <w:tr w:rsidTr="001E3364" w:rsidR="001E3364">
        <w:trPr>
          <w:trHeight w:val="20"/>
        </w:trPr>
        <w:tc>
          <w:tcPr>
            <w:tcW w:type="pct" w:w="2930"/>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i/>
                <w:iCs/>
                <w:sz w:val="16"/>
                <w:szCs w:val="16"/>
                <w:lang w:eastAsia="hr-HR"/>
              </w:rPr>
            </w:pPr>
            <w:r>
              <w:rPr>
                <w:rFonts w:cs="Arial" w:eastAsia="Times New Roman" w:hAnsi="Arial" w:ascii="Arial"/>
                <w:i/>
                <w:iCs/>
                <w:sz w:val="16"/>
                <w:szCs w:val="16"/>
                <w:lang w:eastAsia="hr-HR"/>
              </w:rPr>
              <w:t xml:space="preserve"> d) Ostala povećanja ili smanjenja radnog kapitala</w:t>
            </w:r>
          </w:p>
        </w:tc>
        <w:tc>
          <w:tcPr>
            <w:tcW w:type="pct" w:w="502"/>
            <w:tcBorders>
              <w:top w:val="nil"/>
              <w:left w:space="0" w:sz="4" w:color="auto" w:val="single"/>
              <w:bottom w:space="0" w:sz="4" w:color="auto" w:val="single"/>
              <w:right w:val="nil"/>
            </w:tcBorders>
            <w:noWrap/>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w:t>
            </w:r>
          </w:p>
        </w:tc>
        <w:tc>
          <w:tcPr>
            <w:tcW w:type="pct" w:w="502"/>
            <w:tcBorders>
              <w:top w:val="nil"/>
              <w:left w:space="0" w:sz="4" w:color="auto" w:val="single"/>
              <w:bottom w:space="0" w:sz="4" w:color="auto" w:val="single"/>
              <w:right w:val="nil"/>
            </w:tcBorders>
            <w:noWrap/>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w:t>
            </w:r>
          </w:p>
        </w:tc>
        <w:tc>
          <w:tcPr>
            <w:tcW w:type="pct" w:w="502"/>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w:t>
            </w:r>
          </w:p>
        </w:tc>
        <w:tc>
          <w:tcPr>
            <w:tcW w:type="pct" w:w="563"/>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 </w:t>
            </w:r>
          </w:p>
        </w:tc>
      </w:tr>
      <w:tr w:rsidTr="001E3364" w:rsidR="001E3364">
        <w:trPr>
          <w:trHeight w:val="20"/>
        </w:trPr>
        <w:tc>
          <w:tcPr>
            <w:tcW w:type="pct" w:w="2930"/>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b/>
                <w:bCs/>
                <w:sz w:val="16"/>
                <w:szCs w:val="16"/>
                <w:lang w:eastAsia="hr-HR"/>
              </w:rPr>
            </w:pPr>
            <w:r>
              <w:rPr>
                <w:rFonts w:cs="Arial" w:eastAsia="Times New Roman" w:hAnsi="Arial" w:ascii="Arial"/>
                <w:b/>
                <w:bCs/>
                <w:sz w:val="16"/>
                <w:szCs w:val="16"/>
                <w:lang w:eastAsia="hr-HR"/>
              </w:rPr>
              <w:t xml:space="preserve">II. Novac iz poslovanja </w:t>
            </w:r>
          </w:p>
        </w:tc>
        <w:tc>
          <w:tcPr>
            <w:tcW w:type="pct" w:w="502"/>
            <w:tcBorders>
              <w:top w:val="nil"/>
              <w:left w:space="0" w:sz="4" w:color="auto" w:val="single"/>
              <w:bottom w:space="0" w:sz="4" w:color="auto" w:val="single"/>
              <w:right w:val="nil"/>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7.520.909</w:t>
            </w:r>
          </w:p>
        </w:tc>
        <w:tc>
          <w:tcPr>
            <w:tcW w:type="pct" w:w="502"/>
            <w:tcBorders>
              <w:top w:val="nil"/>
              <w:left w:space="0" w:sz="4" w:color="auto" w:val="single"/>
              <w:bottom w:space="0" w:sz="4" w:color="auto" w:val="single"/>
              <w:right w:val="nil"/>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-4.365.346</w:t>
            </w:r>
          </w:p>
        </w:tc>
        <w:tc>
          <w:tcPr>
            <w:tcW w:type="pct" w:w="502"/>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9.790.589</w:t>
            </w:r>
          </w:p>
        </w:tc>
        <w:tc>
          <w:tcPr>
            <w:tcW w:type="pct" w:w="563"/>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1.419.228</w:t>
            </w:r>
          </w:p>
        </w:tc>
      </w:tr>
      <w:tr w:rsidTr="001E3364" w:rsidR="001E3364">
        <w:trPr>
          <w:trHeight w:val="20"/>
        </w:trPr>
        <w:tc>
          <w:tcPr>
            <w:tcW w:type="pct" w:w="2930"/>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4. Novčani izdaci za kamate</w:t>
            </w:r>
          </w:p>
        </w:tc>
        <w:tc>
          <w:tcPr>
            <w:tcW w:type="pct" w:w="502"/>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-2.113.468</w:t>
            </w:r>
          </w:p>
        </w:tc>
        <w:tc>
          <w:tcPr>
            <w:tcW w:type="pct" w:w="502"/>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-3.069.712</w:t>
            </w:r>
          </w:p>
        </w:tc>
        <w:tc>
          <w:tcPr>
            <w:tcW w:type="pct" w:w="502"/>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-516.862</w:t>
            </w:r>
          </w:p>
        </w:tc>
        <w:tc>
          <w:tcPr>
            <w:tcW w:type="pct" w:w="563"/>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-2.664.594</w:t>
            </w:r>
          </w:p>
        </w:tc>
      </w:tr>
      <w:tr w:rsidTr="001E3364" w:rsidR="001E3364">
        <w:trPr>
          <w:trHeight w:val="20"/>
        </w:trPr>
        <w:tc>
          <w:tcPr>
            <w:tcW w:type="pct" w:w="2930"/>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5. Plaćeni porez na dobit</w:t>
            </w:r>
          </w:p>
        </w:tc>
        <w:tc>
          <w:tcPr>
            <w:tcW w:type="pct" w:w="502"/>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-134.795</w:t>
            </w:r>
          </w:p>
        </w:tc>
        <w:tc>
          <w:tcPr>
            <w:tcW w:type="pct" w:w="502"/>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882.447</w:t>
            </w:r>
          </w:p>
        </w:tc>
        <w:tc>
          <w:tcPr>
            <w:tcW w:type="pct" w:w="502"/>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0</w:t>
            </w:r>
          </w:p>
        </w:tc>
        <w:tc>
          <w:tcPr>
            <w:tcW w:type="pct" w:w="563"/>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0</w:t>
            </w:r>
          </w:p>
        </w:tc>
      </w:tr>
      <w:tr w:rsidTr="001E3364" w:rsidR="001E3364">
        <w:trPr>
          <w:trHeight w:val="20"/>
        </w:trPr>
        <w:tc>
          <w:tcPr>
            <w:tcW w:type="pct" w:w="2930"/>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Arial" w:eastAsia="Times New Roman" w:hAnsi="Arial" w:ascii="Arial"/>
                <w:b/>
                <w:bCs/>
                <w:color w:val="000080"/>
                <w:sz w:val="16"/>
                <w:szCs w:val="16"/>
                <w:lang w:eastAsia="hr-HR"/>
              </w:rPr>
            </w:pPr>
            <w:r>
              <w:rPr>
                <w:rFonts w:cs="Arial" w:eastAsia="Times New Roman" w:hAnsi="Arial" w:ascii="Arial"/>
                <w:b/>
                <w:bCs/>
                <w:color w:val="000080"/>
                <w:sz w:val="16"/>
                <w:szCs w:val="16"/>
                <w:lang w:eastAsia="hr-HR"/>
              </w:rPr>
              <w:t>A) NETO NOVČANI TOKOVI OD POSLOVNIH AKTIVNOSTI</w:t>
            </w:r>
          </w:p>
        </w:tc>
        <w:tc>
          <w:tcPr>
            <w:tcW w:type="pct" w:w="502"/>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5.272.646</w:t>
            </w:r>
          </w:p>
        </w:tc>
        <w:tc>
          <w:tcPr>
            <w:tcW w:type="pct" w:w="502"/>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-6.552.611</w:t>
            </w:r>
          </w:p>
        </w:tc>
        <w:tc>
          <w:tcPr>
            <w:tcW w:type="pct" w:w="502"/>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9.273.727</w:t>
            </w:r>
          </w:p>
        </w:tc>
        <w:tc>
          <w:tcPr>
            <w:tcW w:type="pct" w:w="563"/>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-1.245.366</w:t>
            </w:r>
          </w:p>
        </w:tc>
      </w:tr>
      <w:tr w:rsidTr="001E3364" w:rsidR="001E3364">
        <w:trPr>
          <w:trHeight w:val="20"/>
        </w:trPr>
        <w:tc>
          <w:tcPr>
            <w:tcW w:type="pct" w:w="2930"/>
            <w:tcBorders>
              <w:top w:val="nil"/>
              <w:left w:space="0" w:sz="4" w:color="auto" w:val="single"/>
              <w:bottom w:val="nil"/>
              <w:right w:val="nil"/>
            </w:tcBorders>
            <w:shd w:fill="auto" w:color="C0C0C0" w:val="pct50"/>
            <w:noWrap/>
            <w:vAlign w:val="center"/>
            <w:hideMark/>
          </w:tcPr>
          <w:p w:rsidRDefault="001E3364" w:rsidR="001E3364">
            <w:pPr>
              <w:spacing w:lineRule="auto" w:line="240" w:after="0"/>
              <w:rPr>
                <w:rFonts w:cs="Arial" w:eastAsia="Times New Roman" w:hAnsi="Arial" w:ascii="Arial"/>
                <w:b/>
                <w:bCs/>
                <w:color w:val="000080"/>
                <w:sz w:val="16"/>
                <w:szCs w:val="16"/>
                <w:lang w:eastAsia="hr-HR"/>
              </w:rPr>
            </w:pPr>
            <w:r>
              <w:rPr>
                <w:rFonts w:cs="Arial" w:eastAsia="Times New Roman" w:hAnsi="Arial" w:ascii="Arial"/>
                <w:b/>
                <w:bCs/>
                <w:color w:val="000080"/>
                <w:sz w:val="16"/>
                <w:szCs w:val="16"/>
                <w:lang w:eastAsia="hr-HR"/>
              </w:rPr>
              <w:t>Novčani tokovi od investicijskih aktivnosti</w:t>
            </w:r>
          </w:p>
        </w:tc>
        <w:tc>
          <w:tcPr>
            <w:tcW w:type="pct" w:w="502"/>
            <w:tcBorders>
              <w:top w:space="0" w:sz="4" w:color="auto" w:val="single"/>
              <w:left w:val="nil"/>
              <w:bottom w:val="nil"/>
              <w:right w:val="nil"/>
            </w:tcBorders>
            <w:shd w:fill="auto" w:color="C0C0C0" w:val="pct50"/>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02"/>
            <w:tcBorders>
              <w:top w:space="0" w:sz="4" w:color="auto" w:val="single"/>
              <w:left w:val="nil"/>
              <w:bottom w:val="nil"/>
              <w:right w:val="nil"/>
            </w:tcBorders>
            <w:shd w:fill="auto" w:color="C0C0C0" w:val="pct50"/>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02"/>
            <w:tcBorders>
              <w:top w:space="0" w:sz="4" w:color="auto" w:val="single"/>
              <w:left w:val="nil"/>
              <w:bottom w:val="nil"/>
              <w:right w:val="nil"/>
            </w:tcBorders>
            <w:shd w:fill="auto" w:color="C0C0C0" w:val="pct50"/>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63"/>
            <w:tcBorders>
              <w:top w:space="0" w:sz="4" w:color="auto" w:val="single"/>
              <w:left w:val="nil"/>
              <w:bottom w:val="nil"/>
              <w:right w:val="nil"/>
            </w:tcBorders>
            <w:shd w:fill="auto" w:color="C0C0C0" w:val="pct50"/>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 </w:t>
            </w:r>
          </w:p>
        </w:tc>
      </w:tr>
      <w:tr w:rsidTr="001E3364" w:rsidR="001E3364">
        <w:trPr>
          <w:trHeight w:val="20"/>
        </w:trPr>
        <w:tc>
          <w:tcPr>
            <w:tcW w:type="pct" w:w="2930"/>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1. Novčani primici od prodaje dugotrajne materijalne i nematerijalne imovine</w:t>
            </w:r>
          </w:p>
        </w:tc>
        <w:tc>
          <w:tcPr>
            <w:tcW w:type="pct" w:w="502"/>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0</w:t>
            </w:r>
          </w:p>
        </w:tc>
        <w:tc>
          <w:tcPr>
            <w:tcW w:type="pct" w:w="502"/>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35.044.765</w:t>
            </w:r>
          </w:p>
        </w:tc>
        <w:tc>
          <w:tcPr>
            <w:tcW w:type="pct" w:w="502"/>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1.381.774</w:t>
            </w:r>
          </w:p>
        </w:tc>
        <w:tc>
          <w:tcPr>
            <w:tcW w:type="pct" w:w="563"/>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210.000</w:t>
            </w:r>
          </w:p>
        </w:tc>
      </w:tr>
      <w:tr w:rsidTr="001E3364" w:rsidR="001E3364">
        <w:trPr>
          <w:trHeight w:val="20"/>
        </w:trPr>
        <w:tc>
          <w:tcPr>
            <w:tcW w:type="pct" w:w="2930"/>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2. Novčani primici od prodaje financijskih instrumenata</w:t>
            </w:r>
          </w:p>
        </w:tc>
        <w:tc>
          <w:tcPr>
            <w:tcW w:type="pct" w:w="502"/>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20.081</w:t>
            </w:r>
          </w:p>
        </w:tc>
        <w:tc>
          <w:tcPr>
            <w:tcW w:type="pct" w:w="502"/>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66.200</w:t>
            </w:r>
          </w:p>
        </w:tc>
        <w:tc>
          <w:tcPr>
            <w:tcW w:type="pct" w:w="502"/>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0</w:t>
            </w:r>
          </w:p>
        </w:tc>
        <w:tc>
          <w:tcPr>
            <w:tcW w:type="pct" w:w="563"/>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0</w:t>
            </w:r>
          </w:p>
        </w:tc>
      </w:tr>
      <w:tr w:rsidTr="001E3364" w:rsidR="001E3364">
        <w:trPr>
          <w:trHeight w:val="20"/>
        </w:trPr>
        <w:tc>
          <w:tcPr>
            <w:tcW w:type="pct" w:w="2930"/>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3. Novčani primici od kamata</w:t>
            </w:r>
          </w:p>
        </w:tc>
        <w:tc>
          <w:tcPr>
            <w:tcW w:type="pct" w:w="502"/>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4.928</w:t>
            </w:r>
          </w:p>
        </w:tc>
        <w:tc>
          <w:tcPr>
            <w:tcW w:type="pct" w:w="502"/>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1.154.108</w:t>
            </w:r>
          </w:p>
        </w:tc>
        <w:tc>
          <w:tcPr>
            <w:tcW w:type="pct" w:w="502"/>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267.340</w:t>
            </w:r>
          </w:p>
        </w:tc>
        <w:tc>
          <w:tcPr>
            <w:tcW w:type="pct" w:w="563"/>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14.011</w:t>
            </w:r>
          </w:p>
        </w:tc>
      </w:tr>
      <w:tr w:rsidTr="001E3364" w:rsidR="001E3364">
        <w:trPr>
          <w:trHeight w:val="20"/>
        </w:trPr>
        <w:tc>
          <w:tcPr>
            <w:tcW w:type="pct" w:w="2930"/>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4. Novčani primici od dividendi</w:t>
            </w:r>
          </w:p>
        </w:tc>
        <w:tc>
          <w:tcPr>
            <w:tcW w:type="pct" w:w="502"/>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w:t>
            </w:r>
          </w:p>
        </w:tc>
        <w:tc>
          <w:tcPr>
            <w:tcW w:type="pct" w:w="502"/>
            <w:tcBorders>
              <w:top w:val="nil"/>
              <w:left w:val="nil"/>
              <w:bottom w:space="0" w:sz="4" w:color="auto" w:val="single"/>
              <w:right w:space="0" w:sz="4" w:color="auto" w:val="single"/>
            </w:tcBorders>
            <w:noWrap/>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w:t>
            </w:r>
          </w:p>
        </w:tc>
        <w:tc>
          <w:tcPr>
            <w:tcW w:type="pct" w:w="502"/>
            <w:tcBorders>
              <w:top w:val="nil"/>
              <w:left w:val="nil"/>
              <w:bottom w:space="0" w:sz="4" w:color="auto" w:val="single"/>
              <w:right w:space="0" w:sz="4" w:color="auto" w:val="single"/>
            </w:tcBorders>
            <w:noWrap/>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w:t>
            </w:r>
          </w:p>
        </w:tc>
        <w:tc>
          <w:tcPr>
            <w:tcW w:type="pct" w:w="563"/>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 </w:t>
            </w:r>
          </w:p>
        </w:tc>
      </w:tr>
      <w:tr w:rsidTr="001E3364" w:rsidR="001E3364">
        <w:trPr>
          <w:trHeight w:val="20"/>
        </w:trPr>
        <w:tc>
          <w:tcPr>
            <w:tcW w:type="pct" w:w="2930"/>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5. Novačani primici s osnove povrata danih zajmova i štednih uloga</w:t>
            </w:r>
          </w:p>
        </w:tc>
        <w:tc>
          <w:tcPr>
            <w:tcW w:type="pct" w:w="502"/>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w:t>
            </w:r>
          </w:p>
        </w:tc>
        <w:tc>
          <w:tcPr>
            <w:tcW w:type="pct" w:w="502"/>
            <w:tcBorders>
              <w:top w:val="nil"/>
              <w:left w:val="nil"/>
              <w:bottom w:space="0" w:sz="4" w:color="auto" w:val="single"/>
              <w:right w:space="0" w:sz="4" w:color="auto" w:val="single"/>
            </w:tcBorders>
            <w:noWrap/>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w:t>
            </w:r>
          </w:p>
        </w:tc>
        <w:tc>
          <w:tcPr>
            <w:tcW w:type="pct" w:w="502"/>
            <w:tcBorders>
              <w:top w:val="nil"/>
              <w:left w:val="nil"/>
              <w:bottom w:space="0" w:sz="4" w:color="auto" w:val="single"/>
              <w:right w:space="0" w:sz="4" w:color="auto" w:val="single"/>
            </w:tcBorders>
            <w:noWrap/>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w:t>
            </w:r>
          </w:p>
        </w:tc>
        <w:tc>
          <w:tcPr>
            <w:tcW w:type="pct" w:w="563"/>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 </w:t>
            </w:r>
          </w:p>
        </w:tc>
      </w:tr>
      <w:tr w:rsidTr="001E3364" w:rsidR="001E3364">
        <w:trPr>
          <w:trHeight w:val="20"/>
        </w:trPr>
        <w:tc>
          <w:tcPr>
            <w:tcW w:type="pct" w:w="2930"/>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6. Ostali novčani primici od investicijskih aktivnosti</w:t>
            </w:r>
          </w:p>
        </w:tc>
        <w:tc>
          <w:tcPr>
            <w:tcW w:type="pct" w:w="502"/>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64.544</w:t>
            </w:r>
          </w:p>
        </w:tc>
        <w:tc>
          <w:tcPr>
            <w:tcW w:type="pct" w:w="502"/>
            <w:tcBorders>
              <w:top w:val="nil"/>
              <w:left w:val="nil"/>
              <w:bottom w:space="0" w:sz="4" w:color="auto" w:val="single"/>
              <w:right w:space="0" w:sz="4" w:color="auto" w:val="single"/>
            </w:tcBorders>
            <w:noWrap/>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w:t>
            </w:r>
          </w:p>
        </w:tc>
        <w:tc>
          <w:tcPr>
            <w:tcW w:type="pct" w:w="502"/>
            <w:tcBorders>
              <w:top w:val="nil"/>
              <w:left w:val="nil"/>
              <w:bottom w:space="0" w:sz="4" w:color="auto" w:val="single"/>
              <w:right w:space="0" w:sz="4" w:color="auto" w:val="single"/>
            </w:tcBorders>
            <w:noWrap/>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w:t>
            </w:r>
          </w:p>
        </w:tc>
        <w:tc>
          <w:tcPr>
            <w:tcW w:type="pct" w:w="563"/>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 </w:t>
            </w:r>
          </w:p>
        </w:tc>
      </w:tr>
      <w:tr w:rsidTr="001E3364" w:rsidR="001E3364">
        <w:trPr>
          <w:trHeight w:val="20"/>
        </w:trPr>
        <w:tc>
          <w:tcPr>
            <w:tcW w:type="pct" w:w="2930"/>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b/>
                <w:bCs/>
                <w:sz w:val="16"/>
                <w:szCs w:val="16"/>
                <w:lang w:eastAsia="hr-HR"/>
              </w:rPr>
            </w:pPr>
            <w:r>
              <w:rPr>
                <w:rFonts w:cs="Arial" w:eastAsia="Times New Roman" w:hAnsi="Arial" w:ascii="Arial"/>
                <w:b/>
                <w:bCs/>
                <w:sz w:val="16"/>
                <w:szCs w:val="16"/>
                <w:lang w:eastAsia="hr-HR"/>
              </w:rPr>
              <w:t>III. Ukupno novčani primici od investicijskih aktivnosti</w:t>
            </w:r>
          </w:p>
        </w:tc>
        <w:tc>
          <w:tcPr>
            <w:tcW w:type="pct" w:w="502"/>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89.553</w:t>
            </w:r>
          </w:p>
        </w:tc>
        <w:tc>
          <w:tcPr>
            <w:tcW w:type="pct" w:w="502"/>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36.265.073</w:t>
            </w:r>
          </w:p>
        </w:tc>
        <w:tc>
          <w:tcPr>
            <w:tcW w:type="pct" w:w="502"/>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1.649.114</w:t>
            </w:r>
          </w:p>
        </w:tc>
        <w:tc>
          <w:tcPr>
            <w:tcW w:type="pct" w:w="563"/>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224.011</w:t>
            </w:r>
          </w:p>
        </w:tc>
      </w:tr>
      <w:tr w:rsidTr="001E3364" w:rsidR="001E3364">
        <w:trPr>
          <w:trHeight w:val="20"/>
        </w:trPr>
        <w:tc>
          <w:tcPr>
            <w:tcW w:type="pct" w:w="2930"/>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1. Novčani izdaci za kupnju dugotrajne materijalne i nematerijalne imovine</w:t>
            </w:r>
          </w:p>
        </w:tc>
        <w:tc>
          <w:tcPr>
            <w:tcW w:type="pct" w:w="502"/>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-8.353.645</w:t>
            </w:r>
          </w:p>
        </w:tc>
        <w:tc>
          <w:tcPr>
            <w:tcW w:type="pct" w:w="502"/>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-12.611.991</w:t>
            </w:r>
          </w:p>
        </w:tc>
        <w:tc>
          <w:tcPr>
            <w:tcW w:type="pct" w:w="502"/>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-4.428.158</w:t>
            </w:r>
          </w:p>
        </w:tc>
        <w:tc>
          <w:tcPr>
            <w:tcW w:type="pct" w:w="563"/>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-320.365</w:t>
            </w:r>
          </w:p>
        </w:tc>
      </w:tr>
      <w:tr w:rsidTr="001E3364" w:rsidR="001E3364">
        <w:trPr>
          <w:trHeight w:val="20"/>
        </w:trPr>
        <w:tc>
          <w:tcPr>
            <w:tcW w:type="pct" w:w="2930"/>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2. Novčani izdaci za stjecanje financijskih instrumenata</w:t>
            </w:r>
          </w:p>
        </w:tc>
        <w:tc>
          <w:tcPr>
            <w:tcW w:type="pct" w:w="502"/>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-724.857</w:t>
            </w:r>
          </w:p>
        </w:tc>
        <w:tc>
          <w:tcPr>
            <w:tcW w:type="pct" w:w="502"/>
            <w:tcBorders>
              <w:top w:val="nil"/>
              <w:left w:val="nil"/>
              <w:bottom w:space="0" w:sz="4" w:color="auto" w:val="single"/>
              <w:right w:space="0" w:sz="4" w:color="auto" w:val="single"/>
            </w:tcBorders>
            <w:noWrap/>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w:t>
            </w:r>
          </w:p>
        </w:tc>
        <w:tc>
          <w:tcPr>
            <w:tcW w:type="pct" w:w="502"/>
            <w:tcBorders>
              <w:top w:val="nil"/>
              <w:left w:val="nil"/>
              <w:bottom w:space="0" w:sz="4" w:color="auto" w:val="single"/>
              <w:right w:space="0" w:sz="4" w:color="auto" w:val="single"/>
            </w:tcBorders>
            <w:noWrap/>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w:t>
            </w:r>
          </w:p>
        </w:tc>
        <w:tc>
          <w:tcPr>
            <w:tcW w:type="pct" w:w="563"/>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 </w:t>
            </w:r>
          </w:p>
        </w:tc>
      </w:tr>
      <w:tr w:rsidTr="001E3364" w:rsidR="001E3364">
        <w:trPr>
          <w:trHeight w:val="20"/>
        </w:trPr>
        <w:tc>
          <w:tcPr>
            <w:tcW w:type="pct" w:w="2930"/>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3. Novčani izdaci s osnove danih zajmova i štednih uloga za razdoblje</w:t>
            </w:r>
          </w:p>
        </w:tc>
        <w:tc>
          <w:tcPr>
            <w:tcW w:type="pct" w:w="502"/>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0</w:t>
            </w:r>
          </w:p>
        </w:tc>
        <w:tc>
          <w:tcPr>
            <w:tcW w:type="pct" w:w="502"/>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0</w:t>
            </w:r>
          </w:p>
        </w:tc>
        <w:tc>
          <w:tcPr>
            <w:tcW w:type="pct" w:w="502"/>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-74.530</w:t>
            </w:r>
          </w:p>
        </w:tc>
        <w:tc>
          <w:tcPr>
            <w:tcW w:type="pct" w:w="563"/>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0</w:t>
            </w:r>
          </w:p>
        </w:tc>
      </w:tr>
      <w:tr w:rsidTr="001E3364" w:rsidR="001E3364">
        <w:trPr>
          <w:trHeight w:val="20"/>
        </w:trPr>
        <w:tc>
          <w:tcPr>
            <w:tcW w:type="pct" w:w="2930"/>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4. Stjecanje ovisnog društva, umanjeno za stečeni novac</w:t>
            </w:r>
          </w:p>
        </w:tc>
        <w:tc>
          <w:tcPr>
            <w:tcW w:type="pct" w:w="502"/>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w:t>
            </w:r>
          </w:p>
        </w:tc>
        <w:tc>
          <w:tcPr>
            <w:tcW w:type="pct" w:w="502"/>
            <w:tcBorders>
              <w:top w:val="nil"/>
              <w:left w:val="nil"/>
              <w:bottom w:space="0" w:sz="4" w:color="auto" w:val="single"/>
              <w:right w:space="0" w:sz="4" w:color="auto" w:val="single"/>
            </w:tcBorders>
            <w:noWrap/>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w:t>
            </w:r>
          </w:p>
        </w:tc>
        <w:tc>
          <w:tcPr>
            <w:tcW w:type="pct" w:w="502"/>
            <w:tcBorders>
              <w:top w:val="nil"/>
              <w:left w:val="nil"/>
              <w:bottom w:space="0" w:sz="4" w:color="auto" w:val="single"/>
              <w:right w:space="0" w:sz="4" w:color="auto" w:val="single"/>
            </w:tcBorders>
            <w:noWrap/>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w:t>
            </w:r>
          </w:p>
        </w:tc>
        <w:tc>
          <w:tcPr>
            <w:tcW w:type="pct" w:w="563"/>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 </w:t>
            </w:r>
          </w:p>
        </w:tc>
      </w:tr>
      <w:tr w:rsidTr="001E3364" w:rsidR="001E3364">
        <w:trPr>
          <w:trHeight w:val="20"/>
        </w:trPr>
        <w:tc>
          <w:tcPr>
            <w:tcW w:type="pct" w:w="2930"/>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5. Ostali novčani izdaci od investicijskih aktivnosti</w:t>
            </w:r>
          </w:p>
        </w:tc>
        <w:tc>
          <w:tcPr>
            <w:tcW w:type="pct" w:w="502"/>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0</w:t>
            </w:r>
          </w:p>
        </w:tc>
        <w:tc>
          <w:tcPr>
            <w:tcW w:type="pct" w:w="502"/>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-6.450.577</w:t>
            </w:r>
          </w:p>
        </w:tc>
        <w:tc>
          <w:tcPr>
            <w:tcW w:type="pct" w:w="502"/>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0</w:t>
            </w:r>
          </w:p>
        </w:tc>
        <w:tc>
          <w:tcPr>
            <w:tcW w:type="pct" w:w="563"/>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0</w:t>
            </w:r>
          </w:p>
        </w:tc>
      </w:tr>
      <w:tr w:rsidTr="001E3364" w:rsidR="001E3364">
        <w:trPr>
          <w:trHeight w:val="20"/>
        </w:trPr>
        <w:tc>
          <w:tcPr>
            <w:tcW w:type="pct" w:w="2930"/>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b/>
                <w:bCs/>
                <w:sz w:val="16"/>
                <w:szCs w:val="16"/>
                <w:lang w:eastAsia="hr-HR"/>
              </w:rPr>
            </w:pPr>
            <w:r>
              <w:rPr>
                <w:rFonts w:cs="Arial" w:eastAsia="Times New Roman" w:hAnsi="Arial" w:ascii="Arial"/>
                <w:b/>
                <w:bCs/>
                <w:sz w:val="16"/>
                <w:szCs w:val="16"/>
                <w:lang w:eastAsia="hr-HR"/>
              </w:rPr>
              <w:t>IV. Ukupno novčani izdaci od investicijskih aktivnosti</w:t>
            </w:r>
          </w:p>
        </w:tc>
        <w:tc>
          <w:tcPr>
            <w:tcW w:type="pct" w:w="502"/>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-9.078.502</w:t>
            </w:r>
          </w:p>
        </w:tc>
        <w:tc>
          <w:tcPr>
            <w:tcW w:type="pct" w:w="502"/>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-19.062.568</w:t>
            </w:r>
          </w:p>
        </w:tc>
        <w:tc>
          <w:tcPr>
            <w:tcW w:type="pct" w:w="502"/>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-4.502.688</w:t>
            </w:r>
          </w:p>
        </w:tc>
        <w:tc>
          <w:tcPr>
            <w:tcW w:type="pct" w:w="563"/>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-320.365</w:t>
            </w:r>
          </w:p>
        </w:tc>
      </w:tr>
      <w:tr w:rsidTr="001E3364" w:rsidR="001E3364">
        <w:trPr>
          <w:trHeight w:val="20"/>
        </w:trPr>
        <w:tc>
          <w:tcPr>
            <w:tcW w:type="pct" w:w="2930"/>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Arial" w:eastAsia="Times New Roman" w:hAnsi="Arial" w:ascii="Arial"/>
                <w:b/>
                <w:bCs/>
                <w:color w:val="000080"/>
                <w:sz w:val="16"/>
                <w:szCs w:val="16"/>
                <w:lang w:eastAsia="hr-HR"/>
              </w:rPr>
            </w:pPr>
            <w:r>
              <w:rPr>
                <w:rFonts w:cs="Arial" w:eastAsia="Times New Roman" w:hAnsi="Arial" w:ascii="Arial"/>
                <w:b/>
                <w:bCs/>
                <w:color w:val="000080"/>
                <w:sz w:val="16"/>
                <w:szCs w:val="16"/>
                <w:lang w:eastAsia="hr-HR"/>
              </w:rPr>
              <w:t xml:space="preserve">B) NETO NOVČANI TOKOVI OD INVESTICIJSKIH AKTIVNOSTI </w:t>
            </w:r>
          </w:p>
        </w:tc>
        <w:tc>
          <w:tcPr>
            <w:tcW w:type="pct" w:w="502"/>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-8.988.948</w:t>
            </w:r>
          </w:p>
        </w:tc>
        <w:tc>
          <w:tcPr>
            <w:tcW w:type="pct" w:w="502"/>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17.202.505</w:t>
            </w:r>
          </w:p>
        </w:tc>
        <w:tc>
          <w:tcPr>
            <w:tcW w:type="pct" w:w="502"/>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-2.853.574</w:t>
            </w:r>
          </w:p>
        </w:tc>
        <w:tc>
          <w:tcPr>
            <w:tcW w:type="pct" w:w="563"/>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-96.354</w:t>
            </w:r>
          </w:p>
        </w:tc>
      </w:tr>
      <w:tr w:rsidTr="001E3364" w:rsidR="001E3364">
        <w:trPr>
          <w:trHeight w:val="20"/>
        </w:trPr>
        <w:tc>
          <w:tcPr>
            <w:tcW w:type="pct" w:w="2930"/>
            <w:tcBorders>
              <w:top w:val="nil"/>
              <w:left w:space="0" w:sz="4" w:color="auto" w:val="single"/>
              <w:bottom w:val="nil"/>
              <w:right w:val="nil"/>
            </w:tcBorders>
            <w:shd w:fill="auto" w:color="C0C0C0" w:val="pct50"/>
            <w:noWrap/>
            <w:vAlign w:val="center"/>
            <w:hideMark/>
          </w:tcPr>
          <w:p w:rsidRDefault="001E3364" w:rsidR="001E3364">
            <w:pPr>
              <w:spacing w:lineRule="auto" w:line="240" w:after="0"/>
              <w:rPr>
                <w:rFonts w:cs="Arial" w:eastAsia="Times New Roman" w:hAnsi="Arial" w:ascii="Arial"/>
                <w:b/>
                <w:bCs/>
                <w:color w:val="000080"/>
                <w:sz w:val="16"/>
                <w:szCs w:val="16"/>
                <w:lang w:eastAsia="hr-HR"/>
              </w:rPr>
            </w:pPr>
            <w:r>
              <w:rPr>
                <w:rFonts w:cs="Arial" w:eastAsia="Times New Roman" w:hAnsi="Arial" w:ascii="Arial"/>
                <w:b/>
                <w:bCs/>
                <w:color w:val="000080"/>
                <w:sz w:val="16"/>
                <w:szCs w:val="16"/>
                <w:lang w:eastAsia="hr-HR"/>
              </w:rPr>
              <w:t>Novčani tokovi od financijskih aktivnosti</w:t>
            </w:r>
          </w:p>
        </w:tc>
        <w:tc>
          <w:tcPr>
            <w:tcW w:type="pct" w:w="502"/>
            <w:tcBorders>
              <w:top w:space="0" w:sz="4" w:color="auto" w:val="single"/>
              <w:left w:val="nil"/>
              <w:bottom w:val="nil"/>
              <w:right w:val="nil"/>
            </w:tcBorders>
            <w:shd w:fill="auto" w:color="C0C0C0" w:val="pct50"/>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02"/>
            <w:tcBorders>
              <w:top w:space="0" w:sz="4" w:color="auto" w:val="single"/>
              <w:left w:val="nil"/>
              <w:bottom w:val="nil"/>
              <w:right w:val="nil"/>
            </w:tcBorders>
            <w:shd w:fill="auto" w:color="C0C0C0" w:val="pct50"/>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02"/>
            <w:tcBorders>
              <w:top w:space="0" w:sz="4" w:color="auto" w:val="single"/>
              <w:left w:val="nil"/>
              <w:bottom w:val="nil"/>
              <w:right w:val="nil"/>
            </w:tcBorders>
            <w:shd w:fill="auto" w:color="C0C0C0" w:val="pct50"/>
            <w:noWrap/>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w:t>
            </w:r>
          </w:p>
        </w:tc>
        <w:tc>
          <w:tcPr>
            <w:tcW w:type="pct" w:w="563"/>
            <w:tcBorders>
              <w:top w:space="0" w:sz="4" w:color="auto" w:val="single"/>
              <w:left w:val="nil"/>
              <w:bottom w:val="nil"/>
              <w:right w:val="nil"/>
            </w:tcBorders>
            <w:shd w:fill="auto" w:color="C0C0C0" w:val="pct50"/>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 </w:t>
            </w:r>
          </w:p>
        </w:tc>
      </w:tr>
      <w:tr w:rsidTr="001E3364" w:rsidR="001E3364">
        <w:trPr>
          <w:trHeight w:val="20"/>
        </w:trPr>
        <w:tc>
          <w:tcPr>
            <w:tcW w:type="pct" w:w="2930"/>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1. Novčani primici od povećanja temeljnog (upisanog) kapitala</w:t>
            </w:r>
          </w:p>
        </w:tc>
        <w:tc>
          <w:tcPr>
            <w:tcW w:type="pct" w:w="502"/>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1.961.061</w:t>
            </w:r>
          </w:p>
        </w:tc>
        <w:tc>
          <w:tcPr>
            <w:tcW w:type="pct" w:w="502"/>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0</w:t>
            </w:r>
          </w:p>
        </w:tc>
        <w:tc>
          <w:tcPr>
            <w:tcW w:type="pct" w:w="502"/>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0</w:t>
            </w:r>
          </w:p>
        </w:tc>
        <w:tc>
          <w:tcPr>
            <w:tcW w:type="pct" w:w="563"/>
            <w:tcBorders>
              <w:top w:space="0" w:sz="4" w:color="auto" w:val="single"/>
              <w:left w:val="nil"/>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0</w:t>
            </w:r>
          </w:p>
        </w:tc>
      </w:tr>
      <w:tr w:rsidTr="001E3364" w:rsidR="001E3364">
        <w:trPr>
          <w:trHeight w:val="20"/>
        </w:trPr>
        <w:tc>
          <w:tcPr>
            <w:tcW w:type="pct" w:w="2930"/>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2. Novčani primici od izdavanja vlasničkih i dužničkih financijskih instrumenata</w:t>
            </w:r>
          </w:p>
        </w:tc>
        <w:tc>
          <w:tcPr>
            <w:tcW w:type="pct" w:w="502"/>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w:t>
            </w:r>
          </w:p>
        </w:tc>
        <w:tc>
          <w:tcPr>
            <w:tcW w:type="pct" w:w="502"/>
            <w:tcBorders>
              <w:top w:val="nil"/>
              <w:left w:val="nil"/>
              <w:bottom w:space="0" w:sz="4" w:color="auto" w:val="single"/>
              <w:right w:space="0" w:sz="4" w:color="auto" w:val="single"/>
            </w:tcBorders>
            <w:noWrap/>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w:t>
            </w:r>
          </w:p>
        </w:tc>
        <w:tc>
          <w:tcPr>
            <w:tcW w:type="pct" w:w="502"/>
            <w:tcBorders>
              <w:top w:val="nil"/>
              <w:left w:val="nil"/>
              <w:bottom w:space="0" w:sz="4" w:color="auto" w:val="single"/>
              <w:right w:space="0" w:sz="4" w:color="auto" w:val="single"/>
            </w:tcBorders>
            <w:noWrap/>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w:t>
            </w:r>
          </w:p>
        </w:tc>
        <w:tc>
          <w:tcPr>
            <w:tcW w:type="pct" w:w="563"/>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 </w:t>
            </w:r>
          </w:p>
        </w:tc>
      </w:tr>
      <w:tr w:rsidTr="001E3364" w:rsidR="001E3364">
        <w:trPr>
          <w:trHeight w:val="20"/>
        </w:trPr>
        <w:tc>
          <w:tcPr>
            <w:tcW w:type="pct" w:w="2930"/>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3. Novčani primici od glavnice kredita, pozajmica i drugih posudbi</w:t>
            </w:r>
          </w:p>
        </w:tc>
        <w:tc>
          <w:tcPr>
            <w:tcW w:type="pct" w:w="502"/>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7.877.872</w:t>
            </w:r>
          </w:p>
        </w:tc>
        <w:tc>
          <w:tcPr>
            <w:tcW w:type="pct" w:w="502"/>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43.594.376</w:t>
            </w:r>
          </w:p>
        </w:tc>
        <w:tc>
          <w:tcPr>
            <w:tcW w:type="pct" w:w="502"/>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7.780.965</w:t>
            </w:r>
          </w:p>
        </w:tc>
        <w:tc>
          <w:tcPr>
            <w:tcW w:type="pct" w:w="563"/>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5.476.640</w:t>
            </w:r>
          </w:p>
        </w:tc>
      </w:tr>
      <w:tr w:rsidTr="001E3364" w:rsidR="001E3364">
        <w:trPr>
          <w:trHeight w:val="20"/>
        </w:trPr>
        <w:tc>
          <w:tcPr>
            <w:tcW w:type="pct" w:w="2930"/>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4. Ostali novčani primici od financijskih aktivnosti</w:t>
            </w:r>
          </w:p>
        </w:tc>
        <w:tc>
          <w:tcPr>
            <w:tcW w:type="pct" w:w="502"/>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0</w:t>
            </w:r>
          </w:p>
        </w:tc>
        <w:tc>
          <w:tcPr>
            <w:tcW w:type="pct" w:w="502"/>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0</w:t>
            </w:r>
          </w:p>
        </w:tc>
        <w:tc>
          <w:tcPr>
            <w:tcW w:type="pct" w:w="502"/>
            <w:tcBorders>
              <w:top w:val="nil"/>
              <w:left w:val="nil"/>
              <w:bottom w:space="0" w:sz="4" w:color="auto" w:val="single"/>
              <w:right w:space="0" w:sz="4" w:color="auto" w:val="single"/>
            </w:tcBorders>
            <w:noWrap/>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w:t>
            </w:r>
          </w:p>
        </w:tc>
        <w:tc>
          <w:tcPr>
            <w:tcW w:type="pct" w:w="563"/>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 </w:t>
            </w:r>
          </w:p>
        </w:tc>
      </w:tr>
      <w:tr w:rsidTr="001E3364" w:rsidR="001E3364">
        <w:trPr>
          <w:trHeight w:val="20"/>
        </w:trPr>
        <w:tc>
          <w:tcPr>
            <w:tcW w:type="pct" w:w="2930"/>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b/>
                <w:bCs/>
                <w:sz w:val="16"/>
                <w:szCs w:val="16"/>
                <w:lang w:eastAsia="hr-HR"/>
              </w:rPr>
            </w:pPr>
            <w:r>
              <w:rPr>
                <w:rFonts w:cs="Arial" w:eastAsia="Times New Roman" w:hAnsi="Arial" w:ascii="Arial"/>
                <w:b/>
                <w:bCs/>
                <w:sz w:val="16"/>
                <w:szCs w:val="16"/>
                <w:lang w:eastAsia="hr-HR"/>
              </w:rPr>
              <w:t>V. Ukupno novčani primici od financijskih aktivnosti</w:t>
            </w:r>
          </w:p>
        </w:tc>
        <w:tc>
          <w:tcPr>
            <w:tcW w:type="pct" w:w="502"/>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9.838.933</w:t>
            </w:r>
          </w:p>
        </w:tc>
        <w:tc>
          <w:tcPr>
            <w:tcW w:type="pct" w:w="502"/>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43.594.376</w:t>
            </w:r>
          </w:p>
        </w:tc>
        <w:tc>
          <w:tcPr>
            <w:tcW w:type="pct" w:w="502"/>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7.780.965</w:t>
            </w:r>
          </w:p>
        </w:tc>
        <w:tc>
          <w:tcPr>
            <w:tcW w:type="pct" w:w="563"/>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5.476.640</w:t>
            </w:r>
          </w:p>
        </w:tc>
      </w:tr>
      <w:tr w:rsidTr="001E3364" w:rsidR="001E3364">
        <w:trPr>
          <w:trHeight w:val="20"/>
        </w:trPr>
        <w:tc>
          <w:tcPr>
            <w:tcW w:type="pct" w:w="2930"/>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1. Novčani izdaci za otplatu glavnice kredita, pozajmica i drugih posudbi i dužničkih financijskih instrumenata</w:t>
            </w:r>
          </w:p>
        </w:tc>
        <w:tc>
          <w:tcPr>
            <w:tcW w:type="pct" w:w="502"/>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-5.422.110</w:t>
            </w:r>
          </w:p>
        </w:tc>
        <w:tc>
          <w:tcPr>
            <w:tcW w:type="pct" w:w="502"/>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-51.672.637</w:t>
            </w:r>
          </w:p>
        </w:tc>
        <w:tc>
          <w:tcPr>
            <w:tcW w:type="pct" w:w="502"/>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-8.467.907</w:t>
            </w:r>
          </w:p>
        </w:tc>
        <w:tc>
          <w:tcPr>
            <w:tcW w:type="pct" w:w="563"/>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-3.571.948</w:t>
            </w:r>
          </w:p>
        </w:tc>
      </w:tr>
      <w:tr w:rsidTr="001E3364" w:rsidR="001E3364">
        <w:trPr>
          <w:trHeight w:val="20"/>
        </w:trPr>
        <w:tc>
          <w:tcPr>
            <w:tcW w:type="pct" w:w="2930"/>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2. Novčani izdaci za isplatu dividendi</w:t>
            </w:r>
          </w:p>
        </w:tc>
        <w:tc>
          <w:tcPr>
            <w:tcW w:type="pct" w:w="502"/>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w:t>
            </w:r>
          </w:p>
        </w:tc>
        <w:tc>
          <w:tcPr>
            <w:tcW w:type="pct" w:w="502"/>
            <w:tcBorders>
              <w:top w:val="nil"/>
              <w:left w:val="nil"/>
              <w:bottom w:space="0" w:sz="4" w:color="auto" w:val="single"/>
              <w:right w:space="0" w:sz="4" w:color="auto" w:val="single"/>
            </w:tcBorders>
            <w:noWrap/>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w:t>
            </w:r>
          </w:p>
        </w:tc>
        <w:tc>
          <w:tcPr>
            <w:tcW w:type="pct" w:w="502"/>
            <w:tcBorders>
              <w:top w:val="nil"/>
              <w:left w:val="nil"/>
              <w:bottom w:space="0" w:sz="4" w:color="auto" w:val="single"/>
              <w:right w:space="0" w:sz="4" w:color="auto" w:val="single"/>
            </w:tcBorders>
            <w:noWrap/>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w:t>
            </w:r>
          </w:p>
        </w:tc>
        <w:tc>
          <w:tcPr>
            <w:tcW w:type="pct" w:w="563"/>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 </w:t>
            </w:r>
          </w:p>
        </w:tc>
      </w:tr>
      <w:tr w:rsidTr="001E3364" w:rsidR="001E3364">
        <w:trPr>
          <w:trHeight w:val="20"/>
        </w:trPr>
        <w:tc>
          <w:tcPr>
            <w:tcW w:type="pct" w:w="2930"/>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3. Novčani izdaci za financijski najam </w:t>
            </w:r>
          </w:p>
        </w:tc>
        <w:tc>
          <w:tcPr>
            <w:tcW w:type="pct" w:w="502"/>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-350.371</w:t>
            </w:r>
          </w:p>
        </w:tc>
        <w:tc>
          <w:tcPr>
            <w:tcW w:type="pct" w:w="502"/>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-1.867.461</w:t>
            </w:r>
          </w:p>
        </w:tc>
        <w:tc>
          <w:tcPr>
            <w:tcW w:type="pct" w:w="502"/>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-981.648</w:t>
            </w:r>
          </w:p>
        </w:tc>
        <w:tc>
          <w:tcPr>
            <w:tcW w:type="pct" w:w="563"/>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-605.730</w:t>
            </w:r>
          </w:p>
        </w:tc>
      </w:tr>
      <w:tr w:rsidTr="001E3364" w:rsidR="001E3364">
        <w:trPr>
          <w:trHeight w:val="20"/>
        </w:trPr>
        <w:tc>
          <w:tcPr>
            <w:tcW w:type="pct" w:w="2930"/>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4. Novčani izdaci za otkup vlastitih dionica i smanjenje temeljnog (upisanog) kapitala</w:t>
            </w:r>
          </w:p>
        </w:tc>
        <w:tc>
          <w:tcPr>
            <w:tcW w:type="pct" w:w="502"/>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w:t>
            </w:r>
          </w:p>
        </w:tc>
        <w:tc>
          <w:tcPr>
            <w:tcW w:type="pct" w:w="502"/>
            <w:tcBorders>
              <w:top w:val="nil"/>
              <w:left w:val="nil"/>
              <w:bottom w:space="0" w:sz="4" w:color="auto" w:val="single"/>
              <w:right w:space="0" w:sz="4" w:color="auto" w:val="single"/>
            </w:tcBorders>
            <w:noWrap/>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w:t>
            </w:r>
          </w:p>
        </w:tc>
        <w:tc>
          <w:tcPr>
            <w:tcW w:type="pct" w:w="502"/>
            <w:tcBorders>
              <w:top w:val="nil"/>
              <w:left w:val="nil"/>
              <w:bottom w:space="0" w:sz="4" w:color="auto" w:val="single"/>
              <w:right w:space="0" w:sz="4" w:color="auto" w:val="single"/>
            </w:tcBorders>
            <w:noWrap/>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w:t>
            </w:r>
          </w:p>
        </w:tc>
        <w:tc>
          <w:tcPr>
            <w:tcW w:type="pct" w:w="563"/>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 </w:t>
            </w:r>
          </w:p>
        </w:tc>
      </w:tr>
      <w:tr w:rsidTr="001E3364" w:rsidR="001E3364">
        <w:trPr>
          <w:trHeight w:val="20"/>
        </w:trPr>
        <w:tc>
          <w:tcPr>
            <w:tcW w:type="pct" w:w="2930"/>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5. Ostali novčani izdaci od financijskih aktivnosti</w:t>
            </w:r>
          </w:p>
        </w:tc>
        <w:tc>
          <w:tcPr>
            <w:tcW w:type="pct" w:w="502"/>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0</w:t>
            </w:r>
          </w:p>
        </w:tc>
        <w:tc>
          <w:tcPr>
            <w:tcW w:type="pct" w:w="502"/>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-273.570</w:t>
            </w:r>
          </w:p>
        </w:tc>
        <w:tc>
          <w:tcPr>
            <w:tcW w:type="pct" w:w="502"/>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-6.643.269</w:t>
            </w:r>
          </w:p>
        </w:tc>
        <w:tc>
          <w:tcPr>
            <w:tcW w:type="pct" w:w="563"/>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-45.322</w:t>
            </w:r>
          </w:p>
        </w:tc>
      </w:tr>
      <w:tr w:rsidTr="001E3364" w:rsidR="001E3364">
        <w:trPr>
          <w:trHeight w:val="20"/>
        </w:trPr>
        <w:tc>
          <w:tcPr>
            <w:tcW w:type="pct" w:w="2930"/>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b/>
                <w:bCs/>
                <w:sz w:val="16"/>
                <w:szCs w:val="16"/>
                <w:lang w:eastAsia="hr-HR"/>
              </w:rPr>
            </w:pPr>
            <w:r>
              <w:rPr>
                <w:rFonts w:cs="Arial" w:eastAsia="Times New Roman" w:hAnsi="Arial" w:ascii="Arial"/>
                <w:b/>
                <w:bCs/>
                <w:sz w:val="16"/>
                <w:szCs w:val="16"/>
                <w:lang w:eastAsia="hr-HR"/>
              </w:rPr>
              <w:t>VI. Ukupno novčani izdaci od financijskih aktivnosti</w:t>
            </w:r>
          </w:p>
        </w:tc>
        <w:tc>
          <w:tcPr>
            <w:tcW w:type="pct" w:w="502"/>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-5.772.481</w:t>
            </w:r>
          </w:p>
        </w:tc>
        <w:tc>
          <w:tcPr>
            <w:tcW w:type="pct" w:w="502"/>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-53.813.668</w:t>
            </w:r>
          </w:p>
        </w:tc>
        <w:tc>
          <w:tcPr>
            <w:tcW w:type="pct" w:w="502"/>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-16.092.824</w:t>
            </w:r>
          </w:p>
        </w:tc>
        <w:tc>
          <w:tcPr>
            <w:tcW w:type="pct" w:w="563"/>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-4.223.000</w:t>
            </w:r>
          </w:p>
        </w:tc>
      </w:tr>
      <w:tr w:rsidTr="001E3364" w:rsidR="001E3364">
        <w:trPr>
          <w:trHeight w:val="20"/>
        </w:trPr>
        <w:tc>
          <w:tcPr>
            <w:tcW w:type="pct" w:w="2930"/>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b/>
                <w:bCs/>
                <w:color w:val="000080"/>
                <w:sz w:val="16"/>
                <w:szCs w:val="16"/>
                <w:lang w:eastAsia="hr-HR"/>
              </w:rPr>
            </w:pPr>
            <w:r>
              <w:rPr>
                <w:rFonts w:cs="Arial" w:eastAsia="Times New Roman" w:hAnsi="Arial" w:ascii="Arial"/>
                <w:b/>
                <w:bCs/>
                <w:color w:val="000080"/>
                <w:sz w:val="16"/>
                <w:szCs w:val="16"/>
                <w:lang w:eastAsia="hr-HR"/>
              </w:rPr>
              <w:t>C) NETO NOVČANI TOKOVI OD FINANCIJSKIH AKTIVNOSTI</w:t>
            </w:r>
          </w:p>
        </w:tc>
        <w:tc>
          <w:tcPr>
            <w:tcW w:type="pct" w:w="502"/>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4.066.452</w:t>
            </w:r>
          </w:p>
        </w:tc>
        <w:tc>
          <w:tcPr>
            <w:tcW w:type="pct" w:w="502"/>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-10.219.292</w:t>
            </w:r>
          </w:p>
        </w:tc>
        <w:tc>
          <w:tcPr>
            <w:tcW w:type="pct" w:w="502"/>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-8.311.859</w:t>
            </w:r>
          </w:p>
        </w:tc>
        <w:tc>
          <w:tcPr>
            <w:tcW w:type="pct" w:w="563"/>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1.253.640</w:t>
            </w:r>
          </w:p>
        </w:tc>
      </w:tr>
      <w:tr w:rsidTr="001E3364" w:rsidR="001E3364">
        <w:trPr>
          <w:trHeight w:val="20"/>
        </w:trPr>
        <w:tc>
          <w:tcPr>
            <w:tcW w:type="pct" w:w="2930"/>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1. Nerealizirane tečajne razlike po novcu i novčanim ekvivalentima</w:t>
            </w:r>
          </w:p>
        </w:tc>
        <w:tc>
          <w:tcPr>
            <w:tcW w:type="pct" w:w="502"/>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w:t>
            </w:r>
          </w:p>
        </w:tc>
        <w:tc>
          <w:tcPr>
            <w:tcW w:type="pct" w:w="502"/>
            <w:tcBorders>
              <w:top w:val="nil"/>
              <w:left w:val="nil"/>
              <w:bottom w:space="0" w:sz="4" w:color="auto" w:val="single"/>
              <w:right w:space="0" w:sz="4" w:color="auto" w:val="single"/>
            </w:tcBorders>
            <w:noWrap/>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w:t>
            </w:r>
          </w:p>
        </w:tc>
        <w:tc>
          <w:tcPr>
            <w:tcW w:type="pct" w:w="502"/>
            <w:tcBorders>
              <w:top w:val="nil"/>
              <w:left w:val="nil"/>
              <w:bottom w:space="0" w:sz="4" w:color="auto" w:val="single"/>
              <w:right w:space="0" w:sz="4" w:color="auto" w:val="single"/>
            </w:tcBorders>
            <w:noWrap/>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w:t>
            </w:r>
          </w:p>
        </w:tc>
        <w:tc>
          <w:tcPr>
            <w:tcW w:type="pct" w:w="563"/>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 </w:t>
            </w:r>
          </w:p>
        </w:tc>
      </w:tr>
      <w:tr w:rsidTr="001E3364" w:rsidR="001E3364">
        <w:trPr>
          <w:trHeight w:val="20"/>
        </w:trPr>
        <w:tc>
          <w:tcPr>
            <w:tcW w:type="pct" w:w="2930"/>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b/>
                <w:bCs/>
                <w:color w:val="000080"/>
                <w:sz w:val="16"/>
                <w:szCs w:val="16"/>
                <w:lang w:eastAsia="hr-HR"/>
              </w:rPr>
            </w:pPr>
            <w:r>
              <w:rPr>
                <w:rFonts w:cs="Arial" w:eastAsia="Times New Roman" w:hAnsi="Arial" w:ascii="Arial"/>
                <w:b/>
                <w:bCs/>
                <w:color w:val="000080"/>
                <w:sz w:val="16"/>
                <w:szCs w:val="16"/>
                <w:lang w:eastAsia="hr-HR"/>
              </w:rPr>
              <w:t>D) NETO POVEĆANJE ILI SMANJENJE NOVČANNIH TOKOVA</w:t>
            </w:r>
          </w:p>
        </w:tc>
        <w:tc>
          <w:tcPr>
            <w:tcW w:type="pct" w:w="502"/>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350.150</w:t>
            </w:r>
          </w:p>
        </w:tc>
        <w:tc>
          <w:tcPr>
            <w:tcW w:type="pct" w:w="502"/>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430.602</w:t>
            </w:r>
          </w:p>
        </w:tc>
        <w:tc>
          <w:tcPr>
            <w:tcW w:type="pct" w:w="502"/>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-1.891.706</w:t>
            </w:r>
          </w:p>
        </w:tc>
        <w:tc>
          <w:tcPr>
            <w:tcW w:type="pct" w:w="563"/>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-88.080</w:t>
            </w:r>
          </w:p>
        </w:tc>
      </w:tr>
      <w:tr w:rsidTr="001E3364" w:rsidR="001E3364">
        <w:trPr>
          <w:trHeight w:val="20"/>
        </w:trPr>
        <w:tc>
          <w:tcPr>
            <w:tcW w:type="pct" w:w="2930"/>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b/>
                <w:bCs/>
                <w:color w:val="000080"/>
                <w:sz w:val="16"/>
                <w:szCs w:val="16"/>
                <w:lang w:eastAsia="hr-HR"/>
              </w:rPr>
            </w:pPr>
            <w:r>
              <w:rPr>
                <w:rFonts w:cs="Arial" w:eastAsia="Times New Roman" w:hAnsi="Arial" w:ascii="Arial"/>
                <w:b/>
                <w:bCs/>
                <w:color w:val="000080"/>
                <w:sz w:val="16"/>
                <w:szCs w:val="16"/>
                <w:lang w:eastAsia="hr-HR"/>
              </w:rPr>
              <w:t>E) NOVAC I NOVČANI EKVIVALENTI NA POČETKU RAZDOBLJA</w:t>
            </w:r>
          </w:p>
        </w:tc>
        <w:tc>
          <w:tcPr>
            <w:tcW w:type="pct" w:w="502"/>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1.238.633</w:t>
            </w:r>
          </w:p>
        </w:tc>
        <w:tc>
          <w:tcPr>
            <w:tcW w:type="pct" w:w="502"/>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1.588.783</w:t>
            </w:r>
          </w:p>
        </w:tc>
        <w:tc>
          <w:tcPr>
            <w:tcW w:type="pct" w:w="502"/>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2.019.385</w:t>
            </w:r>
          </w:p>
        </w:tc>
        <w:tc>
          <w:tcPr>
            <w:tcW w:type="pct" w:w="563"/>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127.679</w:t>
            </w:r>
          </w:p>
        </w:tc>
      </w:tr>
      <w:tr w:rsidTr="001E3364" w:rsidR="001E3364">
        <w:trPr>
          <w:trHeight w:val="20"/>
        </w:trPr>
        <w:tc>
          <w:tcPr>
            <w:tcW w:type="pct" w:w="2930"/>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Arial" w:eastAsia="Times New Roman" w:hAnsi="Arial" w:ascii="Arial"/>
                <w:b/>
                <w:bCs/>
                <w:color w:val="000080"/>
                <w:sz w:val="16"/>
                <w:szCs w:val="16"/>
                <w:lang w:eastAsia="hr-HR"/>
              </w:rPr>
            </w:pPr>
            <w:r>
              <w:rPr>
                <w:rFonts w:cs="Arial" w:eastAsia="Times New Roman" w:hAnsi="Arial" w:ascii="Arial"/>
                <w:b/>
                <w:bCs/>
                <w:color w:val="000080"/>
                <w:sz w:val="16"/>
                <w:szCs w:val="16"/>
                <w:lang w:eastAsia="hr-HR"/>
              </w:rPr>
              <w:t>F) NOVAC I NOVČANI EKVIVALENTI NA KRAJU RAZDOBLJA</w:t>
            </w:r>
          </w:p>
        </w:tc>
        <w:tc>
          <w:tcPr>
            <w:tcW w:type="pct" w:w="502"/>
            <w:tcBorders>
              <w:top w:val="nil"/>
              <w:left w:space="0" w:sz="4" w:color="auto" w:val="single"/>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1.588.783</w:t>
            </w:r>
          </w:p>
        </w:tc>
        <w:tc>
          <w:tcPr>
            <w:tcW w:type="pct" w:w="502"/>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2.019.385</w:t>
            </w:r>
          </w:p>
        </w:tc>
        <w:tc>
          <w:tcPr>
            <w:tcW w:type="pct" w:w="502"/>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127.679</w:t>
            </w:r>
          </w:p>
        </w:tc>
        <w:tc>
          <w:tcPr>
            <w:tcW w:type="pct" w:w="563"/>
            <w:tcBorders>
              <w:top w:val="nil"/>
              <w:left w:val="nil"/>
              <w:bottom w:space="0" w:sz="4" w:color="auto" w:val="single"/>
              <w:right w:space="0" w:sz="4" w:color="auto" w:val="single"/>
            </w:tcBorders>
            <w:noWrap/>
            <w:vAlign w:val="center"/>
            <w:hideMark/>
          </w:tcPr>
          <w:p w:rsidRDefault="001E3364" w:rsidR="001E3364">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39.599</w:t>
            </w:r>
          </w:p>
        </w:tc>
      </w:tr>
    </w:tbl>
    <w:p w:rsidRDefault="001E3364" w:rsidP="001E3364" w:rsidR="001E3364">
      <w:pPr>
        <w:jc w:val="both"/>
        <w:rPr>
          <w:b/>
          <w:sz w:val="24"/>
          <w:szCs w:val="24"/>
        </w:rPr>
      </w:pPr>
    </w:p>
    <w:p w:rsidRDefault="001E3364" w:rsidP="001E3364" w:rsidR="001E3364">
      <w:pPr>
        <w:rPr>
          <w:b/>
          <w:sz w:val="24"/>
          <w:szCs w:val="24"/>
        </w:rPr>
      </w:pPr>
      <w:r>
        <w:rPr>
          <w:b/>
          <w:sz w:val="24"/>
          <w:szCs w:val="24"/>
        </w:rPr>
        <w:br w:type="page"/>
      </w:r>
    </w:p>
    <w:p w:rsidRDefault="001E3364" w:rsidP="001E3364" w:rsidR="001E3364">
      <w:pPr>
        <w:pStyle w:val="Naslov2"/>
        <w:rPr>
          <w:rFonts w:hAnsiTheme="minorHAnsi" w:asciiTheme="minorHAnsi"/>
        </w:rPr>
      </w:pPr>
      <w:bookmarkStart w:name="_Toc521023686" w:id="7"/>
      <w:r>
        <w:rPr>
          <w:rFonts w:hAnsiTheme="minorHAnsi" w:asciiTheme="minorHAnsi"/>
        </w:rPr>
        <w:lastRenderedPageBreak/>
        <w:t>Analiza aktualnog financijskog stanja</w:t>
      </w:r>
      <w:bookmarkEnd w:id="7"/>
    </w:p>
    <w:p w:rsidRDefault="001E3364" w:rsidP="001E3364" w:rsidR="001E3364">
      <w:pPr>
        <w:jc w:val="both"/>
        <w:rPr>
          <w:sz w:val="24"/>
          <w:szCs w:val="24"/>
        </w:rPr>
      </w:pPr>
      <w:r>
        <w:rPr>
          <w:sz w:val="24"/>
          <w:szCs w:val="24"/>
        </w:rPr>
        <w:t>Aktualno financijsko stanje Društva karakteriziraju značajni problemi s likvidnošću s obzirom na značajan pad aktivnosti na tržištu u proteklom periodu i nemogućnosti nastavka s proizvodnjom i poslovanjem u punom opsegu. Poteškoće u financijskom položaju u bitnome se očituju u sljedećem:</w:t>
      </w:r>
    </w:p>
    <w:p w:rsidRDefault="001E3364" w:rsidP="001E3364" w:rsidR="001E3364">
      <w:pPr>
        <w:pStyle w:val="Odlomakpopisa"/>
        <w:numPr>
          <w:ilvl w:val="0"/>
          <w:numId w:val="8"/>
        </w:numPr>
        <w:jc w:val="both"/>
        <w:rPr>
          <w:sz w:val="24"/>
          <w:szCs w:val="24"/>
        </w:rPr>
      </w:pPr>
      <w:r>
        <w:rPr>
          <w:sz w:val="24"/>
          <w:szCs w:val="24"/>
        </w:rPr>
        <w:t>Društvo nije u mogućnosti servisirati svoje dospjele obveze prema vjerovnicima, ali niti nedospjele bez značajnog financijskog restrukturiranja i nastavka proizvodnje, prodaje i distribucije proizvoda.</w:t>
      </w:r>
    </w:p>
    <w:p w:rsidRDefault="001E3364" w:rsidP="001E3364" w:rsidR="001E3364">
      <w:pPr>
        <w:jc w:val="both"/>
        <w:rPr>
          <w:sz w:val="24"/>
          <w:szCs w:val="24"/>
        </w:rPr>
      </w:pPr>
      <w:r>
        <w:rPr>
          <w:sz w:val="24"/>
          <w:szCs w:val="24"/>
        </w:rPr>
        <w:t>Iako financijski pokazatelji poslovanja Društva na dan 06. srpnja 2018., te i na dan prijave za predstečajni postupak ukazuju na prezaduženost jer je imovina Društva koja je raspoloživa za unovčavanje manja od dospjelih obveza.</w:t>
      </w:r>
    </w:p>
    <w:p w:rsidRDefault="001E3364" w:rsidP="001E3364" w:rsidR="001E3364">
      <w:pPr>
        <w:jc w:val="both"/>
        <w:rPr>
          <w:b/>
          <w:sz w:val="24"/>
          <w:szCs w:val="24"/>
          <w:u w:val="single"/>
        </w:rPr>
      </w:pPr>
      <w:r>
        <w:rPr>
          <w:b/>
          <w:sz w:val="24"/>
          <w:szCs w:val="24"/>
          <w:u w:val="single"/>
        </w:rPr>
        <w:t>Prema okolnostima u slučaju prihvaćanja i provedbe ovog plana restrukturiranja u predstečajnom postupku osnovano se može pretpostaviti da će Društvo nastavljanjem poslovanja uredno ispunjavati svoje obveze po dospijeću.</w:t>
      </w:r>
    </w:p>
    <w:p w:rsidRDefault="001E3364" w:rsidP="001E3364" w:rsidR="001E3364">
      <w:pPr>
        <w:jc w:val="both"/>
        <w:rPr>
          <w:sz w:val="24"/>
          <w:szCs w:val="24"/>
          <w:highlight w:val="yellow"/>
        </w:rPr>
      </w:pPr>
    </w:p>
    <w:p w:rsidRDefault="001E3364" w:rsidP="001E3364" w:rsidR="001E3364">
      <w:pPr>
        <w:pStyle w:val="Naslov1"/>
        <w:numPr>
          <w:ilvl w:val="0"/>
          <w:numId w:val="2"/>
        </w:numPr>
        <w:rPr>
          <w:rFonts w:hAnsiTheme="minorHAnsi" w:asciiTheme="minorHAnsi"/>
          <w:sz w:val="24"/>
          <w:szCs w:val="24"/>
        </w:rPr>
      </w:pPr>
      <w:bookmarkStart w:name="_Toc521023687" w:id="8"/>
      <w:r>
        <w:rPr>
          <w:rFonts w:hAnsiTheme="minorHAnsi" w:asciiTheme="minorHAnsi"/>
          <w:sz w:val="24"/>
          <w:szCs w:val="24"/>
        </w:rPr>
        <w:lastRenderedPageBreak/>
        <w:t>Izračun manjka likvidnih sredstava na dan priloženih financijskih izvještaja, odnosno na 06. srpnja 2018. godine</w:t>
      </w:r>
      <w:bookmarkEnd w:id="8"/>
    </w:p>
    <w:p w:rsidRDefault="001E3364" w:rsidP="001E3364" w:rsidR="001E3364">
      <w:pPr>
        <w:jc w:val="both"/>
        <w:rPr>
          <w:sz w:val="24"/>
          <w:szCs w:val="24"/>
        </w:rPr>
      </w:pPr>
      <w:r>
        <w:rPr>
          <w:sz w:val="24"/>
          <w:szCs w:val="24"/>
        </w:rPr>
        <w:t>Likvidna sredstva Društva na 06. srpnja 2018. utvrđena su kako slijedi:</w:t>
      </w:r>
    </w:p>
    <w:tbl>
      <w:tblPr>
        <w:tblW w:type="dxa" w:w="9488"/>
        <w:tblLook w:val="04A0" w:noVBand="1" w:noHBand="0" w:lastColumn="0" w:firstColumn="1" w:lastRow="0" w:firstRow="1"/>
      </w:tblPr>
      <w:tblGrid>
        <w:gridCol w:w="7220"/>
        <w:gridCol w:w="1134"/>
        <w:gridCol w:w="1134"/>
      </w:tblGrid>
      <w:tr w:rsidTr="001E3364" w:rsidR="001E3364">
        <w:trPr>
          <w:trHeight w:val="240"/>
        </w:trPr>
        <w:tc>
          <w:tcPr>
            <w:tcW w:type="dxa" w:w="7220"/>
            <w:tcBorders>
              <w:top w:space="0" w:sz="8" w:color="95B3D7" w:val="single"/>
              <w:left w:space="0" w:sz="8" w:color="95B3D7" w:val="single"/>
              <w:bottom w:space="0" w:sz="8" w:color="95B3D7" w:val="single"/>
              <w:right w:space="0" w:sz="8" w:color="95B3D7" w:val="single"/>
            </w:tcBorders>
            <w:shd w:fill="95B3D7" w:color="auto" w:val="clear"/>
            <w:noWrap/>
            <w:vAlign w:val="center"/>
            <w:hideMark/>
          </w:tcPr>
          <w:p w:rsidRDefault="001E3364" w:rsidR="001E3364">
            <w:pPr>
              <w:spacing w:lineRule="auto" w:line="240" w:after="0"/>
              <w:rPr>
                <w:rFonts w:cs="Calibri" w:eastAsia="Times New Roman" w:hAnsi="Calibri" w:ascii="Calibri"/>
                <w:b/>
                <w:bCs/>
                <w:color w:val="000000"/>
                <w:sz w:val="18"/>
                <w:szCs w:val="18"/>
                <w:lang w:eastAsia="hr-HR"/>
              </w:rPr>
            </w:pPr>
            <w:r>
              <w:rPr>
                <w:rFonts w:cs="Calibri" w:eastAsia="Times New Roman" w:hAnsi="Calibri" w:ascii="Calibri"/>
                <w:b/>
                <w:bCs/>
                <w:color w:val="000000"/>
                <w:sz w:val="18"/>
                <w:szCs w:val="18"/>
                <w:lang w:eastAsia="hr-HR"/>
              </w:rPr>
              <w:t>u kn</w:t>
            </w:r>
          </w:p>
        </w:tc>
        <w:tc>
          <w:tcPr>
            <w:tcW w:type="dxa" w:w="1134"/>
            <w:tcBorders>
              <w:top w:space="0" w:sz="8" w:color="95B3D7" w:val="single"/>
              <w:left w:val="nil"/>
              <w:bottom w:space="0" w:sz="8" w:color="95B3D7" w:val="single"/>
              <w:right w:space="0" w:sz="8" w:color="95B3D7" w:val="single"/>
            </w:tcBorders>
            <w:shd w:fill="95B3D7" w:color="auto" w:val="clear"/>
            <w:noWrap/>
            <w:vAlign w:val="center"/>
            <w:hideMark/>
          </w:tcPr>
          <w:p w:rsidRDefault="001E3364" w:rsidR="001E3364">
            <w:pPr>
              <w:spacing w:lineRule="auto" w:line="240" w:after="0"/>
              <w:jc w:val="right"/>
              <w:rPr>
                <w:rFonts w:cs="Calibri" w:eastAsia="Times New Roman" w:hAnsi="Calibri" w:ascii="Calibri"/>
                <w:b/>
                <w:bCs/>
                <w:color w:val="000000"/>
                <w:sz w:val="18"/>
                <w:szCs w:val="18"/>
                <w:lang w:eastAsia="hr-HR"/>
              </w:rPr>
            </w:pPr>
            <w:r>
              <w:rPr>
                <w:rFonts w:cs="Calibri" w:eastAsia="Times New Roman" w:hAnsi="Calibri" w:ascii="Calibri"/>
                <w:b/>
                <w:bCs/>
                <w:color w:val="000000"/>
                <w:sz w:val="18"/>
                <w:szCs w:val="18"/>
                <w:lang w:eastAsia="hr-HR"/>
              </w:rPr>
              <w:t>6.7.2018</w:t>
            </w:r>
          </w:p>
        </w:tc>
        <w:tc>
          <w:tcPr>
            <w:tcW w:type="dxa" w:w="1134"/>
            <w:tcBorders>
              <w:top w:space="0" w:sz="8" w:color="95B3D7" w:val="single"/>
              <w:left w:val="nil"/>
              <w:bottom w:space="0" w:sz="8" w:color="95B3D7" w:val="single"/>
              <w:right w:space="0" w:sz="8" w:color="95B3D7" w:val="single"/>
            </w:tcBorders>
            <w:shd w:fill="95B3D7" w:color="auto" w:val="clear"/>
            <w:noWrap/>
            <w:vAlign w:val="center"/>
            <w:hideMark/>
          </w:tcPr>
          <w:p w:rsidRDefault="001E3364" w:rsidR="001E3364">
            <w:pPr>
              <w:spacing w:lineRule="auto" w:line="240" w:after="0"/>
              <w:jc w:val="right"/>
              <w:rPr>
                <w:rFonts w:cs="Calibri" w:eastAsia="Times New Roman" w:hAnsi="Calibri" w:ascii="Calibri"/>
                <w:b/>
                <w:bCs/>
                <w:i/>
                <w:iCs/>
                <w:color w:val="000000"/>
                <w:sz w:val="18"/>
                <w:szCs w:val="18"/>
                <w:lang w:eastAsia="hr-HR"/>
              </w:rPr>
            </w:pPr>
            <w:r>
              <w:rPr>
                <w:rFonts w:cs="Calibri" w:eastAsia="Times New Roman" w:hAnsi="Calibri" w:ascii="Calibri"/>
                <w:b/>
                <w:bCs/>
                <w:i/>
                <w:iCs/>
                <w:color w:val="000000"/>
                <w:sz w:val="18"/>
                <w:szCs w:val="18"/>
                <w:lang w:eastAsia="hr-HR"/>
              </w:rPr>
              <w:t>6.7.2018</w:t>
            </w:r>
          </w:p>
        </w:tc>
      </w:tr>
      <w:tr w:rsidTr="001E3364" w:rsidR="001E3364">
        <w:trPr>
          <w:trHeight w:val="240"/>
        </w:trPr>
        <w:tc>
          <w:tcPr>
            <w:tcW w:type="dxa" w:w="7220"/>
            <w:shd w:fill="95B3D7" w:color="auto" w:val="clear"/>
            <w:noWrap/>
            <w:vAlign w:val="center"/>
            <w:hideMark/>
          </w:tcPr>
          <w:p w:rsidRDefault="001E3364" w:rsidR="001E3364">
            <w:pPr>
              <w:spacing w:lineRule="auto" w:line="240" w:after="0"/>
              <w:rPr>
                <w:rFonts w:cs="Calibri" w:eastAsia="Times New Roman" w:hAnsi="Calibri" w:ascii="Calibri"/>
                <w:b/>
                <w:bCs/>
                <w:color w:val="000000"/>
                <w:sz w:val="18"/>
                <w:szCs w:val="18"/>
                <w:lang w:eastAsia="hr-HR"/>
              </w:rPr>
            </w:pPr>
            <w:r>
              <w:rPr>
                <w:rFonts w:cs="Calibri" w:eastAsia="Times New Roman" w:hAnsi="Calibri" w:ascii="Calibri"/>
                <w:b/>
                <w:bCs/>
                <w:color w:val="000000"/>
                <w:sz w:val="18"/>
                <w:szCs w:val="18"/>
                <w:lang w:eastAsia="hr-HR"/>
              </w:rPr>
              <w:t> </w:t>
            </w:r>
          </w:p>
        </w:tc>
        <w:tc>
          <w:tcPr>
            <w:tcW w:type="dxa" w:w="1134"/>
            <w:shd w:fill="95B3D7" w:color="auto" w:val="clear"/>
            <w:noWrap/>
            <w:vAlign w:val="center"/>
            <w:hideMark/>
          </w:tcPr>
          <w:p w:rsidRDefault="001E3364" w:rsidR="001E3364">
            <w:pPr>
              <w:spacing w:lineRule="auto" w:line="240" w:after="0"/>
              <w:jc w:val="right"/>
              <w:rPr>
                <w:rFonts w:cs="Calibri" w:eastAsia="Times New Roman" w:hAnsi="Calibri" w:ascii="Calibri"/>
                <w:b/>
                <w:bCs/>
                <w:color w:val="000000"/>
                <w:sz w:val="18"/>
                <w:szCs w:val="18"/>
                <w:lang w:eastAsia="hr-HR"/>
              </w:rPr>
            </w:pPr>
            <w:r>
              <w:rPr>
                <w:rFonts w:cs="Calibri" w:eastAsia="Times New Roman" w:hAnsi="Calibri" w:ascii="Calibri"/>
                <w:b/>
                <w:bCs/>
                <w:color w:val="000000"/>
                <w:sz w:val="18"/>
                <w:szCs w:val="18"/>
                <w:lang w:eastAsia="hr-HR"/>
              </w:rPr>
              <w:t>UKUPNO</w:t>
            </w:r>
          </w:p>
        </w:tc>
        <w:tc>
          <w:tcPr>
            <w:tcW w:type="dxa" w:w="1134"/>
            <w:shd w:fill="95B3D7" w:color="auto" w:val="clear"/>
            <w:noWrap/>
            <w:vAlign w:val="center"/>
            <w:hideMark/>
          </w:tcPr>
          <w:p w:rsidRDefault="001E3364" w:rsidR="001E3364">
            <w:pPr>
              <w:spacing w:lineRule="auto" w:line="240" w:after="0"/>
              <w:jc w:val="right"/>
              <w:rPr>
                <w:rFonts w:cs="Calibri" w:eastAsia="Times New Roman" w:hAnsi="Calibri" w:ascii="Calibri"/>
                <w:b/>
                <w:bCs/>
                <w:i/>
                <w:iCs/>
                <w:color w:val="000000"/>
                <w:sz w:val="18"/>
                <w:szCs w:val="18"/>
                <w:lang w:eastAsia="hr-HR"/>
              </w:rPr>
            </w:pPr>
            <w:r>
              <w:rPr>
                <w:rFonts w:cs="Calibri" w:eastAsia="Times New Roman" w:hAnsi="Calibri" w:ascii="Calibri"/>
                <w:b/>
                <w:bCs/>
                <w:i/>
                <w:iCs/>
                <w:color w:val="000000"/>
                <w:sz w:val="18"/>
                <w:szCs w:val="18"/>
                <w:lang w:eastAsia="hr-HR"/>
              </w:rPr>
              <w:t>DOSPJELO</w:t>
            </w:r>
          </w:p>
        </w:tc>
      </w:tr>
      <w:tr w:rsidTr="001E3364" w:rsidR="001E3364">
        <w:trPr>
          <w:trHeight w:val="240"/>
        </w:trPr>
        <w:tc>
          <w:tcPr>
            <w:tcW w:type="dxa" w:w="7220"/>
            <w:tcBorders>
              <w:top w:space="0" w:sz="8" w:color="B8CCE4" w:val="single"/>
              <w:left w:space="0" w:sz="8" w:color="B8CCE4" w:val="single"/>
              <w:bottom w:space="0" w:sz="8" w:color="B8CCE4" w:val="single"/>
              <w:right w:space="0" w:sz="8" w:color="B8CCE4" w:val="single"/>
            </w:tcBorders>
            <w:shd w:fill="DCE6F1" w:color="auto" w:val="clear"/>
            <w:noWrap/>
            <w:vAlign w:val="center"/>
            <w:hideMark/>
          </w:tcPr>
          <w:p w:rsidRDefault="001E3364" w:rsidR="001E3364">
            <w:pPr>
              <w:spacing w:lineRule="auto" w:line="240" w:after="0"/>
              <w:rPr>
                <w:rFonts w:cs="Calibri" w:eastAsia="Times New Roman" w:hAnsi="Calibri" w:ascii="Calibri"/>
                <w:b/>
                <w:bCs/>
                <w:color w:val="000000"/>
                <w:sz w:val="18"/>
                <w:szCs w:val="18"/>
                <w:lang w:eastAsia="hr-HR"/>
              </w:rPr>
            </w:pPr>
            <w:r>
              <w:rPr>
                <w:rFonts w:cs="Calibri" w:eastAsia="Times New Roman" w:hAnsi="Calibri" w:ascii="Calibri"/>
                <w:b/>
                <w:bCs/>
                <w:color w:val="000000"/>
                <w:sz w:val="18"/>
                <w:szCs w:val="18"/>
                <w:lang w:eastAsia="hr-HR"/>
              </w:rPr>
              <w:t>KRATKOROČNE OBVEZE</w:t>
            </w:r>
          </w:p>
        </w:tc>
        <w:tc>
          <w:tcPr>
            <w:tcW w:type="dxa" w:w="1134"/>
            <w:tcBorders>
              <w:top w:space="0" w:sz="8" w:color="B8CCE4" w:val="single"/>
              <w:left w:val="nil"/>
              <w:bottom w:space="0" w:sz="8" w:color="B8CCE4" w:val="single"/>
              <w:right w:space="0" w:sz="8" w:color="B8CCE4" w:val="single"/>
            </w:tcBorders>
            <w:shd w:fill="DCE6F1" w:color="auto" w:val="clear"/>
            <w:vAlign w:val="center"/>
            <w:hideMark/>
          </w:tcPr>
          <w:p w:rsidRDefault="001E3364" w:rsidR="001E3364">
            <w:pPr>
              <w:spacing w:lineRule="auto" w:line="240" w:after="0"/>
              <w:jc w:val="center"/>
              <w:rPr>
                <w:rFonts w:cs="Calibri" w:eastAsia="Times New Roman" w:hAnsi="Calibri" w:ascii="Calibri"/>
                <w:b/>
                <w:bCs/>
                <w:i/>
                <w:iCs/>
                <w:color w:val="000000"/>
                <w:sz w:val="18"/>
                <w:szCs w:val="18"/>
                <w:lang w:eastAsia="hr-HR"/>
              </w:rPr>
            </w:pPr>
            <w:r>
              <w:rPr>
                <w:rFonts w:cs="Calibri" w:eastAsia="Times New Roman" w:hAnsi="Calibri" w:ascii="Calibri"/>
                <w:b/>
                <w:bCs/>
                <w:i/>
                <w:iCs/>
                <w:color w:val="000000"/>
                <w:sz w:val="18"/>
                <w:szCs w:val="18"/>
                <w:lang w:eastAsia="hr-HR"/>
              </w:rPr>
              <w:t> </w:t>
            </w:r>
          </w:p>
        </w:tc>
        <w:tc>
          <w:tcPr>
            <w:tcW w:type="dxa" w:w="1134"/>
            <w:tcBorders>
              <w:top w:space="0" w:sz="8" w:color="B8CCE4" w:val="single"/>
              <w:left w:val="nil"/>
              <w:bottom w:space="0" w:sz="8" w:color="B8CCE4" w:val="single"/>
              <w:right w:space="0" w:sz="8" w:color="B8CCE4" w:val="single"/>
            </w:tcBorders>
            <w:shd w:fill="DCE6F1" w:color="auto" w:val="clear"/>
            <w:noWrap/>
            <w:vAlign w:val="center"/>
            <w:hideMark/>
          </w:tcPr>
          <w:p w:rsidRDefault="001E3364" w:rsidR="001E3364">
            <w:pPr>
              <w:spacing w:lineRule="auto" w:line="240" w:after="0"/>
              <w:jc w:val="center"/>
              <w:rPr>
                <w:rFonts w:cs="Calibri" w:eastAsia="Times New Roman" w:hAnsi="Calibri" w:ascii="Calibri"/>
                <w:b/>
                <w:bCs/>
                <w:i/>
                <w:iCs/>
                <w:color w:val="000000"/>
                <w:sz w:val="18"/>
                <w:szCs w:val="18"/>
                <w:lang w:eastAsia="hr-HR"/>
              </w:rPr>
            </w:pPr>
            <w:r>
              <w:rPr>
                <w:rFonts w:cs="Calibri" w:eastAsia="Times New Roman" w:hAnsi="Calibri" w:ascii="Calibri"/>
                <w:b/>
                <w:bCs/>
                <w:i/>
                <w:iCs/>
                <w:color w:val="000000"/>
                <w:sz w:val="18"/>
                <w:szCs w:val="18"/>
                <w:lang w:eastAsia="hr-HR"/>
              </w:rPr>
              <w:t> </w:t>
            </w:r>
          </w:p>
        </w:tc>
      </w:tr>
      <w:tr w:rsidTr="001E3364" w:rsidR="001E3364">
        <w:trPr>
          <w:trHeight w:val="240"/>
        </w:trPr>
        <w:tc>
          <w:tcPr>
            <w:tcW w:type="dxa" w:w="7220"/>
            <w:tcBorders>
              <w:top w:val="nil"/>
              <w:left w:space="0" w:sz="8" w:color="B8CCE4" w:val="single"/>
              <w:bottom w:space="0" w:sz="8" w:color="B8CCE4" w:val="single"/>
              <w:right w:space="0" w:sz="8" w:color="B8CCE4" w:val="single"/>
            </w:tcBorders>
            <w:noWrap/>
            <w:vAlign w:val="center"/>
            <w:hideMark/>
          </w:tcPr>
          <w:p w:rsidRDefault="001E3364" w:rsidR="001E3364">
            <w:pPr>
              <w:spacing w:lineRule="auto" w:line="240" w:after="0"/>
              <w:rPr>
                <w:rFonts w:cs="Calibri" w:eastAsia="Times New Roman" w:hAnsi="Calibri" w:ascii="Calibri"/>
                <w:color w:val="000000"/>
                <w:sz w:val="18"/>
                <w:szCs w:val="18"/>
                <w:lang w:eastAsia="hr-HR"/>
              </w:rPr>
            </w:pPr>
            <w:r>
              <w:rPr>
                <w:rFonts w:cs="Calibri" w:eastAsia="Times New Roman" w:hAnsi="Calibri" w:ascii="Calibri"/>
                <w:color w:val="000000"/>
                <w:sz w:val="18"/>
                <w:szCs w:val="18"/>
                <w:lang w:eastAsia="hr-HR"/>
              </w:rPr>
              <w:t xml:space="preserve">     1. Obveze prema poduzetnicima unutar grupe </w:t>
            </w:r>
          </w:p>
        </w:tc>
        <w:tc>
          <w:tcPr>
            <w:tcW w:type="dxa" w:w="1134"/>
            <w:tcBorders>
              <w:top w:val="nil"/>
              <w:left w:val="nil"/>
              <w:bottom w:space="0" w:sz="8" w:color="B8CCE4" w:val="single"/>
              <w:right w:space="0" w:sz="8" w:color="B8CCE4" w:val="single"/>
            </w:tcBorders>
            <w:noWrap/>
            <w:vAlign w:val="center"/>
            <w:hideMark/>
          </w:tcPr>
          <w:p w:rsidRDefault="001E3364" w:rsidR="001E3364">
            <w:pPr>
              <w:spacing w:lineRule="auto" w:line="240" w:after="0"/>
              <w:jc w:val="right"/>
              <w:rPr>
                <w:rFonts w:cs="Calibri" w:eastAsia="Times New Roman" w:hAnsi="Calibri" w:ascii="Calibri"/>
                <w:color w:val="000000"/>
                <w:sz w:val="18"/>
                <w:szCs w:val="18"/>
                <w:lang w:eastAsia="hr-HR"/>
              </w:rPr>
            </w:pPr>
            <w:r>
              <w:rPr>
                <w:rFonts w:cs="Calibri" w:eastAsia="Times New Roman" w:hAnsi="Calibri" w:ascii="Calibri"/>
                <w:color w:val="000000"/>
                <w:sz w:val="18"/>
                <w:szCs w:val="18"/>
                <w:lang w:eastAsia="hr-HR"/>
              </w:rPr>
              <w:t>0</w:t>
            </w:r>
          </w:p>
        </w:tc>
        <w:tc>
          <w:tcPr>
            <w:tcW w:type="dxa" w:w="1134"/>
            <w:tcBorders>
              <w:top w:val="nil"/>
              <w:left w:val="nil"/>
              <w:bottom w:space="0" w:sz="8" w:color="B8CCE4" w:val="single"/>
              <w:right w:space="0" w:sz="8" w:color="B8CCE4" w:val="single"/>
            </w:tcBorders>
            <w:noWrap/>
            <w:vAlign w:val="center"/>
            <w:hideMark/>
          </w:tcPr>
          <w:p w:rsidRDefault="001E3364" w:rsidR="001E3364">
            <w:pPr>
              <w:spacing w:lineRule="auto" w:line="240" w:after="0"/>
              <w:jc w:val="right"/>
              <w:rPr>
                <w:rFonts w:cs="Calibri" w:eastAsia="Times New Roman" w:hAnsi="Calibri" w:ascii="Calibri"/>
                <w:i/>
                <w:iCs/>
                <w:color w:val="000000"/>
                <w:sz w:val="18"/>
                <w:szCs w:val="18"/>
                <w:lang w:eastAsia="hr-HR"/>
              </w:rPr>
            </w:pPr>
            <w:r>
              <w:rPr>
                <w:rFonts w:cs="Calibri" w:eastAsia="Times New Roman" w:hAnsi="Calibri" w:ascii="Calibri"/>
                <w:i/>
                <w:iCs/>
                <w:color w:val="000000"/>
                <w:sz w:val="18"/>
                <w:szCs w:val="18"/>
                <w:lang w:eastAsia="hr-HR"/>
              </w:rPr>
              <w:t> </w:t>
            </w:r>
          </w:p>
        </w:tc>
      </w:tr>
      <w:tr w:rsidTr="001E3364" w:rsidR="001E3364">
        <w:trPr>
          <w:trHeight w:val="240"/>
        </w:trPr>
        <w:tc>
          <w:tcPr>
            <w:tcW w:type="dxa" w:w="7220"/>
            <w:tcBorders>
              <w:top w:val="nil"/>
              <w:left w:space="0" w:sz="8" w:color="B8CCE4" w:val="single"/>
              <w:bottom w:space="0" w:sz="8" w:color="B8CCE4" w:val="single"/>
              <w:right w:space="0" w:sz="8" w:color="B8CCE4" w:val="single"/>
            </w:tcBorders>
            <w:noWrap/>
            <w:vAlign w:val="center"/>
            <w:hideMark/>
          </w:tcPr>
          <w:p w:rsidRDefault="001E3364" w:rsidR="001E3364">
            <w:pPr>
              <w:spacing w:lineRule="auto" w:line="240" w:after="0"/>
              <w:rPr>
                <w:rFonts w:cs="Calibri" w:eastAsia="Times New Roman" w:hAnsi="Calibri" w:ascii="Calibri"/>
                <w:color w:val="000000"/>
                <w:sz w:val="18"/>
                <w:szCs w:val="18"/>
                <w:lang w:eastAsia="hr-HR"/>
              </w:rPr>
            </w:pPr>
            <w:r>
              <w:rPr>
                <w:rFonts w:cs="Calibri" w:eastAsia="Times New Roman" w:hAnsi="Calibri" w:ascii="Calibri"/>
                <w:color w:val="000000"/>
                <w:sz w:val="18"/>
                <w:szCs w:val="18"/>
                <w:lang w:eastAsia="hr-HR"/>
              </w:rPr>
              <w:t xml:space="preserve">     2. Obveze za zajmove, depozite i slično poduzetnika unutar grupe</w:t>
            </w:r>
          </w:p>
        </w:tc>
        <w:tc>
          <w:tcPr>
            <w:tcW w:type="dxa" w:w="1134"/>
            <w:tcBorders>
              <w:top w:val="nil"/>
              <w:left w:val="nil"/>
              <w:bottom w:space="0" w:sz="8" w:color="B8CCE4" w:val="single"/>
              <w:right w:space="0" w:sz="8" w:color="B8CCE4" w:val="single"/>
            </w:tcBorders>
            <w:noWrap/>
            <w:vAlign w:val="center"/>
            <w:hideMark/>
          </w:tcPr>
          <w:p w:rsidRDefault="001E3364" w:rsidR="001E3364">
            <w:pPr>
              <w:spacing w:lineRule="auto" w:line="240" w:after="0"/>
              <w:jc w:val="right"/>
              <w:rPr>
                <w:rFonts w:cs="Calibri" w:eastAsia="Times New Roman" w:hAnsi="Calibri" w:ascii="Calibri"/>
                <w:color w:val="000000"/>
                <w:sz w:val="18"/>
                <w:szCs w:val="18"/>
                <w:lang w:eastAsia="hr-HR"/>
              </w:rPr>
            </w:pPr>
            <w:r>
              <w:rPr>
                <w:rFonts w:cs="Calibri" w:eastAsia="Times New Roman" w:hAnsi="Calibri" w:ascii="Calibri"/>
                <w:color w:val="000000"/>
                <w:sz w:val="18"/>
                <w:szCs w:val="18"/>
                <w:lang w:eastAsia="hr-HR"/>
              </w:rPr>
              <w:t>0</w:t>
            </w:r>
          </w:p>
        </w:tc>
        <w:tc>
          <w:tcPr>
            <w:tcW w:type="dxa" w:w="1134"/>
            <w:tcBorders>
              <w:top w:val="nil"/>
              <w:left w:val="nil"/>
              <w:bottom w:space="0" w:sz="8" w:color="B8CCE4" w:val="single"/>
              <w:right w:space="0" w:sz="8" w:color="B8CCE4" w:val="single"/>
            </w:tcBorders>
            <w:noWrap/>
            <w:vAlign w:val="center"/>
            <w:hideMark/>
          </w:tcPr>
          <w:p w:rsidRDefault="001E3364" w:rsidR="001E3364">
            <w:pPr>
              <w:spacing w:lineRule="auto" w:line="240" w:after="0"/>
              <w:jc w:val="right"/>
              <w:rPr>
                <w:rFonts w:cs="Calibri" w:eastAsia="Times New Roman" w:hAnsi="Calibri" w:ascii="Calibri"/>
                <w:i/>
                <w:iCs/>
                <w:color w:val="000000"/>
                <w:sz w:val="18"/>
                <w:szCs w:val="18"/>
                <w:lang w:eastAsia="hr-HR"/>
              </w:rPr>
            </w:pPr>
            <w:r>
              <w:rPr>
                <w:rFonts w:cs="Calibri" w:eastAsia="Times New Roman" w:hAnsi="Calibri" w:ascii="Calibri"/>
                <w:i/>
                <w:iCs/>
                <w:color w:val="000000"/>
                <w:sz w:val="18"/>
                <w:szCs w:val="18"/>
                <w:lang w:eastAsia="hr-HR"/>
              </w:rPr>
              <w:t> </w:t>
            </w:r>
          </w:p>
        </w:tc>
      </w:tr>
      <w:tr w:rsidTr="001E3364" w:rsidR="001E3364">
        <w:trPr>
          <w:trHeight w:val="240"/>
        </w:trPr>
        <w:tc>
          <w:tcPr>
            <w:tcW w:type="dxa" w:w="7220"/>
            <w:tcBorders>
              <w:top w:val="nil"/>
              <w:left w:space="0" w:sz="8" w:color="B8CCE4" w:val="single"/>
              <w:bottom w:space="0" w:sz="8" w:color="B8CCE4" w:val="single"/>
              <w:right w:space="0" w:sz="8" w:color="B8CCE4" w:val="single"/>
            </w:tcBorders>
            <w:noWrap/>
            <w:vAlign w:val="center"/>
            <w:hideMark/>
          </w:tcPr>
          <w:p w:rsidRDefault="001E3364" w:rsidR="001E3364">
            <w:pPr>
              <w:spacing w:lineRule="auto" w:line="240" w:after="0"/>
              <w:rPr>
                <w:rFonts w:cs="Calibri" w:eastAsia="Times New Roman" w:hAnsi="Calibri" w:ascii="Calibri"/>
                <w:color w:val="000000"/>
                <w:sz w:val="18"/>
                <w:szCs w:val="18"/>
                <w:lang w:eastAsia="hr-HR"/>
              </w:rPr>
            </w:pPr>
            <w:r>
              <w:rPr>
                <w:rFonts w:cs="Calibri" w:eastAsia="Times New Roman" w:hAnsi="Calibri" w:ascii="Calibri"/>
                <w:color w:val="000000"/>
                <w:sz w:val="18"/>
                <w:szCs w:val="18"/>
                <w:lang w:eastAsia="hr-HR"/>
              </w:rPr>
              <w:t xml:space="preserve">     3. Obveze prema društvima povezanim sudjelujućim interesom </w:t>
            </w:r>
          </w:p>
        </w:tc>
        <w:tc>
          <w:tcPr>
            <w:tcW w:type="dxa" w:w="1134"/>
            <w:tcBorders>
              <w:top w:val="nil"/>
              <w:left w:val="nil"/>
              <w:bottom w:space="0" w:sz="8" w:color="B8CCE4" w:val="single"/>
              <w:right w:space="0" w:sz="8" w:color="B8CCE4" w:val="single"/>
            </w:tcBorders>
            <w:noWrap/>
            <w:vAlign w:val="center"/>
            <w:hideMark/>
          </w:tcPr>
          <w:p w:rsidRDefault="001E3364" w:rsidR="001E3364">
            <w:pPr>
              <w:spacing w:lineRule="auto" w:line="240" w:after="0"/>
              <w:jc w:val="right"/>
              <w:rPr>
                <w:rFonts w:cs="Calibri" w:eastAsia="Times New Roman" w:hAnsi="Calibri" w:ascii="Calibri"/>
                <w:color w:val="000000"/>
                <w:sz w:val="18"/>
                <w:szCs w:val="18"/>
                <w:lang w:eastAsia="hr-HR"/>
              </w:rPr>
            </w:pPr>
            <w:r>
              <w:rPr>
                <w:rFonts w:cs="Calibri" w:eastAsia="Times New Roman" w:hAnsi="Calibri" w:ascii="Calibri"/>
                <w:color w:val="000000"/>
                <w:sz w:val="18"/>
                <w:szCs w:val="18"/>
                <w:lang w:eastAsia="hr-HR"/>
              </w:rPr>
              <w:t>0</w:t>
            </w:r>
          </w:p>
        </w:tc>
        <w:tc>
          <w:tcPr>
            <w:tcW w:type="dxa" w:w="1134"/>
            <w:tcBorders>
              <w:top w:val="nil"/>
              <w:left w:val="nil"/>
              <w:bottom w:space="0" w:sz="8" w:color="B8CCE4" w:val="single"/>
              <w:right w:space="0" w:sz="8" w:color="B8CCE4" w:val="single"/>
            </w:tcBorders>
            <w:noWrap/>
            <w:vAlign w:val="center"/>
            <w:hideMark/>
          </w:tcPr>
          <w:p w:rsidRDefault="001E3364" w:rsidR="001E3364">
            <w:pPr>
              <w:spacing w:lineRule="auto" w:line="240" w:after="0"/>
              <w:jc w:val="right"/>
              <w:rPr>
                <w:rFonts w:cs="Calibri" w:eastAsia="Times New Roman" w:hAnsi="Calibri" w:ascii="Calibri"/>
                <w:i/>
                <w:iCs/>
                <w:color w:val="000000"/>
                <w:sz w:val="18"/>
                <w:szCs w:val="18"/>
                <w:lang w:eastAsia="hr-HR"/>
              </w:rPr>
            </w:pPr>
            <w:r>
              <w:rPr>
                <w:rFonts w:cs="Calibri" w:eastAsia="Times New Roman" w:hAnsi="Calibri" w:ascii="Calibri"/>
                <w:i/>
                <w:iCs/>
                <w:color w:val="000000"/>
                <w:sz w:val="18"/>
                <w:szCs w:val="18"/>
                <w:lang w:eastAsia="hr-HR"/>
              </w:rPr>
              <w:t> </w:t>
            </w:r>
          </w:p>
        </w:tc>
      </w:tr>
      <w:tr w:rsidTr="001E3364" w:rsidR="001E3364">
        <w:trPr>
          <w:trHeight w:val="240"/>
        </w:trPr>
        <w:tc>
          <w:tcPr>
            <w:tcW w:type="dxa" w:w="7220"/>
            <w:tcBorders>
              <w:top w:val="nil"/>
              <w:left w:space="0" w:sz="8" w:color="B8CCE4" w:val="single"/>
              <w:bottom w:space="0" w:sz="8" w:color="B8CCE4" w:val="single"/>
              <w:right w:space="0" w:sz="8" w:color="B8CCE4" w:val="single"/>
            </w:tcBorders>
            <w:noWrap/>
            <w:vAlign w:val="center"/>
            <w:hideMark/>
          </w:tcPr>
          <w:p w:rsidRDefault="001E3364" w:rsidR="001E3364">
            <w:pPr>
              <w:spacing w:lineRule="auto" w:line="240" w:after="0"/>
              <w:rPr>
                <w:rFonts w:cs="Calibri" w:eastAsia="Times New Roman" w:hAnsi="Calibri" w:ascii="Calibri"/>
                <w:color w:val="000000"/>
                <w:sz w:val="18"/>
                <w:szCs w:val="18"/>
                <w:lang w:eastAsia="hr-HR"/>
              </w:rPr>
            </w:pPr>
            <w:r>
              <w:rPr>
                <w:rFonts w:cs="Calibri" w:eastAsia="Times New Roman" w:hAnsi="Calibri" w:ascii="Calibri"/>
                <w:color w:val="000000"/>
                <w:sz w:val="18"/>
                <w:szCs w:val="18"/>
                <w:lang w:eastAsia="hr-HR"/>
              </w:rPr>
              <w:t xml:space="preserve">     4. Obveze za zajmove, depozite i slično društava povezanih</w:t>
            </w:r>
            <w:r>
              <w:rPr>
                <w:rFonts w:cs="Calibri" w:eastAsia="Times New Roman" w:hAnsi="Calibri" w:ascii="Calibri"/>
                <w:color w:val="000000"/>
                <w:sz w:val="18"/>
                <w:szCs w:val="18"/>
                <w:lang w:eastAsia="hr-HR"/>
              </w:rPr>
              <w:br/>
              <w:t xml:space="preserve">         sudjelujućim interesom</w:t>
            </w:r>
          </w:p>
        </w:tc>
        <w:tc>
          <w:tcPr>
            <w:tcW w:type="dxa" w:w="1134"/>
            <w:tcBorders>
              <w:top w:val="nil"/>
              <w:left w:val="nil"/>
              <w:bottom w:space="0" w:sz="8" w:color="B8CCE4" w:val="single"/>
              <w:right w:space="0" w:sz="8" w:color="B8CCE4" w:val="single"/>
            </w:tcBorders>
            <w:noWrap/>
            <w:vAlign w:val="center"/>
            <w:hideMark/>
          </w:tcPr>
          <w:p w:rsidRDefault="001E3364" w:rsidR="001E3364">
            <w:pPr>
              <w:spacing w:lineRule="auto" w:line="240" w:after="0"/>
              <w:jc w:val="right"/>
              <w:rPr>
                <w:rFonts w:cs="Calibri" w:eastAsia="Times New Roman" w:hAnsi="Calibri" w:ascii="Calibri"/>
                <w:color w:val="000000"/>
                <w:sz w:val="18"/>
                <w:szCs w:val="18"/>
                <w:lang w:eastAsia="hr-HR"/>
              </w:rPr>
            </w:pPr>
            <w:r>
              <w:rPr>
                <w:rFonts w:cs="Calibri" w:eastAsia="Times New Roman" w:hAnsi="Calibri" w:ascii="Calibri"/>
                <w:color w:val="000000"/>
                <w:sz w:val="18"/>
                <w:szCs w:val="18"/>
                <w:lang w:eastAsia="hr-HR"/>
              </w:rPr>
              <w:t>0</w:t>
            </w:r>
          </w:p>
        </w:tc>
        <w:tc>
          <w:tcPr>
            <w:tcW w:type="dxa" w:w="1134"/>
            <w:tcBorders>
              <w:top w:val="nil"/>
              <w:left w:val="nil"/>
              <w:bottom w:space="0" w:sz="8" w:color="B8CCE4" w:val="single"/>
              <w:right w:space="0" w:sz="8" w:color="B8CCE4" w:val="single"/>
            </w:tcBorders>
            <w:noWrap/>
            <w:vAlign w:val="center"/>
            <w:hideMark/>
          </w:tcPr>
          <w:p w:rsidRDefault="001E3364" w:rsidR="001E3364">
            <w:pPr>
              <w:spacing w:lineRule="auto" w:line="240" w:after="0"/>
              <w:jc w:val="right"/>
              <w:rPr>
                <w:rFonts w:cs="Calibri" w:eastAsia="Times New Roman" w:hAnsi="Calibri" w:ascii="Calibri"/>
                <w:i/>
                <w:iCs/>
                <w:color w:val="000000"/>
                <w:sz w:val="18"/>
                <w:szCs w:val="18"/>
                <w:lang w:eastAsia="hr-HR"/>
              </w:rPr>
            </w:pPr>
            <w:r>
              <w:rPr>
                <w:rFonts w:cs="Calibri" w:eastAsia="Times New Roman" w:hAnsi="Calibri" w:ascii="Calibri"/>
                <w:i/>
                <w:iCs/>
                <w:color w:val="000000"/>
                <w:sz w:val="18"/>
                <w:szCs w:val="18"/>
                <w:lang w:eastAsia="hr-HR"/>
              </w:rPr>
              <w:t> </w:t>
            </w:r>
          </w:p>
        </w:tc>
      </w:tr>
      <w:tr w:rsidTr="001E3364" w:rsidR="001E3364">
        <w:trPr>
          <w:trHeight w:val="240"/>
        </w:trPr>
        <w:tc>
          <w:tcPr>
            <w:tcW w:type="dxa" w:w="7220"/>
            <w:tcBorders>
              <w:top w:val="nil"/>
              <w:left w:space="0" w:sz="8" w:color="B8CCE4" w:val="single"/>
              <w:bottom w:space="0" w:sz="8" w:color="B8CCE4" w:val="single"/>
              <w:right w:space="0" w:sz="8" w:color="B8CCE4" w:val="single"/>
            </w:tcBorders>
            <w:noWrap/>
            <w:vAlign w:val="center"/>
            <w:hideMark/>
          </w:tcPr>
          <w:p w:rsidRDefault="001E3364" w:rsidR="001E3364">
            <w:pPr>
              <w:spacing w:lineRule="auto" w:line="240" w:after="0"/>
              <w:rPr>
                <w:rFonts w:cs="Calibri" w:eastAsia="Times New Roman" w:hAnsi="Calibri" w:ascii="Calibri"/>
                <w:color w:val="000000"/>
                <w:sz w:val="18"/>
                <w:szCs w:val="18"/>
                <w:lang w:eastAsia="hr-HR"/>
              </w:rPr>
            </w:pPr>
            <w:r>
              <w:rPr>
                <w:rFonts w:cs="Calibri" w:eastAsia="Times New Roman" w:hAnsi="Calibri" w:ascii="Calibri"/>
                <w:color w:val="000000"/>
                <w:sz w:val="18"/>
                <w:szCs w:val="18"/>
                <w:lang w:eastAsia="hr-HR"/>
              </w:rPr>
              <w:t xml:space="preserve">     5. Obveze za zajmove, depozite i slično</w:t>
            </w:r>
          </w:p>
        </w:tc>
        <w:tc>
          <w:tcPr>
            <w:tcW w:type="dxa" w:w="1134"/>
            <w:tcBorders>
              <w:top w:val="nil"/>
              <w:left w:val="nil"/>
              <w:bottom w:space="0" w:sz="8" w:color="B8CCE4" w:val="single"/>
              <w:right w:space="0" w:sz="8" w:color="B8CCE4" w:val="single"/>
            </w:tcBorders>
            <w:noWrap/>
            <w:vAlign w:val="center"/>
            <w:hideMark/>
          </w:tcPr>
          <w:p w:rsidRDefault="001E3364" w:rsidR="001E3364">
            <w:pPr>
              <w:spacing w:lineRule="auto" w:line="240" w:after="0"/>
              <w:jc w:val="right"/>
              <w:rPr>
                <w:rFonts w:cs="Calibri" w:eastAsia="Times New Roman" w:hAnsi="Calibri" w:ascii="Calibri"/>
                <w:color w:val="000000"/>
                <w:sz w:val="18"/>
                <w:szCs w:val="18"/>
                <w:lang w:eastAsia="hr-HR"/>
              </w:rPr>
            </w:pPr>
            <w:r>
              <w:rPr>
                <w:rFonts w:cs="Calibri" w:eastAsia="Times New Roman" w:hAnsi="Calibri" w:ascii="Calibri"/>
                <w:color w:val="000000"/>
                <w:sz w:val="18"/>
                <w:szCs w:val="18"/>
                <w:lang w:eastAsia="hr-HR"/>
              </w:rPr>
              <w:t>0</w:t>
            </w:r>
          </w:p>
        </w:tc>
        <w:tc>
          <w:tcPr>
            <w:tcW w:type="dxa" w:w="1134"/>
            <w:tcBorders>
              <w:top w:val="nil"/>
              <w:left w:val="nil"/>
              <w:bottom w:space="0" w:sz="8" w:color="B8CCE4" w:val="single"/>
              <w:right w:space="0" w:sz="8" w:color="B8CCE4" w:val="single"/>
            </w:tcBorders>
            <w:noWrap/>
            <w:vAlign w:val="center"/>
            <w:hideMark/>
          </w:tcPr>
          <w:p w:rsidRDefault="001E3364" w:rsidR="001E3364">
            <w:pPr>
              <w:spacing w:lineRule="auto" w:line="240" w:after="0"/>
              <w:jc w:val="right"/>
              <w:rPr>
                <w:rFonts w:cs="Calibri" w:eastAsia="Times New Roman" w:hAnsi="Calibri" w:ascii="Calibri"/>
                <w:i/>
                <w:iCs/>
                <w:color w:val="000000"/>
                <w:sz w:val="18"/>
                <w:szCs w:val="18"/>
                <w:lang w:eastAsia="hr-HR"/>
              </w:rPr>
            </w:pPr>
            <w:r>
              <w:rPr>
                <w:rFonts w:cs="Calibri" w:eastAsia="Times New Roman" w:hAnsi="Calibri" w:ascii="Calibri"/>
                <w:i/>
                <w:iCs/>
                <w:color w:val="000000"/>
                <w:sz w:val="18"/>
                <w:szCs w:val="18"/>
                <w:lang w:eastAsia="hr-HR"/>
              </w:rPr>
              <w:t>0</w:t>
            </w:r>
          </w:p>
        </w:tc>
      </w:tr>
      <w:tr w:rsidTr="001E3364" w:rsidR="001E3364">
        <w:trPr>
          <w:trHeight w:val="240"/>
        </w:trPr>
        <w:tc>
          <w:tcPr>
            <w:tcW w:type="dxa" w:w="7220"/>
            <w:tcBorders>
              <w:top w:val="nil"/>
              <w:left w:space="0" w:sz="8" w:color="B8CCE4" w:val="single"/>
              <w:bottom w:space="0" w:sz="8" w:color="B8CCE4" w:val="single"/>
              <w:right w:space="0" w:sz="8" w:color="B8CCE4" w:val="single"/>
            </w:tcBorders>
            <w:noWrap/>
            <w:vAlign w:val="center"/>
            <w:hideMark/>
          </w:tcPr>
          <w:p w:rsidRDefault="001E3364" w:rsidR="001E3364">
            <w:pPr>
              <w:spacing w:lineRule="auto" w:line="240" w:after="0"/>
              <w:rPr>
                <w:rFonts w:cs="Calibri" w:eastAsia="Times New Roman" w:hAnsi="Calibri" w:ascii="Calibri"/>
                <w:color w:val="000000"/>
                <w:sz w:val="18"/>
                <w:szCs w:val="18"/>
                <w:lang w:eastAsia="hr-HR"/>
              </w:rPr>
            </w:pPr>
            <w:r>
              <w:rPr>
                <w:rFonts w:cs="Calibri" w:eastAsia="Times New Roman" w:hAnsi="Calibri" w:ascii="Calibri"/>
                <w:color w:val="000000"/>
                <w:sz w:val="18"/>
                <w:szCs w:val="18"/>
                <w:lang w:eastAsia="hr-HR"/>
              </w:rPr>
              <w:t xml:space="preserve">     6. Obveze prema bankama i drugim financijskim institucijama</w:t>
            </w:r>
          </w:p>
        </w:tc>
        <w:tc>
          <w:tcPr>
            <w:tcW w:type="dxa" w:w="1134"/>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color w:val="000000"/>
                <w:sz w:val="16"/>
                <w:szCs w:val="16"/>
              </w:rPr>
            </w:pPr>
            <w:r>
              <w:rPr>
                <w:rFonts w:cs="Calibri" w:hAnsi="Calibri" w:ascii="Calibri"/>
                <w:color w:val="000000"/>
                <w:sz w:val="16"/>
                <w:szCs w:val="16"/>
              </w:rPr>
              <w:t>6.595.556</w:t>
            </w:r>
          </w:p>
        </w:tc>
        <w:tc>
          <w:tcPr>
            <w:tcW w:type="dxa" w:w="1134"/>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i/>
                <w:iCs/>
                <w:color w:val="000000"/>
                <w:sz w:val="16"/>
                <w:szCs w:val="16"/>
              </w:rPr>
            </w:pPr>
            <w:r>
              <w:rPr>
                <w:rFonts w:cs="Calibri" w:hAnsi="Calibri" w:ascii="Calibri"/>
                <w:i/>
                <w:iCs/>
                <w:color w:val="000000"/>
                <w:sz w:val="16"/>
                <w:szCs w:val="16"/>
              </w:rPr>
              <w:t>6.595.556</w:t>
            </w:r>
          </w:p>
        </w:tc>
      </w:tr>
      <w:tr w:rsidTr="001E3364" w:rsidR="001E3364">
        <w:trPr>
          <w:trHeight w:val="240"/>
        </w:trPr>
        <w:tc>
          <w:tcPr>
            <w:tcW w:type="dxa" w:w="7220"/>
            <w:tcBorders>
              <w:top w:val="nil"/>
              <w:left w:space="0" w:sz="8" w:color="B8CCE4" w:val="single"/>
              <w:bottom w:space="0" w:sz="8" w:color="B8CCE4" w:val="single"/>
              <w:right w:space="0" w:sz="8" w:color="B8CCE4" w:val="single"/>
            </w:tcBorders>
            <w:noWrap/>
            <w:vAlign w:val="center"/>
            <w:hideMark/>
          </w:tcPr>
          <w:p w:rsidRDefault="001E3364" w:rsidR="001E3364">
            <w:pPr>
              <w:spacing w:lineRule="auto" w:line="240" w:after="0"/>
              <w:rPr>
                <w:rFonts w:cs="Calibri" w:eastAsia="Times New Roman" w:hAnsi="Calibri" w:ascii="Calibri"/>
                <w:color w:val="000000"/>
                <w:sz w:val="18"/>
                <w:szCs w:val="18"/>
                <w:lang w:eastAsia="hr-HR"/>
              </w:rPr>
            </w:pPr>
            <w:r>
              <w:rPr>
                <w:rFonts w:cs="Calibri" w:eastAsia="Times New Roman" w:hAnsi="Calibri" w:ascii="Calibri"/>
                <w:color w:val="000000"/>
                <w:sz w:val="18"/>
                <w:szCs w:val="18"/>
                <w:lang w:eastAsia="hr-HR"/>
              </w:rPr>
              <w:t xml:space="preserve">     7. Obveze za predujmove</w:t>
            </w:r>
          </w:p>
        </w:tc>
        <w:tc>
          <w:tcPr>
            <w:tcW w:type="dxa" w:w="1134"/>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color w:val="000000"/>
                <w:sz w:val="16"/>
                <w:szCs w:val="16"/>
              </w:rPr>
            </w:pPr>
            <w:r>
              <w:rPr>
                <w:rFonts w:cs="Calibri" w:hAnsi="Calibri" w:ascii="Calibri"/>
                <w:color w:val="000000"/>
                <w:sz w:val="16"/>
                <w:szCs w:val="16"/>
              </w:rPr>
              <w:t>890.307</w:t>
            </w:r>
          </w:p>
        </w:tc>
        <w:tc>
          <w:tcPr>
            <w:tcW w:type="dxa" w:w="1134"/>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i/>
                <w:iCs/>
                <w:color w:val="000000"/>
                <w:sz w:val="16"/>
                <w:szCs w:val="16"/>
              </w:rPr>
            </w:pPr>
            <w:r>
              <w:rPr>
                <w:rFonts w:cs="Calibri" w:hAnsi="Calibri" w:ascii="Calibri"/>
                <w:i/>
                <w:iCs/>
                <w:color w:val="000000"/>
                <w:sz w:val="16"/>
                <w:szCs w:val="16"/>
              </w:rPr>
              <w:t>890.307</w:t>
            </w:r>
          </w:p>
        </w:tc>
      </w:tr>
      <w:tr w:rsidTr="001E3364" w:rsidR="001E3364">
        <w:trPr>
          <w:trHeight w:val="240"/>
        </w:trPr>
        <w:tc>
          <w:tcPr>
            <w:tcW w:type="dxa" w:w="7220"/>
            <w:tcBorders>
              <w:top w:val="nil"/>
              <w:left w:space="0" w:sz="8" w:color="B8CCE4" w:val="single"/>
              <w:bottom w:space="0" w:sz="8" w:color="B8CCE4" w:val="single"/>
              <w:right w:space="0" w:sz="8" w:color="B8CCE4" w:val="single"/>
            </w:tcBorders>
            <w:noWrap/>
            <w:vAlign w:val="center"/>
            <w:hideMark/>
          </w:tcPr>
          <w:p w:rsidRDefault="001E3364" w:rsidR="001E3364">
            <w:pPr>
              <w:spacing w:lineRule="auto" w:line="240" w:after="0"/>
              <w:rPr>
                <w:rFonts w:cs="Calibri" w:eastAsia="Times New Roman" w:hAnsi="Calibri" w:ascii="Calibri"/>
                <w:color w:val="000000"/>
                <w:sz w:val="18"/>
                <w:szCs w:val="18"/>
                <w:lang w:eastAsia="hr-HR"/>
              </w:rPr>
            </w:pPr>
            <w:r>
              <w:rPr>
                <w:rFonts w:cs="Calibri" w:eastAsia="Times New Roman" w:hAnsi="Calibri" w:ascii="Calibri"/>
                <w:color w:val="000000"/>
                <w:sz w:val="18"/>
                <w:szCs w:val="18"/>
                <w:lang w:eastAsia="hr-HR"/>
              </w:rPr>
              <w:t xml:space="preserve">     8. Obveze prema dobavljačima</w:t>
            </w:r>
          </w:p>
        </w:tc>
        <w:tc>
          <w:tcPr>
            <w:tcW w:type="dxa" w:w="1134"/>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color w:val="000000"/>
                <w:sz w:val="16"/>
                <w:szCs w:val="16"/>
              </w:rPr>
            </w:pPr>
            <w:r>
              <w:rPr>
                <w:rFonts w:cs="Calibri" w:hAnsi="Calibri" w:ascii="Calibri"/>
                <w:color w:val="000000"/>
                <w:sz w:val="16"/>
                <w:szCs w:val="16"/>
              </w:rPr>
              <w:t>9.798.726</w:t>
            </w:r>
          </w:p>
        </w:tc>
        <w:tc>
          <w:tcPr>
            <w:tcW w:type="dxa" w:w="1134"/>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i/>
                <w:iCs/>
                <w:color w:val="000000"/>
                <w:sz w:val="16"/>
                <w:szCs w:val="16"/>
              </w:rPr>
            </w:pPr>
            <w:r>
              <w:rPr>
                <w:rFonts w:cs="Calibri" w:hAnsi="Calibri" w:ascii="Calibri"/>
                <w:i/>
                <w:iCs/>
                <w:color w:val="000000"/>
                <w:sz w:val="16"/>
                <w:szCs w:val="16"/>
              </w:rPr>
              <w:t>9.798.726</w:t>
            </w:r>
          </w:p>
        </w:tc>
      </w:tr>
      <w:tr w:rsidTr="001E3364" w:rsidR="001E3364">
        <w:trPr>
          <w:trHeight w:val="240"/>
        </w:trPr>
        <w:tc>
          <w:tcPr>
            <w:tcW w:type="dxa" w:w="7220"/>
            <w:tcBorders>
              <w:top w:val="nil"/>
              <w:left w:space="0" w:sz="8" w:color="B8CCE4" w:val="single"/>
              <w:bottom w:space="0" w:sz="8" w:color="B8CCE4" w:val="single"/>
              <w:right w:space="0" w:sz="8" w:color="B8CCE4" w:val="single"/>
            </w:tcBorders>
            <w:noWrap/>
            <w:vAlign w:val="center"/>
            <w:hideMark/>
          </w:tcPr>
          <w:p w:rsidRDefault="001E3364" w:rsidR="001E3364">
            <w:pPr>
              <w:spacing w:lineRule="auto" w:line="240" w:after="0"/>
              <w:rPr>
                <w:rFonts w:cs="Calibri" w:eastAsia="Times New Roman" w:hAnsi="Calibri" w:ascii="Calibri"/>
                <w:color w:val="000000"/>
                <w:sz w:val="18"/>
                <w:szCs w:val="18"/>
                <w:lang w:eastAsia="hr-HR"/>
              </w:rPr>
            </w:pPr>
            <w:r>
              <w:rPr>
                <w:rFonts w:cs="Calibri" w:eastAsia="Times New Roman" w:hAnsi="Calibri" w:ascii="Calibri"/>
                <w:color w:val="000000"/>
                <w:sz w:val="18"/>
                <w:szCs w:val="18"/>
                <w:lang w:eastAsia="hr-HR"/>
              </w:rPr>
              <w:t xml:space="preserve">     9. Obveze po vrijednosnim papirima</w:t>
            </w:r>
          </w:p>
        </w:tc>
        <w:tc>
          <w:tcPr>
            <w:tcW w:type="dxa" w:w="1134"/>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color w:val="000000"/>
                <w:sz w:val="16"/>
                <w:szCs w:val="16"/>
              </w:rPr>
            </w:pPr>
            <w:r>
              <w:rPr>
                <w:rFonts w:cs="Calibri" w:hAnsi="Calibri" w:ascii="Calibri"/>
                <w:color w:val="000000"/>
                <w:sz w:val="16"/>
                <w:szCs w:val="16"/>
              </w:rPr>
              <w:t>0</w:t>
            </w:r>
          </w:p>
        </w:tc>
        <w:tc>
          <w:tcPr>
            <w:tcW w:type="dxa" w:w="1134"/>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i/>
                <w:iCs/>
                <w:color w:val="000000"/>
                <w:sz w:val="16"/>
                <w:szCs w:val="16"/>
              </w:rPr>
            </w:pPr>
            <w:r>
              <w:rPr>
                <w:rFonts w:cs="Calibri" w:hAnsi="Calibri" w:ascii="Calibri"/>
                <w:i/>
                <w:iCs/>
                <w:color w:val="000000"/>
                <w:sz w:val="16"/>
                <w:szCs w:val="16"/>
              </w:rPr>
              <w:t> </w:t>
            </w:r>
          </w:p>
        </w:tc>
      </w:tr>
      <w:tr w:rsidTr="001E3364" w:rsidR="001E3364">
        <w:trPr>
          <w:trHeight w:val="240"/>
        </w:trPr>
        <w:tc>
          <w:tcPr>
            <w:tcW w:type="dxa" w:w="7220"/>
            <w:tcBorders>
              <w:top w:val="nil"/>
              <w:left w:space="0" w:sz="8" w:color="B8CCE4" w:val="single"/>
              <w:bottom w:space="0" w:sz="8" w:color="B8CCE4" w:val="single"/>
              <w:right w:space="0" w:sz="8" w:color="B8CCE4" w:val="single"/>
            </w:tcBorders>
            <w:noWrap/>
            <w:vAlign w:val="center"/>
            <w:hideMark/>
          </w:tcPr>
          <w:p w:rsidRDefault="001E3364" w:rsidR="001E3364">
            <w:pPr>
              <w:spacing w:lineRule="auto" w:line="240" w:after="0"/>
              <w:rPr>
                <w:rFonts w:cs="Calibri" w:eastAsia="Times New Roman" w:hAnsi="Calibri" w:ascii="Calibri"/>
                <w:color w:val="000000"/>
                <w:sz w:val="18"/>
                <w:szCs w:val="18"/>
                <w:lang w:eastAsia="hr-HR"/>
              </w:rPr>
            </w:pPr>
            <w:r>
              <w:rPr>
                <w:rFonts w:cs="Calibri" w:eastAsia="Times New Roman" w:hAnsi="Calibri" w:ascii="Calibri"/>
                <w:color w:val="000000"/>
                <w:sz w:val="18"/>
                <w:szCs w:val="18"/>
                <w:lang w:eastAsia="hr-HR"/>
              </w:rPr>
              <w:t xml:space="preserve">   10. Obveze prema zaposlenicima</w:t>
            </w:r>
          </w:p>
        </w:tc>
        <w:tc>
          <w:tcPr>
            <w:tcW w:type="dxa" w:w="1134"/>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color w:val="000000"/>
                <w:sz w:val="16"/>
                <w:szCs w:val="16"/>
              </w:rPr>
            </w:pPr>
            <w:r>
              <w:rPr>
                <w:rFonts w:cs="Calibri" w:hAnsi="Calibri" w:ascii="Calibri"/>
                <w:color w:val="000000"/>
                <w:sz w:val="16"/>
                <w:szCs w:val="16"/>
              </w:rPr>
              <w:t>399.380</w:t>
            </w:r>
          </w:p>
        </w:tc>
        <w:tc>
          <w:tcPr>
            <w:tcW w:type="dxa" w:w="1134"/>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i/>
                <w:iCs/>
                <w:color w:val="000000"/>
                <w:sz w:val="16"/>
                <w:szCs w:val="16"/>
              </w:rPr>
            </w:pPr>
            <w:r>
              <w:rPr>
                <w:rFonts w:cs="Calibri" w:hAnsi="Calibri" w:ascii="Calibri"/>
                <w:i/>
                <w:iCs/>
                <w:color w:val="000000"/>
                <w:sz w:val="16"/>
                <w:szCs w:val="16"/>
              </w:rPr>
              <w:t>399.380</w:t>
            </w:r>
          </w:p>
        </w:tc>
      </w:tr>
      <w:tr w:rsidTr="001E3364" w:rsidR="001E3364">
        <w:trPr>
          <w:trHeight w:val="240"/>
        </w:trPr>
        <w:tc>
          <w:tcPr>
            <w:tcW w:type="dxa" w:w="7220"/>
            <w:tcBorders>
              <w:top w:val="nil"/>
              <w:left w:space="0" w:sz="8" w:color="B8CCE4" w:val="single"/>
              <w:bottom w:space="0" w:sz="8" w:color="B8CCE4" w:val="single"/>
              <w:right w:space="0" w:sz="8" w:color="B8CCE4" w:val="single"/>
            </w:tcBorders>
            <w:noWrap/>
            <w:vAlign w:val="center"/>
            <w:hideMark/>
          </w:tcPr>
          <w:p w:rsidRDefault="001E3364" w:rsidR="001E3364">
            <w:pPr>
              <w:spacing w:lineRule="auto" w:line="240" w:after="0"/>
              <w:rPr>
                <w:rFonts w:cs="Calibri" w:eastAsia="Times New Roman" w:hAnsi="Calibri" w:ascii="Calibri"/>
                <w:color w:val="000000"/>
                <w:sz w:val="18"/>
                <w:szCs w:val="18"/>
                <w:lang w:eastAsia="hr-HR"/>
              </w:rPr>
            </w:pPr>
            <w:r>
              <w:rPr>
                <w:rFonts w:cs="Calibri" w:eastAsia="Times New Roman" w:hAnsi="Calibri" w:ascii="Calibri"/>
                <w:color w:val="000000"/>
                <w:sz w:val="18"/>
                <w:szCs w:val="18"/>
                <w:lang w:eastAsia="hr-HR"/>
              </w:rPr>
              <w:t xml:space="preserve">   11. Obveze  za poreze, doprinose i slična davanja</w:t>
            </w:r>
          </w:p>
        </w:tc>
        <w:tc>
          <w:tcPr>
            <w:tcW w:type="dxa" w:w="1134"/>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color w:val="000000"/>
                <w:sz w:val="16"/>
                <w:szCs w:val="16"/>
              </w:rPr>
            </w:pPr>
            <w:r>
              <w:rPr>
                <w:rFonts w:cs="Calibri" w:hAnsi="Calibri" w:ascii="Calibri"/>
                <w:color w:val="000000"/>
                <w:sz w:val="16"/>
                <w:szCs w:val="16"/>
              </w:rPr>
              <w:t>1.674.334</w:t>
            </w:r>
          </w:p>
        </w:tc>
        <w:tc>
          <w:tcPr>
            <w:tcW w:type="dxa" w:w="1134"/>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i/>
                <w:iCs/>
                <w:color w:val="000000"/>
                <w:sz w:val="16"/>
                <w:szCs w:val="16"/>
              </w:rPr>
            </w:pPr>
            <w:r>
              <w:rPr>
                <w:rFonts w:cs="Calibri" w:hAnsi="Calibri" w:ascii="Calibri"/>
                <w:i/>
                <w:iCs/>
                <w:color w:val="000000"/>
                <w:sz w:val="16"/>
                <w:szCs w:val="16"/>
              </w:rPr>
              <w:t>1.674.334</w:t>
            </w:r>
          </w:p>
        </w:tc>
      </w:tr>
      <w:tr w:rsidTr="001E3364" w:rsidR="001E3364">
        <w:trPr>
          <w:trHeight w:val="240"/>
        </w:trPr>
        <w:tc>
          <w:tcPr>
            <w:tcW w:type="dxa" w:w="7220"/>
            <w:tcBorders>
              <w:top w:val="nil"/>
              <w:left w:space="0" w:sz="8" w:color="B8CCE4" w:val="single"/>
              <w:bottom w:space="0" w:sz="8" w:color="B8CCE4" w:val="single"/>
              <w:right w:space="0" w:sz="8" w:color="B8CCE4" w:val="single"/>
            </w:tcBorders>
            <w:noWrap/>
            <w:vAlign w:val="center"/>
            <w:hideMark/>
          </w:tcPr>
          <w:p w:rsidRDefault="001E3364" w:rsidR="001E3364">
            <w:pPr>
              <w:spacing w:lineRule="auto" w:line="240" w:after="0"/>
              <w:rPr>
                <w:rFonts w:cs="Calibri" w:eastAsia="Times New Roman" w:hAnsi="Calibri" w:ascii="Calibri"/>
                <w:b/>
                <w:bCs/>
                <w:color w:val="000000"/>
                <w:sz w:val="18"/>
                <w:szCs w:val="18"/>
                <w:lang w:eastAsia="hr-HR"/>
              </w:rPr>
            </w:pPr>
            <w:r>
              <w:rPr>
                <w:rFonts w:cs="Calibri" w:eastAsia="Times New Roman" w:hAnsi="Calibri" w:ascii="Calibri"/>
                <w:b/>
                <w:bCs/>
                <w:color w:val="000000"/>
                <w:sz w:val="18"/>
                <w:szCs w:val="18"/>
                <w:lang w:eastAsia="hr-HR"/>
              </w:rPr>
              <w:t>UKUPNO KRATKOROČNE OBVEZE</w:t>
            </w:r>
          </w:p>
        </w:tc>
        <w:tc>
          <w:tcPr>
            <w:tcW w:type="dxa" w:w="1134"/>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b/>
                <w:bCs/>
                <w:color w:val="000000"/>
                <w:sz w:val="16"/>
                <w:szCs w:val="16"/>
              </w:rPr>
            </w:pPr>
            <w:r>
              <w:rPr>
                <w:rFonts w:cs="Calibri" w:hAnsi="Calibri" w:ascii="Calibri"/>
                <w:b/>
                <w:bCs/>
                <w:color w:val="000000"/>
                <w:sz w:val="16"/>
                <w:szCs w:val="16"/>
              </w:rPr>
              <w:t>19.358.303</w:t>
            </w:r>
          </w:p>
        </w:tc>
        <w:tc>
          <w:tcPr>
            <w:tcW w:type="dxa" w:w="1134"/>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b/>
                <w:bCs/>
                <w:color w:val="000000"/>
                <w:sz w:val="16"/>
                <w:szCs w:val="16"/>
              </w:rPr>
            </w:pPr>
            <w:r>
              <w:rPr>
                <w:rFonts w:cs="Calibri" w:hAnsi="Calibri" w:ascii="Calibri"/>
                <w:b/>
                <w:bCs/>
                <w:color w:val="000000"/>
                <w:sz w:val="16"/>
                <w:szCs w:val="16"/>
              </w:rPr>
              <w:t>19.358.303</w:t>
            </w:r>
          </w:p>
        </w:tc>
      </w:tr>
      <w:tr w:rsidTr="001E3364" w:rsidR="001E3364">
        <w:trPr>
          <w:trHeight w:val="98"/>
        </w:trPr>
        <w:tc>
          <w:tcPr>
            <w:tcW w:type="dxa" w:w="7220"/>
            <w:noWrap/>
            <w:vAlign w:val="center"/>
            <w:hideMark/>
          </w:tcPr>
          <w:p w:rsidRDefault="001E3364" w:rsidR="001E3364">
            <w:pPr>
              <w:spacing w:after="0"/>
              <w:rPr>
                <w:rFonts w:cs="Times New Roman"/>
              </w:rPr>
            </w:pPr>
          </w:p>
        </w:tc>
        <w:tc>
          <w:tcPr>
            <w:tcW w:type="dxa" w:w="1134"/>
            <w:noWrap/>
            <w:vAlign w:val="center"/>
          </w:tcPr>
          <w:p w:rsidRDefault="001E3364" w:rsidR="001E3364">
            <w:pPr>
              <w:spacing w:after="0"/>
              <w:jc w:val="right"/>
              <w:rPr>
                <w:rFonts w:cs="Calibri" w:hAnsi="Calibri" w:ascii="Calibri"/>
                <w:color w:val="000000"/>
                <w:sz w:val="16"/>
                <w:szCs w:val="16"/>
              </w:rPr>
            </w:pPr>
          </w:p>
        </w:tc>
        <w:tc>
          <w:tcPr>
            <w:tcW w:type="dxa" w:w="1134"/>
            <w:noWrap/>
            <w:vAlign w:val="center"/>
          </w:tcPr>
          <w:p w:rsidRDefault="001E3364" w:rsidR="001E3364">
            <w:pPr>
              <w:spacing w:after="0"/>
              <w:jc w:val="right"/>
              <w:rPr>
                <w:rFonts w:cs="Calibri" w:hAnsi="Calibri" w:ascii="Calibri"/>
                <w:i/>
                <w:iCs/>
                <w:color w:val="000000"/>
                <w:sz w:val="16"/>
                <w:szCs w:val="16"/>
              </w:rPr>
            </w:pPr>
          </w:p>
        </w:tc>
      </w:tr>
      <w:tr w:rsidTr="001E3364" w:rsidR="001E3364">
        <w:trPr>
          <w:trHeight w:val="240"/>
        </w:trPr>
        <w:tc>
          <w:tcPr>
            <w:tcW w:type="dxa" w:w="7220"/>
            <w:tcBorders>
              <w:top w:space="0" w:sz="8" w:color="B8CCE4" w:val="single"/>
              <w:left w:space="0" w:sz="8" w:color="B8CCE4" w:val="single"/>
              <w:bottom w:space="0" w:sz="8" w:color="B8CCE4" w:val="single"/>
              <w:right w:space="0" w:sz="8" w:color="B8CCE4" w:val="single"/>
            </w:tcBorders>
            <w:shd w:fill="DCE6F1" w:color="auto" w:val="clear"/>
            <w:noWrap/>
            <w:vAlign w:val="center"/>
            <w:hideMark/>
          </w:tcPr>
          <w:p w:rsidRDefault="001E3364" w:rsidR="001E3364">
            <w:pPr>
              <w:spacing w:lineRule="auto" w:line="240" w:after="0"/>
              <w:rPr>
                <w:rFonts w:cs="Calibri" w:eastAsia="Times New Roman" w:hAnsi="Calibri" w:ascii="Calibri"/>
                <w:b/>
                <w:bCs/>
                <w:color w:val="000000"/>
                <w:sz w:val="18"/>
                <w:szCs w:val="18"/>
                <w:lang w:eastAsia="hr-HR"/>
              </w:rPr>
            </w:pPr>
            <w:r>
              <w:rPr>
                <w:rFonts w:cs="Calibri" w:eastAsia="Times New Roman" w:hAnsi="Calibri" w:ascii="Calibri"/>
                <w:b/>
                <w:bCs/>
                <w:color w:val="000000"/>
                <w:sz w:val="18"/>
                <w:szCs w:val="18"/>
                <w:lang w:eastAsia="hr-HR"/>
              </w:rPr>
              <w:t>KRATKOTRAJNA IMOVINA BEZ ZALIHA</w:t>
            </w:r>
          </w:p>
        </w:tc>
        <w:tc>
          <w:tcPr>
            <w:tcW w:type="dxa" w:w="1134"/>
            <w:tcBorders>
              <w:top w:space="0" w:sz="8" w:color="B8CCE4" w:val="single"/>
              <w:left w:val="nil"/>
              <w:bottom w:space="0" w:sz="8" w:color="B8CCE4" w:val="single"/>
              <w:right w:space="0" w:sz="8" w:color="B8CCE4" w:val="single"/>
            </w:tcBorders>
            <w:shd w:fill="DCE6F1" w:color="auto" w:val="clear"/>
            <w:noWrap/>
            <w:vAlign w:val="center"/>
          </w:tcPr>
          <w:p w:rsidRDefault="001E3364" w:rsidR="001E3364">
            <w:pPr>
              <w:spacing w:after="0"/>
              <w:jc w:val="right"/>
              <w:rPr>
                <w:rFonts w:cs="Calibri" w:hAnsi="Calibri" w:ascii="Calibri"/>
                <w:color w:val="000000"/>
                <w:sz w:val="16"/>
                <w:szCs w:val="16"/>
              </w:rPr>
            </w:pPr>
          </w:p>
        </w:tc>
        <w:tc>
          <w:tcPr>
            <w:tcW w:type="dxa" w:w="1134"/>
            <w:tcBorders>
              <w:top w:space="0" w:sz="8" w:color="B8CCE4" w:val="single"/>
              <w:left w:val="nil"/>
              <w:bottom w:space="0" w:sz="8" w:color="B8CCE4" w:val="single"/>
              <w:right w:space="0" w:sz="8" w:color="B8CCE4" w:val="single"/>
            </w:tcBorders>
            <w:shd w:fill="DCE6F1" w:color="auto" w:val="clear"/>
            <w:noWrap/>
            <w:vAlign w:val="center"/>
          </w:tcPr>
          <w:p w:rsidRDefault="001E3364" w:rsidR="001E3364">
            <w:pPr>
              <w:spacing w:after="0"/>
              <w:jc w:val="right"/>
              <w:rPr>
                <w:rFonts w:cs="Calibri" w:hAnsi="Calibri" w:ascii="Calibri"/>
                <w:i/>
                <w:iCs/>
                <w:color w:val="000000"/>
                <w:sz w:val="16"/>
                <w:szCs w:val="16"/>
              </w:rPr>
            </w:pPr>
          </w:p>
        </w:tc>
      </w:tr>
      <w:tr w:rsidTr="001E3364" w:rsidR="001E3364">
        <w:trPr>
          <w:trHeight w:val="240"/>
        </w:trPr>
        <w:tc>
          <w:tcPr>
            <w:tcW w:type="dxa" w:w="7220"/>
            <w:tcBorders>
              <w:top w:val="nil"/>
              <w:left w:space="0" w:sz="8" w:color="B8CCE4" w:val="single"/>
              <w:bottom w:space="0" w:sz="8" w:color="B8CCE4" w:val="single"/>
              <w:right w:space="0" w:sz="8" w:color="B8CCE4" w:val="single"/>
            </w:tcBorders>
            <w:noWrap/>
            <w:vAlign w:val="center"/>
            <w:hideMark/>
          </w:tcPr>
          <w:p w:rsidRDefault="001E3364" w:rsidR="001E3364">
            <w:pPr>
              <w:spacing w:lineRule="auto" w:line="240" w:after="0"/>
              <w:rPr>
                <w:rFonts w:cs="Calibri" w:eastAsia="Times New Roman" w:hAnsi="Calibri" w:ascii="Calibri"/>
                <w:b/>
                <w:bCs/>
                <w:color w:val="000000"/>
                <w:sz w:val="18"/>
                <w:szCs w:val="18"/>
                <w:lang w:eastAsia="hr-HR"/>
              </w:rPr>
            </w:pPr>
            <w:r>
              <w:rPr>
                <w:rFonts w:cs="Calibri" w:eastAsia="Times New Roman" w:hAnsi="Calibri" w:ascii="Calibri"/>
                <w:b/>
                <w:bCs/>
                <w:color w:val="000000"/>
                <w:sz w:val="18"/>
                <w:szCs w:val="18"/>
                <w:lang w:eastAsia="hr-HR"/>
              </w:rPr>
              <w:t>I. ZALIHE (AOP 039 do 045)</w:t>
            </w:r>
          </w:p>
        </w:tc>
        <w:tc>
          <w:tcPr>
            <w:tcW w:type="dxa" w:w="1134"/>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b/>
                <w:bCs/>
                <w:color w:val="000000"/>
                <w:sz w:val="16"/>
                <w:szCs w:val="16"/>
              </w:rPr>
            </w:pPr>
            <w:r>
              <w:rPr>
                <w:rFonts w:cs="Calibri" w:hAnsi="Calibri" w:ascii="Calibri"/>
                <w:b/>
                <w:bCs/>
                <w:color w:val="000000"/>
                <w:sz w:val="16"/>
                <w:szCs w:val="16"/>
              </w:rPr>
              <w:t>29.018.884</w:t>
            </w:r>
          </w:p>
        </w:tc>
        <w:tc>
          <w:tcPr>
            <w:tcW w:type="dxa" w:w="1134"/>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b/>
                <w:bCs/>
                <w:i/>
                <w:iCs/>
                <w:color w:val="000000"/>
                <w:sz w:val="16"/>
                <w:szCs w:val="16"/>
              </w:rPr>
            </w:pPr>
            <w:r>
              <w:rPr>
                <w:rFonts w:cs="Calibri" w:hAnsi="Calibri" w:ascii="Calibri"/>
                <w:b/>
                <w:bCs/>
                <w:i/>
                <w:iCs/>
                <w:color w:val="000000"/>
                <w:sz w:val="16"/>
                <w:szCs w:val="16"/>
              </w:rPr>
              <w:t> </w:t>
            </w:r>
          </w:p>
        </w:tc>
      </w:tr>
      <w:tr w:rsidTr="001E3364" w:rsidR="001E3364">
        <w:trPr>
          <w:trHeight w:val="240"/>
        </w:trPr>
        <w:tc>
          <w:tcPr>
            <w:tcW w:type="dxa" w:w="7220"/>
            <w:tcBorders>
              <w:top w:val="nil"/>
              <w:left w:space="0" w:sz="8" w:color="B8CCE4" w:val="single"/>
              <w:bottom w:space="0" w:sz="8" w:color="B8CCE4" w:val="single"/>
              <w:right w:space="0" w:sz="8" w:color="B8CCE4" w:val="single"/>
            </w:tcBorders>
            <w:noWrap/>
            <w:vAlign w:val="center"/>
            <w:hideMark/>
          </w:tcPr>
          <w:p w:rsidRDefault="001E3364" w:rsidR="001E3364">
            <w:pPr>
              <w:spacing w:lineRule="auto" w:line="240" w:after="0"/>
              <w:rPr>
                <w:rFonts w:cs="Calibri" w:eastAsia="Times New Roman" w:hAnsi="Calibri" w:ascii="Calibri"/>
                <w:bCs/>
                <w:color w:val="000000"/>
                <w:sz w:val="18"/>
                <w:szCs w:val="18"/>
                <w:lang w:eastAsia="hr-HR"/>
              </w:rPr>
            </w:pPr>
            <w:r>
              <w:rPr>
                <w:rFonts w:cs="Calibri" w:eastAsia="Times New Roman" w:hAnsi="Calibri" w:ascii="Calibri"/>
                <w:bCs/>
                <w:color w:val="000000"/>
                <w:sz w:val="18"/>
                <w:szCs w:val="18"/>
                <w:lang w:eastAsia="hr-HR"/>
              </w:rPr>
              <w:t xml:space="preserve">    1. Sirovine i materijal</w:t>
            </w:r>
          </w:p>
        </w:tc>
        <w:tc>
          <w:tcPr>
            <w:tcW w:type="dxa" w:w="1134"/>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b/>
                <w:bCs/>
                <w:color w:val="000000"/>
                <w:sz w:val="16"/>
                <w:szCs w:val="16"/>
              </w:rPr>
            </w:pPr>
            <w:r>
              <w:rPr>
                <w:rFonts w:cs="Calibri" w:hAnsi="Calibri" w:ascii="Calibri"/>
                <w:b/>
                <w:bCs/>
                <w:color w:val="000000"/>
                <w:sz w:val="16"/>
                <w:szCs w:val="16"/>
              </w:rPr>
              <w:t>18.284.024</w:t>
            </w:r>
          </w:p>
        </w:tc>
        <w:tc>
          <w:tcPr>
            <w:tcW w:type="dxa" w:w="1134"/>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b/>
                <w:bCs/>
                <w:i/>
                <w:iCs/>
                <w:color w:val="000000"/>
                <w:sz w:val="16"/>
                <w:szCs w:val="16"/>
              </w:rPr>
            </w:pPr>
            <w:r>
              <w:rPr>
                <w:rFonts w:cs="Calibri" w:hAnsi="Calibri" w:ascii="Calibri"/>
                <w:b/>
                <w:bCs/>
                <w:i/>
                <w:iCs/>
                <w:color w:val="000000"/>
                <w:sz w:val="16"/>
                <w:szCs w:val="16"/>
              </w:rPr>
              <w:t> </w:t>
            </w:r>
          </w:p>
        </w:tc>
      </w:tr>
      <w:tr w:rsidTr="001E3364" w:rsidR="001E3364">
        <w:trPr>
          <w:trHeight w:val="240"/>
        </w:trPr>
        <w:tc>
          <w:tcPr>
            <w:tcW w:type="dxa" w:w="7220"/>
            <w:tcBorders>
              <w:top w:val="nil"/>
              <w:left w:space="0" w:sz="8" w:color="B8CCE4" w:val="single"/>
              <w:bottom w:space="0" w:sz="8" w:color="B8CCE4" w:val="single"/>
              <w:right w:space="0" w:sz="8" w:color="B8CCE4" w:val="single"/>
            </w:tcBorders>
            <w:noWrap/>
            <w:vAlign w:val="center"/>
            <w:hideMark/>
          </w:tcPr>
          <w:p w:rsidRDefault="001E3364" w:rsidR="001E3364">
            <w:pPr>
              <w:spacing w:lineRule="auto" w:line="240" w:after="0"/>
              <w:rPr>
                <w:rFonts w:cs="Calibri" w:eastAsia="Times New Roman" w:hAnsi="Calibri" w:ascii="Calibri"/>
                <w:color w:val="000000"/>
                <w:sz w:val="18"/>
                <w:szCs w:val="18"/>
                <w:lang w:eastAsia="hr-HR"/>
              </w:rPr>
            </w:pPr>
            <w:r>
              <w:rPr>
                <w:rFonts w:cs="Calibri" w:eastAsia="Times New Roman" w:hAnsi="Calibri" w:ascii="Calibri"/>
                <w:color w:val="000000"/>
                <w:sz w:val="18"/>
                <w:szCs w:val="18"/>
                <w:lang w:eastAsia="hr-HR"/>
              </w:rPr>
              <w:t xml:space="preserve">    2. Proizvodnja u tijeku</w:t>
            </w:r>
          </w:p>
        </w:tc>
        <w:tc>
          <w:tcPr>
            <w:tcW w:type="dxa" w:w="1134"/>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color w:val="000000"/>
                <w:sz w:val="16"/>
                <w:szCs w:val="16"/>
              </w:rPr>
            </w:pPr>
            <w:r>
              <w:rPr>
                <w:rFonts w:cs="Calibri" w:hAnsi="Calibri" w:ascii="Calibri"/>
                <w:color w:val="000000"/>
                <w:sz w:val="16"/>
                <w:szCs w:val="16"/>
              </w:rPr>
              <w:t>303.785</w:t>
            </w:r>
          </w:p>
        </w:tc>
        <w:tc>
          <w:tcPr>
            <w:tcW w:type="dxa" w:w="1134"/>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b/>
                <w:bCs/>
                <w:i/>
                <w:iCs/>
                <w:color w:val="000000"/>
                <w:sz w:val="16"/>
                <w:szCs w:val="16"/>
              </w:rPr>
            </w:pPr>
            <w:r>
              <w:rPr>
                <w:rFonts w:cs="Calibri" w:hAnsi="Calibri" w:ascii="Calibri"/>
                <w:b/>
                <w:bCs/>
                <w:i/>
                <w:iCs/>
                <w:color w:val="000000"/>
                <w:sz w:val="16"/>
                <w:szCs w:val="16"/>
              </w:rPr>
              <w:t> </w:t>
            </w:r>
          </w:p>
        </w:tc>
      </w:tr>
      <w:tr w:rsidTr="001E3364" w:rsidR="001E3364">
        <w:trPr>
          <w:trHeight w:val="240"/>
        </w:trPr>
        <w:tc>
          <w:tcPr>
            <w:tcW w:type="dxa" w:w="7220"/>
            <w:tcBorders>
              <w:top w:val="nil"/>
              <w:left w:space="0" w:sz="8" w:color="B8CCE4" w:val="single"/>
              <w:bottom w:space="0" w:sz="8" w:color="B8CCE4" w:val="single"/>
              <w:right w:space="0" w:sz="8" w:color="B8CCE4" w:val="single"/>
            </w:tcBorders>
            <w:noWrap/>
            <w:vAlign w:val="center"/>
            <w:hideMark/>
          </w:tcPr>
          <w:p w:rsidRDefault="001E3364" w:rsidR="001E3364">
            <w:pPr>
              <w:spacing w:lineRule="auto" w:line="240" w:after="0"/>
              <w:rPr>
                <w:rFonts w:cs="Calibri" w:eastAsia="Times New Roman" w:hAnsi="Calibri" w:ascii="Calibri"/>
                <w:color w:val="000000"/>
                <w:sz w:val="18"/>
                <w:szCs w:val="18"/>
                <w:lang w:eastAsia="hr-HR"/>
              </w:rPr>
            </w:pPr>
            <w:r>
              <w:rPr>
                <w:rFonts w:cs="Calibri" w:eastAsia="Times New Roman" w:hAnsi="Calibri" w:ascii="Calibri"/>
                <w:color w:val="000000"/>
                <w:sz w:val="18"/>
                <w:szCs w:val="18"/>
                <w:lang w:eastAsia="hr-HR"/>
              </w:rPr>
              <w:t xml:space="preserve">    3. Gotovi proizvodi</w:t>
            </w:r>
          </w:p>
        </w:tc>
        <w:tc>
          <w:tcPr>
            <w:tcW w:type="dxa" w:w="1134"/>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color w:val="000000"/>
                <w:sz w:val="16"/>
                <w:szCs w:val="16"/>
              </w:rPr>
            </w:pPr>
            <w:r>
              <w:rPr>
                <w:rFonts w:cs="Calibri" w:hAnsi="Calibri" w:ascii="Calibri"/>
                <w:color w:val="000000"/>
                <w:sz w:val="16"/>
                <w:szCs w:val="16"/>
              </w:rPr>
              <w:t>3.268.032</w:t>
            </w:r>
          </w:p>
        </w:tc>
        <w:tc>
          <w:tcPr>
            <w:tcW w:type="dxa" w:w="1134"/>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b/>
                <w:bCs/>
                <w:i/>
                <w:iCs/>
                <w:color w:val="000000"/>
                <w:sz w:val="16"/>
                <w:szCs w:val="16"/>
              </w:rPr>
            </w:pPr>
            <w:r>
              <w:rPr>
                <w:rFonts w:cs="Calibri" w:hAnsi="Calibri" w:ascii="Calibri"/>
                <w:b/>
                <w:bCs/>
                <w:i/>
                <w:iCs/>
                <w:color w:val="000000"/>
                <w:sz w:val="16"/>
                <w:szCs w:val="16"/>
              </w:rPr>
              <w:t> </w:t>
            </w:r>
          </w:p>
        </w:tc>
      </w:tr>
      <w:tr w:rsidTr="001E3364" w:rsidR="001E3364">
        <w:trPr>
          <w:trHeight w:val="240"/>
        </w:trPr>
        <w:tc>
          <w:tcPr>
            <w:tcW w:type="dxa" w:w="7220"/>
            <w:tcBorders>
              <w:top w:val="nil"/>
              <w:left w:space="0" w:sz="8" w:color="B8CCE4" w:val="single"/>
              <w:bottom w:space="0" w:sz="8" w:color="B8CCE4" w:val="single"/>
              <w:right w:space="0" w:sz="8" w:color="B8CCE4" w:val="single"/>
            </w:tcBorders>
            <w:noWrap/>
            <w:vAlign w:val="center"/>
            <w:hideMark/>
          </w:tcPr>
          <w:p w:rsidRDefault="001E3364" w:rsidR="001E3364">
            <w:pPr>
              <w:spacing w:lineRule="auto" w:line="240" w:after="0"/>
              <w:rPr>
                <w:rFonts w:cs="Calibri" w:eastAsia="Times New Roman" w:hAnsi="Calibri" w:ascii="Calibri"/>
                <w:color w:val="000000"/>
                <w:sz w:val="18"/>
                <w:szCs w:val="18"/>
                <w:lang w:eastAsia="hr-HR"/>
              </w:rPr>
            </w:pPr>
            <w:r>
              <w:rPr>
                <w:rFonts w:cs="Calibri" w:eastAsia="Times New Roman" w:hAnsi="Calibri" w:ascii="Calibri"/>
                <w:color w:val="000000"/>
                <w:sz w:val="18"/>
                <w:szCs w:val="18"/>
                <w:lang w:eastAsia="hr-HR"/>
              </w:rPr>
              <w:t xml:space="preserve">    4. Trgovačka roba</w:t>
            </w:r>
          </w:p>
        </w:tc>
        <w:tc>
          <w:tcPr>
            <w:tcW w:type="dxa" w:w="1134"/>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color w:val="000000"/>
                <w:sz w:val="16"/>
                <w:szCs w:val="16"/>
              </w:rPr>
            </w:pPr>
            <w:r>
              <w:rPr>
                <w:rFonts w:cs="Calibri" w:hAnsi="Calibri" w:ascii="Calibri"/>
                <w:color w:val="000000"/>
                <w:sz w:val="16"/>
                <w:szCs w:val="16"/>
              </w:rPr>
              <w:t>5.958.321</w:t>
            </w:r>
          </w:p>
        </w:tc>
        <w:tc>
          <w:tcPr>
            <w:tcW w:type="dxa" w:w="1134"/>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b/>
                <w:bCs/>
                <w:i/>
                <w:iCs/>
                <w:color w:val="000000"/>
                <w:sz w:val="16"/>
                <w:szCs w:val="16"/>
              </w:rPr>
            </w:pPr>
            <w:r>
              <w:rPr>
                <w:rFonts w:cs="Calibri" w:hAnsi="Calibri" w:ascii="Calibri"/>
                <w:b/>
                <w:bCs/>
                <w:i/>
                <w:iCs/>
                <w:color w:val="000000"/>
                <w:sz w:val="16"/>
                <w:szCs w:val="16"/>
              </w:rPr>
              <w:t> </w:t>
            </w:r>
          </w:p>
        </w:tc>
      </w:tr>
      <w:tr w:rsidTr="001E3364" w:rsidR="001E3364">
        <w:trPr>
          <w:trHeight w:val="240"/>
        </w:trPr>
        <w:tc>
          <w:tcPr>
            <w:tcW w:type="dxa" w:w="7220"/>
            <w:tcBorders>
              <w:top w:val="nil"/>
              <w:left w:space="0" w:sz="8" w:color="B8CCE4" w:val="single"/>
              <w:bottom w:space="0" w:sz="8" w:color="B8CCE4" w:val="single"/>
              <w:right w:space="0" w:sz="8" w:color="B8CCE4" w:val="single"/>
            </w:tcBorders>
            <w:noWrap/>
            <w:vAlign w:val="center"/>
            <w:hideMark/>
          </w:tcPr>
          <w:p w:rsidRDefault="001E3364" w:rsidR="001E3364">
            <w:pPr>
              <w:spacing w:lineRule="auto" w:line="240" w:after="0"/>
              <w:rPr>
                <w:rFonts w:cs="Calibri" w:eastAsia="Times New Roman" w:hAnsi="Calibri" w:ascii="Calibri"/>
                <w:color w:val="000000"/>
                <w:sz w:val="18"/>
                <w:szCs w:val="18"/>
                <w:lang w:eastAsia="hr-HR"/>
              </w:rPr>
            </w:pPr>
            <w:r>
              <w:rPr>
                <w:rFonts w:cs="Calibri" w:eastAsia="Times New Roman" w:hAnsi="Calibri" w:ascii="Calibri"/>
                <w:color w:val="000000"/>
                <w:sz w:val="18"/>
                <w:szCs w:val="18"/>
                <w:lang w:eastAsia="hr-HR"/>
              </w:rPr>
              <w:t xml:space="preserve">    5. Predujmovi za zalihe</w:t>
            </w:r>
          </w:p>
        </w:tc>
        <w:tc>
          <w:tcPr>
            <w:tcW w:type="dxa" w:w="1134"/>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color w:val="000000"/>
                <w:sz w:val="16"/>
                <w:szCs w:val="16"/>
              </w:rPr>
            </w:pPr>
            <w:r>
              <w:rPr>
                <w:rFonts w:cs="Calibri" w:hAnsi="Calibri" w:ascii="Calibri"/>
                <w:color w:val="000000"/>
                <w:sz w:val="16"/>
                <w:szCs w:val="16"/>
              </w:rPr>
              <w:t>1.204.722</w:t>
            </w:r>
          </w:p>
        </w:tc>
        <w:tc>
          <w:tcPr>
            <w:tcW w:type="dxa" w:w="1134"/>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b/>
                <w:bCs/>
                <w:i/>
                <w:iCs/>
                <w:color w:val="000000"/>
                <w:sz w:val="16"/>
                <w:szCs w:val="16"/>
              </w:rPr>
            </w:pPr>
            <w:r>
              <w:rPr>
                <w:rFonts w:cs="Calibri" w:hAnsi="Calibri" w:ascii="Calibri"/>
                <w:b/>
                <w:bCs/>
                <w:i/>
                <w:iCs/>
                <w:color w:val="000000"/>
                <w:sz w:val="16"/>
                <w:szCs w:val="16"/>
              </w:rPr>
              <w:t> </w:t>
            </w:r>
          </w:p>
        </w:tc>
      </w:tr>
      <w:tr w:rsidTr="001E3364" w:rsidR="001E3364">
        <w:trPr>
          <w:trHeight w:val="240"/>
        </w:trPr>
        <w:tc>
          <w:tcPr>
            <w:tcW w:type="dxa" w:w="7220"/>
            <w:tcBorders>
              <w:top w:val="nil"/>
              <w:left w:space="0" w:sz="8" w:color="B8CCE4" w:val="single"/>
              <w:bottom w:space="0" w:sz="8" w:color="B8CCE4" w:val="single"/>
              <w:right w:space="0" w:sz="8" w:color="B8CCE4" w:val="single"/>
            </w:tcBorders>
            <w:noWrap/>
            <w:vAlign w:val="center"/>
            <w:hideMark/>
          </w:tcPr>
          <w:p w:rsidRDefault="001E3364" w:rsidR="001E3364">
            <w:pPr>
              <w:spacing w:lineRule="auto" w:line="240" w:after="0"/>
              <w:rPr>
                <w:rFonts w:cs="Calibri" w:eastAsia="Times New Roman" w:hAnsi="Calibri" w:ascii="Calibri"/>
                <w:b/>
                <w:bCs/>
                <w:color w:val="000000"/>
                <w:sz w:val="18"/>
                <w:szCs w:val="18"/>
                <w:lang w:eastAsia="hr-HR"/>
              </w:rPr>
            </w:pPr>
            <w:r>
              <w:rPr>
                <w:rFonts w:cs="Calibri" w:eastAsia="Times New Roman" w:hAnsi="Calibri" w:ascii="Calibri"/>
                <w:b/>
                <w:bCs/>
                <w:color w:val="000000"/>
                <w:sz w:val="18"/>
                <w:szCs w:val="18"/>
                <w:lang w:eastAsia="hr-HR"/>
              </w:rPr>
              <w:t>II. POTRAŽIVANJA (AOP 047 do 052)</w:t>
            </w:r>
          </w:p>
        </w:tc>
        <w:tc>
          <w:tcPr>
            <w:tcW w:type="dxa" w:w="1134"/>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b/>
                <w:bCs/>
                <w:color w:val="000000"/>
                <w:sz w:val="16"/>
                <w:szCs w:val="16"/>
              </w:rPr>
            </w:pPr>
            <w:r>
              <w:rPr>
                <w:rFonts w:cs="Calibri" w:hAnsi="Calibri" w:ascii="Calibri"/>
                <w:b/>
                <w:bCs/>
                <w:color w:val="000000"/>
                <w:sz w:val="16"/>
                <w:szCs w:val="16"/>
              </w:rPr>
              <w:t>16.937.704</w:t>
            </w:r>
          </w:p>
        </w:tc>
        <w:tc>
          <w:tcPr>
            <w:tcW w:type="dxa" w:w="1134"/>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b/>
                <w:bCs/>
                <w:i/>
                <w:iCs/>
                <w:color w:val="000000"/>
                <w:sz w:val="16"/>
                <w:szCs w:val="16"/>
              </w:rPr>
            </w:pPr>
            <w:r>
              <w:rPr>
                <w:rFonts w:cs="Calibri" w:hAnsi="Calibri" w:ascii="Calibri"/>
                <w:b/>
                <w:bCs/>
                <w:i/>
                <w:iCs/>
                <w:color w:val="000000"/>
                <w:sz w:val="16"/>
                <w:szCs w:val="16"/>
              </w:rPr>
              <w:t>13.550.163</w:t>
            </w:r>
          </w:p>
        </w:tc>
      </w:tr>
      <w:tr w:rsidTr="001E3364" w:rsidR="001E3364">
        <w:trPr>
          <w:trHeight w:val="240"/>
        </w:trPr>
        <w:tc>
          <w:tcPr>
            <w:tcW w:type="dxa" w:w="7220"/>
            <w:tcBorders>
              <w:top w:val="nil"/>
              <w:left w:space="0" w:sz="8" w:color="B8CCE4" w:val="single"/>
              <w:bottom w:space="0" w:sz="8" w:color="B8CCE4" w:val="single"/>
              <w:right w:space="0" w:sz="8" w:color="B8CCE4" w:val="single"/>
            </w:tcBorders>
            <w:noWrap/>
            <w:vAlign w:val="center"/>
            <w:hideMark/>
          </w:tcPr>
          <w:p w:rsidRDefault="001E3364" w:rsidR="001E3364">
            <w:pPr>
              <w:spacing w:lineRule="auto" w:line="240" w:after="0"/>
              <w:rPr>
                <w:rFonts w:cs="Calibri" w:eastAsia="Times New Roman" w:hAnsi="Calibri" w:ascii="Calibri"/>
                <w:color w:val="000000"/>
                <w:sz w:val="18"/>
                <w:szCs w:val="18"/>
                <w:lang w:eastAsia="hr-HR"/>
              </w:rPr>
            </w:pPr>
            <w:r>
              <w:rPr>
                <w:rFonts w:cs="Calibri" w:eastAsia="Times New Roman" w:hAnsi="Calibri" w:ascii="Calibri"/>
                <w:color w:val="000000"/>
                <w:sz w:val="18"/>
                <w:szCs w:val="18"/>
                <w:lang w:eastAsia="hr-HR"/>
              </w:rPr>
              <w:t xml:space="preserve">    1. Potraživanja od poduzetnika unutar grupe </w:t>
            </w:r>
          </w:p>
        </w:tc>
        <w:tc>
          <w:tcPr>
            <w:tcW w:type="dxa" w:w="1134"/>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color w:val="000000"/>
                <w:sz w:val="16"/>
                <w:szCs w:val="16"/>
              </w:rPr>
            </w:pPr>
            <w:r>
              <w:rPr>
                <w:rFonts w:cs="Calibri" w:hAnsi="Calibri" w:ascii="Calibri"/>
                <w:color w:val="000000"/>
                <w:sz w:val="16"/>
                <w:szCs w:val="16"/>
              </w:rPr>
              <w:t>0</w:t>
            </w:r>
          </w:p>
        </w:tc>
        <w:tc>
          <w:tcPr>
            <w:tcW w:type="dxa" w:w="1134"/>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b/>
                <w:bCs/>
                <w:i/>
                <w:iCs/>
                <w:color w:val="000000"/>
                <w:sz w:val="16"/>
                <w:szCs w:val="16"/>
              </w:rPr>
            </w:pPr>
            <w:r>
              <w:rPr>
                <w:rFonts w:cs="Calibri" w:hAnsi="Calibri" w:ascii="Calibri"/>
                <w:b/>
                <w:bCs/>
                <w:i/>
                <w:iCs/>
                <w:color w:val="000000"/>
                <w:sz w:val="16"/>
                <w:szCs w:val="16"/>
              </w:rPr>
              <w:t> </w:t>
            </w:r>
          </w:p>
        </w:tc>
      </w:tr>
      <w:tr w:rsidTr="001E3364" w:rsidR="001E3364">
        <w:trPr>
          <w:trHeight w:val="240"/>
        </w:trPr>
        <w:tc>
          <w:tcPr>
            <w:tcW w:type="dxa" w:w="7220"/>
            <w:tcBorders>
              <w:top w:val="nil"/>
              <w:left w:space="0" w:sz="8" w:color="B8CCE4" w:val="single"/>
              <w:bottom w:space="0" w:sz="8" w:color="B8CCE4" w:val="single"/>
              <w:right w:space="0" w:sz="8" w:color="B8CCE4" w:val="single"/>
            </w:tcBorders>
            <w:noWrap/>
            <w:vAlign w:val="center"/>
            <w:hideMark/>
          </w:tcPr>
          <w:p w:rsidRDefault="001E3364" w:rsidR="001E3364">
            <w:pPr>
              <w:spacing w:lineRule="auto" w:line="240" w:after="0"/>
              <w:rPr>
                <w:rFonts w:cs="Calibri" w:eastAsia="Times New Roman" w:hAnsi="Calibri" w:ascii="Calibri"/>
                <w:color w:val="000000"/>
                <w:sz w:val="18"/>
                <w:szCs w:val="18"/>
                <w:lang w:eastAsia="hr-HR"/>
              </w:rPr>
            </w:pPr>
            <w:r>
              <w:rPr>
                <w:rFonts w:cs="Calibri" w:eastAsia="Times New Roman" w:hAnsi="Calibri" w:ascii="Calibri"/>
                <w:color w:val="000000"/>
                <w:sz w:val="18"/>
                <w:szCs w:val="18"/>
                <w:lang w:eastAsia="hr-HR"/>
              </w:rPr>
              <w:t xml:space="preserve">    2. Potraživanja od društava povezanih sudjelujućim interesom</w:t>
            </w:r>
          </w:p>
        </w:tc>
        <w:tc>
          <w:tcPr>
            <w:tcW w:type="dxa" w:w="1134"/>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color w:val="000000"/>
                <w:sz w:val="16"/>
                <w:szCs w:val="16"/>
              </w:rPr>
            </w:pPr>
            <w:r>
              <w:rPr>
                <w:rFonts w:cs="Calibri" w:hAnsi="Calibri" w:ascii="Calibri"/>
                <w:color w:val="000000"/>
                <w:sz w:val="16"/>
                <w:szCs w:val="16"/>
              </w:rPr>
              <w:t>0</w:t>
            </w:r>
          </w:p>
        </w:tc>
        <w:tc>
          <w:tcPr>
            <w:tcW w:type="dxa" w:w="1134"/>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b/>
                <w:bCs/>
                <w:i/>
                <w:iCs/>
                <w:color w:val="000000"/>
                <w:sz w:val="16"/>
                <w:szCs w:val="16"/>
              </w:rPr>
            </w:pPr>
            <w:r>
              <w:rPr>
                <w:rFonts w:cs="Calibri" w:hAnsi="Calibri" w:ascii="Calibri"/>
                <w:b/>
                <w:bCs/>
                <w:i/>
                <w:iCs/>
                <w:color w:val="000000"/>
                <w:sz w:val="16"/>
                <w:szCs w:val="16"/>
              </w:rPr>
              <w:t> </w:t>
            </w:r>
          </w:p>
        </w:tc>
      </w:tr>
      <w:tr w:rsidTr="001E3364" w:rsidR="001E3364">
        <w:trPr>
          <w:trHeight w:val="240"/>
        </w:trPr>
        <w:tc>
          <w:tcPr>
            <w:tcW w:type="dxa" w:w="7220"/>
            <w:tcBorders>
              <w:top w:val="nil"/>
              <w:left w:space="0" w:sz="8" w:color="B8CCE4" w:val="single"/>
              <w:bottom w:space="0" w:sz="8" w:color="B8CCE4" w:val="single"/>
              <w:right w:space="0" w:sz="8" w:color="B8CCE4" w:val="single"/>
            </w:tcBorders>
            <w:noWrap/>
            <w:vAlign w:val="center"/>
            <w:hideMark/>
          </w:tcPr>
          <w:p w:rsidRDefault="001E3364" w:rsidR="001E3364">
            <w:pPr>
              <w:spacing w:lineRule="auto" w:line="240" w:after="0"/>
              <w:rPr>
                <w:rFonts w:cs="Calibri" w:eastAsia="Times New Roman" w:hAnsi="Calibri" w:ascii="Calibri"/>
                <w:color w:val="000000"/>
                <w:sz w:val="18"/>
                <w:szCs w:val="18"/>
                <w:lang w:eastAsia="hr-HR"/>
              </w:rPr>
            </w:pPr>
            <w:r>
              <w:rPr>
                <w:rFonts w:cs="Calibri" w:eastAsia="Times New Roman" w:hAnsi="Calibri" w:ascii="Calibri"/>
                <w:color w:val="000000"/>
                <w:sz w:val="18"/>
                <w:szCs w:val="18"/>
                <w:lang w:eastAsia="hr-HR"/>
              </w:rPr>
              <w:t xml:space="preserve">    3. Potraživanja od kupaca</w:t>
            </w:r>
          </w:p>
        </w:tc>
        <w:tc>
          <w:tcPr>
            <w:tcW w:type="dxa" w:w="1134"/>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color w:val="000000"/>
                <w:sz w:val="16"/>
                <w:szCs w:val="16"/>
              </w:rPr>
            </w:pPr>
            <w:r>
              <w:rPr>
                <w:rFonts w:cs="Calibri" w:hAnsi="Calibri" w:ascii="Calibri"/>
                <w:color w:val="000000"/>
                <w:sz w:val="16"/>
                <w:szCs w:val="16"/>
              </w:rPr>
              <w:t>10.106.102</w:t>
            </w:r>
          </w:p>
        </w:tc>
        <w:tc>
          <w:tcPr>
            <w:tcW w:type="dxa" w:w="1134"/>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b/>
                <w:bCs/>
                <w:i/>
                <w:iCs/>
                <w:color w:val="000000"/>
                <w:sz w:val="16"/>
                <w:szCs w:val="16"/>
              </w:rPr>
            </w:pPr>
            <w:r>
              <w:rPr>
                <w:rFonts w:cs="Calibri" w:hAnsi="Calibri" w:ascii="Calibri"/>
                <w:b/>
                <w:bCs/>
                <w:i/>
                <w:iCs/>
                <w:color w:val="000000"/>
                <w:sz w:val="16"/>
                <w:szCs w:val="16"/>
              </w:rPr>
              <w:t>8.084.882</w:t>
            </w:r>
          </w:p>
        </w:tc>
      </w:tr>
      <w:tr w:rsidTr="001E3364" w:rsidR="001E3364">
        <w:trPr>
          <w:trHeight w:val="240"/>
        </w:trPr>
        <w:tc>
          <w:tcPr>
            <w:tcW w:type="dxa" w:w="7220"/>
            <w:tcBorders>
              <w:top w:val="nil"/>
              <w:left w:space="0" w:sz="8" w:color="B8CCE4" w:val="single"/>
              <w:bottom w:space="0" w:sz="8" w:color="B8CCE4" w:val="single"/>
              <w:right w:space="0" w:sz="8" w:color="B8CCE4" w:val="single"/>
            </w:tcBorders>
            <w:noWrap/>
            <w:vAlign w:val="center"/>
            <w:hideMark/>
          </w:tcPr>
          <w:p w:rsidRDefault="001E3364" w:rsidR="001E3364">
            <w:pPr>
              <w:spacing w:lineRule="auto" w:line="240" w:after="0"/>
              <w:rPr>
                <w:rFonts w:cs="Calibri" w:eastAsia="Times New Roman" w:hAnsi="Calibri" w:ascii="Calibri"/>
                <w:color w:val="000000"/>
                <w:sz w:val="18"/>
                <w:szCs w:val="18"/>
                <w:lang w:eastAsia="hr-HR"/>
              </w:rPr>
            </w:pPr>
            <w:r>
              <w:rPr>
                <w:rFonts w:cs="Calibri" w:eastAsia="Times New Roman" w:hAnsi="Calibri" w:ascii="Calibri"/>
                <w:color w:val="000000"/>
                <w:sz w:val="18"/>
                <w:szCs w:val="18"/>
                <w:lang w:eastAsia="hr-HR"/>
              </w:rPr>
              <w:t xml:space="preserve">    4. Potraživanja od zaposlenika i članova poduzetnika</w:t>
            </w:r>
          </w:p>
        </w:tc>
        <w:tc>
          <w:tcPr>
            <w:tcW w:type="dxa" w:w="1134"/>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color w:val="000000"/>
                <w:sz w:val="16"/>
                <w:szCs w:val="16"/>
              </w:rPr>
            </w:pPr>
            <w:r>
              <w:rPr>
                <w:rFonts w:cs="Calibri" w:hAnsi="Calibri" w:ascii="Calibri"/>
                <w:color w:val="000000"/>
                <w:sz w:val="16"/>
                <w:szCs w:val="16"/>
              </w:rPr>
              <w:t>0</w:t>
            </w:r>
          </w:p>
        </w:tc>
        <w:tc>
          <w:tcPr>
            <w:tcW w:type="dxa" w:w="1134"/>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b/>
                <w:bCs/>
                <w:i/>
                <w:iCs/>
                <w:color w:val="000000"/>
                <w:sz w:val="16"/>
                <w:szCs w:val="16"/>
              </w:rPr>
            </w:pPr>
            <w:r>
              <w:rPr>
                <w:rFonts w:cs="Calibri" w:hAnsi="Calibri" w:ascii="Calibri"/>
                <w:b/>
                <w:bCs/>
                <w:i/>
                <w:iCs/>
                <w:color w:val="000000"/>
                <w:sz w:val="16"/>
                <w:szCs w:val="16"/>
              </w:rPr>
              <w:t> </w:t>
            </w:r>
          </w:p>
        </w:tc>
      </w:tr>
      <w:tr w:rsidTr="001E3364" w:rsidR="001E3364">
        <w:trPr>
          <w:trHeight w:val="240"/>
        </w:trPr>
        <w:tc>
          <w:tcPr>
            <w:tcW w:type="dxa" w:w="7220"/>
            <w:tcBorders>
              <w:top w:val="nil"/>
              <w:left w:space="0" w:sz="8" w:color="B8CCE4" w:val="single"/>
              <w:bottom w:space="0" w:sz="8" w:color="B8CCE4" w:val="single"/>
              <w:right w:space="0" w:sz="8" w:color="B8CCE4" w:val="single"/>
            </w:tcBorders>
            <w:noWrap/>
            <w:vAlign w:val="center"/>
            <w:hideMark/>
          </w:tcPr>
          <w:p w:rsidRDefault="001E3364" w:rsidR="001E3364">
            <w:pPr>
              <w:spacing w:lineRule="auto" w:line="240" w:after="0"/>
              <w:rPr>
                <w:rFonts w:cs="Calibri" w:eastAsia="Times New Roman" w:hAnsi="Calibri" w:ascii="Calibri"/>
                <w:color w:val="000000"/>
                <w:sz w:val="18"/>
                <w:szCs w:val="18"/>
                <w:lang w:eastAsia="hr-HR"/>
              </w:rPr>
            </w:pPr>
            <w:r>
              <w:rPr>
                <w:rFonts w:cs="Calibri" w:eastAsia="Times New Roman" w:hAnsi="Calibri" w:ascii="Calibri"/>
                <w:color w:val="000000"/>
                <w:sz w:val="18"/>
                <w:szCs w:val="18"/>
                <w:lang w:eastAsia="hr-HR"/>
              </w:rPr>
              <w:t xml:space="preserve">    5. Potraživanja od države i drugih institucija</w:t>
            </w:r>
          </w:p>
        </w:tc>
        <w:tc>
          <w:tcPr>
            <w:tcW w:type="dxa" w:w="1134"/>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color w:val="000000"/>
                <w:sz w:val="16"/>
                <w:szCs w:val="16"/>
              </w:rPr>
            </w:pPr>
            <w:r>
              <w:rPr>
                <w:rFonts w:cs="Calibri" w:hAnsi="Calibri" w:ascii="Calibri"/>
                <w:color w:val="000000"/>
                <w:sz w:val="16"/>
                <w:szCs w:val="16"/>
              </w:rPr>
              <w:t>19.549</w:t>
            </w:r>
          </w:p>
        </w:tc>
        <w:tc>
          <w:tcPr>
            <w:tcW w:type="dxa" w:w="1134"/>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b/>
                <w:bCs/>
                <w:i/>
                <w:iCs/>
                <w:color w:val="000000"/>
                <w:sz w:val="16"/>
                <w:szCs w:val="16"/>
              </w:rPr>
            </w:pPr>
            <w:r>
              <w:rPr>
                <w:rFonts w:cs="Calibri" w:hAnsi="Calibri" w:ascii="Calibri"/>
                <w:b/>
                <w:bCs/>
                <w:i/>
                <w:iCs/>
                <w:color w:val="000000"/>
                <w:sz w:val="16"/>
                <w:szCs w:val="16"/>
              </w:rPr>
              <w:t>19.549</w:t>
            </w:r>
          </w:p>
        </w:tc>
      </w:tr>
      <w:tr w:rsidTr="001E3364" w:rsidR="001E3364">
        <w:trPr>
          <w:trHeight w:val="240"/>
        </w:trPr>
        <w:tc>
          <w:tcPr>
            <w:tcW w:type="dxa" w:w="7220"/>
            <w:tcBorders>
              <w:top w:val="nil"/>
              <w:left w:space="0" w:sz="8" w:color="B8CCE4" w:val="single"/>
              <w:bottom w:space="0" w:sz="8" w:color="B8CCE4" w:val="single"/>
              <w:right w:space="0" w:sz="8" w:color="B8CCE4" w:val="single"/>
            </w:tcBorders>
            <w:noWrap/>
            <w:vAlign w:val="center"/>
            <w:hideMark/>
          </w:tcPr>
          <w:p w:rsidRDefault="001E3364" w:rsidR="001E3364">
            <w:pPr>
              <w:spacing w:lineRule="auto" w:line="240" w:after="0"/>
              <w:rPr>
                <w:rFonts w:cs="Calibri" w:eastAsia="Times New Roman" w:hAnsi="Calibri" w:ascii="Calibri"/>
                <w:color w:val="000000"/>
                <w:sz w:val="18"/>
                <w:szCs w:val="18"/>
                <w:lang w:eastAsia="hr-HR"/>
              </w:rPr>
            </w:pPr>
            <w:r>
              <w:rPr>
                <w:rFonts w:cs="Calibri" w:eastAsia="Times New Roman" w:hAnsi="Calibri" w:ascii="Calibri"/>
                <w:color w:val="000000"/>
                <w:sz w:val="18"/>
                <w:szCs w:val="18"/>
                <w:lang w:eastAsia="hr-HR"/>
              </w:rPr>
              <w:t xml:space="preserve">    6. Ostala potraživanja</w:t>
            </w:r>
          </w:p>
        </w:tc>
        <w:tc>
          <w:tcPr>
            <w:tcW w:type="dxa" w:w="1134"/>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color w:val="000000"/>
                <w:sz w:val="16"/>
                <w:szCs w:val="16"/>
              </w:rPr>
            </w:pPr>
            <w:r>
              <w:rPr>
                <w:rFonts w:cs="Calibri" w:hAnsi="Calibri" w:ascii="Calibri"/>
                <w:color w:val="000000"/>
                <w:sz w:val="16"/>
                <w:szCs w:val="16"/>
              </w:rPr>
              <w:t>6.812.053</w:t>
            </w:r>
          </w:p>
        </w:tc>
        <w:tc>
          <w:tcPr>
            <w:tcW w:type="dxa" w:w="1134"/>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b/>
                <w:bCs/>
                <w:i/>
                <w:iCs/>
                <w:color w:val="000000"/>
                <w:sz w:val="16"/>
                <w:szCs w:val="16"/>
              </w:rPr>
            </w:pPr>
            <w:r>
              <w:rPr>
                <w:rFonts w:cs="Calibri" w:hAnsi="Calibri" w:ascii="Calibri"/>
                <w:b/>
                <w:bCs/>
                <w:i/>
                <w:iCs/>
                <w:color w:val="000000"/>
                <w:sz w:val="16"/>
                <w:szCs w:val="16"/>
              </w:rPr>
              <w:t>5.449.642</w:t>
            </w:r>
          </w:p>
        </w:tc>
      </w:tr>
      <w:tr w:rsidTr="001E3364" w:rsidR="001E3364">
        <w:trPr>
          <w:trHeight w:val="240"/>
        </w:trPr>
        <w:tc>
          <w:tcPr>
            <w:tcW w:type="dxa" w:w="7220"/>
            <w:tcBorders>
              <w:top w:val="nil"/>
              <w:left w:space="0" w:sz="8" w:color="B8CCE4" w:val="single"/>
              <w:bottom w:space="0" w:sz="8" w:color="B8CCE4" w:val="single"/>
              <w:right w:space="0" w:sz="8" w:color="B8CCE4" w:val="single"/>
            </w:tcBorders>
            <w:noWrap/>
            <w:vAlign w:val="center"/>
            <w:hideMark/>
          </w:tcPr>
          <w:p w:rsidRDefault="001E3364" w:rsidR="001E3364">
            <w:pPr>
              <w:spacing w:lineRule="auto" w:line="240" w:after="0"/>
              <w:rPr>
                <w:rFonts w:cs="Calibri" w:eastAsia="Times New Roman" w:hAnsi="Calibri" w:ascii="Calibri"/>
                <w:b/>
                <w:bCs/>
                <w:color w:val="000000"/>
                <w:sz w:val="18"/>
                <w:szCs w:val="18"/>
                <w:lang w:eastAsia="hr-HR"/>
              </w:rPr>
            </w:pPr>
            <w:r>
              <w:rPr>
                <w:rFonts w:cs="Calibri" w:eastAsia="Times New Roman" w:hAnsi="Calibri" w:ascii="Calibri"/>
                <w:b/>
                <w:bCs/>
                <w:color w:val="000000"/>
                <w:sz w:val="18"/>
                <w:szCs w:val="18"/>
                <w:lang w:eastAsia="hr-HR"/>
              </w:rPr>
              <w:t>III. KRATKOTRAJNA FINANCIJSKA IMOVINA (AOP 054 do 062)</w:t>
            </w:r>
          </w:p>
        </w:tc>
        <w:tc>
          <w:tcPr>
            <w:tcW w:type="dxa" w:w="1134"/>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b/>
                <w:bCs/>
                <w:color w:val="000000"/>
                <w:sz w:val="16"/>
                <w:szCs w:val="16"/>
              </w:rPr>
            </w:pPr>
            <w:r>
              <w:rPr>
                <w:rFonts w:cs="Calibri" w:hAnsi="Calibri" w:ascii="Calibri"/>
                <w:b/>
                <w:bCs/>
                <w:color w:val="000000"/>
                <w:sz w:val="16"/>
                <w:szCs w:val="16"/>
              </w:rPr>
              <w:t>434.590</w:t>
            </w:r>
          </w:p>
        </w:tc>
        <w:tc>
          <w:tcPr>
            <w:tcW w:type="dxa" w:w="1134"/>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b/>
                <w:bCs/>
                <w:i/>
                <w:iCs/>
                <w:color w:val="000000"/>
                <w:sz w:val="16"/>
                <w:szCs w:val="16"/>
              </w:rPr>
            </w:pPr>
            <w:r>
              <w:rPr>
                <w:rFonts w:cs="Calibri" w:hAnsi="Calibri" w:ascii="Calibri"/>
                <w:b/>
                <w:bCs/>
                <w:i/>
                <w:iCs/>
                <w:color w:val="000000"/>
                <w:sz w:val="16"/>
                <w:szCs w:val="16"/>
              </w:rPr>
              <w:t>434.590</w:t>
            </w:r>
          </w:p>
        </w:tc>
      </w:tr>
      <w:tr w:rsidTr="001E3364" w:rsidR="001E3364">
        <w:trPr>
          <w:trHeight w:val="240"/>
        </w:trPr>
        <w:tc>
          <w:tcPr>
            <w:tcW w:type="dxa" w:w="7220"/>
            <w:tcBorders>
              <w:top w:val="nil"/>
              <w:left w:space="0" w:sz="8" w:color="B8CCE4" w:val="single"/>
              <w:bottom w:space="0" w:sz="8" w:color="B8CCE4" w:val="single"/>
              <w:right w:space="0" w:sz="8" w:color="B8CCE4" w:val="single"/>
            </w:tcBorders>
            <w:noWrap/>
            <w:vAlign w:val="center"/>
            <w:hideMark/>
          </w:tcPr>
          <w:p w:rsidRDefault="001E3364" w:rsidR="001E3364">
            <w:pPr>
              <w:spacing w:lineRule="auto" w:line="240" w:after="0"/>
              <w:rPr>
                <w:rFonts w:cs="Calibri" w:eastAsia="Times New Roman" w:hAnsi="Calibri" w:ascii="Calibri"/>
                <w:color w:val="000000"/>
                <w:sz w:val="18"/>
                <w:szCs w:val="18"/>
                <w:lang w:eastAsia="hr-HR"/>
              </w:rPr>
            </w:pPr>
            <w:r>
              <w:rPr>
                <w:rFonts w:cs="Calibri" w:eastAsia="Times New Roman" w:hAnsi="Calibri" w:ascii="Calibri"/>
                <w:color w:val="000000"/>
                <w:sz w:val="18"/>
                <w:szCs w:val="18"/>
                <w:lang w:eastAsia="hr-HR"/>
              </w:rPr>
              <w:t xml:space="preserve">     1. Ulaganja u udjele (dionice) poduzetnika unutar grupe</w:t>
            </w:r>
          </w:p>
        </w:tc>
        <w:tc>
          <w:tcPr>
            <w:tcW w:type="dxa" w:w="1134"/>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color w:val="000000"/>
                <w:sz w:val="16"/>
                <w:szCs w:val="16"/>
              </w:rPr>
            </w:pPr>
            <w:r>
              <w:rPr>
                <w:rFonts w:cs="Calibri" w:hAnsi="Calibri" w:ascii="Calibri"/>
                <w:color w:val="000000"/>
                <w:sz w:val="16"/>
                <w:szCs w:val="16"/>
              </w:rPr>
              <w:t>0</w:t>
            </w:r>
          </w:p>
        </w:tc>
        <w:tc>
          <w:tcPr>
            <w:tcW w:type="dxa" w:w="1134"/>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b/>
                <w:bCs/>
                <w:i/>
                <w:iCs/>
                <w:color w:val="000000"/>
                <w:sz w:val="16"/>
                <w:szCs w:val="16"/>
              </w:rPr>
            </w:pPr>
            <w:r>
              <w:rPr>
                <w:rFonts w:cs="Calibri" w:hAnsi="Calibri" w:ascii="Calibri"/>
                <w:b/>
                <w:bCs/>
                <w:i/>
                <w:iCs/>
                <w:color w:val="000000"/>
                <w:sz w:val="16"/>
                <w:szCs w:val="16"/>
              </w:rPr>
              <w:t> </w:t>
            </w:r>
          </w:p>
        </w:tc>
      </w:tr>
      <w:tr w:rsidTr="001E3364" w:rsidR="001E3364">
        <w:trPr>
          <w:trHeight w:val="240"/>
        </w:trPr>
        <w:tc>
          <w:tcPr>
            <w:tcW w:type="dxa" w:w="7220"/>
            <w:tcBorders>
              <w:top w:val="nil"/>
              <w:left w:space="0" w:sz="8" w:color="B8CCE4" w:val="single"/>
              <w:bottom w:space="0" w:sz="8" w:color="B8CCE4" w:val="single"/>
              <w:right w:space="0" w:sz="8" w:color="B8CCE4" w:val="single"/>
            </w:tcBorders>
            <w:noWrap/>
            <w:vAlign w:val="center"/>
            <w:hideMark/>
          </w:tcPr>
          <w:p w:rsidRDefault="001E3364" w:rsidR="001E3364">
            <w:pPr>
              <w:spacing w:lineRule="auto" w:line="240" w:after="0"/>
              <w:rPr>
                <w:rFonts w:cs="Calibri" w:eastAsia="Times New Roman" w:hAnsi="Calibri" w:ascii="Calibri"/>
                <w:color w:val="000000"/>
                <w:sz w:val="18"/>
                <w:szCs w:val="18"/>
                <w:lang w:eastAsia="hr-HR"/>
              </w:rPr>
            </w:pPr>
            <w:r>
              <w:rPr>
                <w:rFonts w:cs="Calibri" w:eastAsia="Times New Roman" w:hAnsi="Calibri" w:ascii="Calibri"/>
                <w:color w:val="000000"/>
                <w:sz w:val="18"/>
                <w:szCs w:val="18"/>
                <w:lang w:eastAsia="hr-HR"/>
              </w:rPr>
              <w:t xml:space="preserve">     2. Ulaganja u ostale vrijednosne papire poduzetnika unutar grupe</w:t>
            </w:r>
          </w:p>
        </w:tc>
        <w:tc>
          <w:tcPr>
            <w:tcW w:type="dxa" w:w="1134"/>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color w:val="000000"/>
                <w:sz w:val="16"/>
                <w:szCs w:val="16"/>
              </w:rPr>
            </w:pPr>
            <w:r>
              <w:rPr>
                <w:rFonts w:cs="Calibri" w:hAnsi="Calibri" w:ascii="Calibri"/>
                <w:color w:val="000000"/>
                <w:sz w:val="16"/>
                <w:szCs w:val="16"/>
              </w:rPr>
              <w:t>0</w:t>
            </w:r>
          </w:p>
        </w:tc>
        <w:tc>
          <w:tcPr>
            <w:tcW w:type="dxa" w:w="1134"/>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b/>
                <w:bCs/>
                <w:i/>
                <w:iCs/>
                <w:color w:val="000000"/>
                <w:sz w:val="16"/>
                <w:szCs w:val="16"/>
              </w:rPr>
            </w:pPr>
            <w:r>
              <w:rPr>
                <w:rFonts w:cs="Calibri" w:hAnsi="Calibri" w:ascii="Calibri"/>
                <w:b/>
                <w:bCs/>
                <w:i/>
                <w:iCs/>
                <w:color w:val="000000"/>
                <w:sz w:val="16"/>
                <w:szCs w:val="16"/>
              </w:rPr>
              <w:t> </w:t>
            </w:r>
          </w:p>
        </w:tc>
      </w:tr>
      <w:tr w:rsidTr="001E3364" w:rsidR="001E3364">
        <w:trPr>
          <w:trHeight w:val="240"/>
        </w:trPr>
        <w:tc>
          <w:tcPr>
            <w:tcW w:type="dxa" w:w="7220"/>
            <w:tcBorders>
              <w:top w:val="nil"/>
              <w:left w:space="0" w:sz="8" w:color="B8CCE4" w:val="single"/>
              <w:bottom w:space="0" w:sz="8" w:color="B8CCE4" w:val="single"/>
              <w:right w:space="0" w:sz="8" w:color="B8CCE4" w:val="single"/>
            </w:tcBorders>
            <w:noWrap/>
            <w:vAlign w:val="center"/>
            <w:hideMark/>
          </w:tcPr>
          <w:p w:rsidRDefault="001E3364" w:rsidR="001E3364">
            <w:pPr>
              <w:spacing w:lineRule="auto" w:line="240" w:after="0"/>
              <w:rPr>
                <w:rFonts w:cs="Calibri" w:eastAsia="Times New Roman" w:hAnsi="Calibri" w:ascii="Calibri"/>
                <w:color w:val="000000"/>
                <w:sz w:val="18"/>
                <w:szCs w:val="18"/>
                <w:lang w:eastAsia="hr-HR"/>
              </w:rPr>
            </w:pPr>
            <w:r>
              <w:rPr>
                <w:rFonts w:cs="Calibri" w:eastAsia="Times New Roman" w:hAnsi="Calibri" w:ascii="Calibri"/>
                <w:color w:val="000000"/>
                <w:sz w:val="18"/>
                <w:szCs w:val="18"/>
                <w:lang w:eastAsia="hr-HR"/>
              </w:rPr>
              <w:t xml:space="preserve">     3. Dani zajmovi, depoziti i slično poduzetnicima unutar grupe</w:t>
            </w:r>
          </w:p>
        </w:tc>
        <w:tc>
          <w:tcPr>
            <w:tcW w:type="dxa" w:w="1134"/>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color w:val="000000"/>
                <w:sz w:val="16"/>
                <w:szCs w:val="16"/>
              </w:rPr>
            </w:pPr>
            <w:r>
              <w:rPr>
                <w:rFonts w:cs="Calibri" w:hAnsi="Calibri" w:ascii="Calibri"/>
                <w:color w:val="000000"/>
                <w:sz w:val="16"/>
                <w:szCs w:val="16"/>
              </w:rPr>
              <w:t>0</w:t>
            </w:r>
          </w:p>
        </w:tc>
        <w:tc>
          <w:tcPr>
            <w:tcW w:type="dxa" w:w="1134"/>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b/>
                <w:bCs/>
                <w:i/>
                <w:iCs/>
                <w:color w:val="000000"/>
                <w:sz w:val="16"/>
                <w:szCs w:val="16"/>
              </w:rPr>
            </w:pPr>
            <w:r>
              <w:rPr>
                <w:rFonts w:cs="Calibri" w:hAnsi="Calibri" w:ascii="Calibri"/>
                <w:b/>
                <w:bCs/>
                <w:i/>
                <w:iCs/>
                <w:color w:val="000000"/>
                <w:sz w:val="16"/>
                <w:szCs w:val="16"/>
              </w:rPr>
              <w:t> </w:t>
            </w:r>
          </w:p>
        </w:tc>
      </w:tr>
      <w:tr w:rsidTr="001E3364" w:rsidR="001E3364">
        <w:trPr>
          <w:trHeight w:val="240"/>
        </w:trPr>
        <w:tc>
          <w:tcPr>
            <w:tcW w:type="dxa" w:w="7220"/>
            <w:tcBorders>
              <w:top w:val="nil"/>
              <w:left w:space="0" w:sz="8" w:color="B8CCE4" w:val="single"/>
              <w:bottom w:space="0" w:sz="8" w:color="B8CCE4" w:val="single"/>
              <w:right w:space="0" w:sz="8" w:color="B8CCE4" w:val="single"/>
            </w:tcBorders>
            <w:noWrap/>
            <w:vAlign w:val="center"/>
            <w:hideMark/>
          </w:tcPr>
          <w:p w:rsidRDefault="001E3364" w:rsidR="001E3364">
            <w:pPr>
              <w:spacing w:lineRule="auto" w:line="240" w:after="0"/>
              <w:rPr>
                <w:rFonts w:cs="Calibri" w:eastAsia="Times New Roman" w:hAnsi="Calibri" w:ascii="Calibri"/>
                <w:color w:val="000000"/>
                <w:sz w:val="18"/>
                <w:szCs w:val="18"/>
                <w:lang w:eastAsia="hr-HR"/>
              </w:rPr>
            </w:pPr>
            <w:r>
              <w:rPr>
                <w:rFonts w:cs="Calibri" w:eastAsia="Times New Roman" w:hAnsi="Calibri" w:ascii="Calibri"/>
                <w:color w:val="000000"/>
                <w:sz w:val="18"/>
                <w:szCs w:val="18"/>
                <w:lang w:eastAsia="hr-HR"/>
              </w:rPr>
              <w:t xml:space="preserve">     4. Ulaganja u udjele (dionice) društava povezanih</w:t>
            </w:r>
            <w:r>
              <w:rPr>
                <w:rFonts w:cs="Calibri" w:eastAsia="Times New Roman" w:hAnsi="Calibri" w:ascii="Calibri"/>
                <w:color w:val="000000"/>
                <w:sz w:val="18"/>
                <w:szCs w:val="18"/>
                <w:lang w:eastAsia="hr-HR"/>
              </w:rPr>
              <w:br/>
              <w:t xml:space="preserve">         sudjelujućim interesom</w:t>
            </w:r>
          </w:p>
        </w:tc>
        <w:tc>
          <w:tcPr>
            <w:tcW w:type="dxa" w:w="1134"/>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color w:val="000000"/>
                <w:sz w:val="16"/>
                <w:szCs w:val="16"/>
              </w:rPr>
            </w:pPr>
            <w:r>
              <w:rPr>
                <w:rFonts w:cs="Calibri" w:hAnsi="Calibri" w:ascii="Calibri"/>
                <w:color w:val="000000"/>
                <w:sz w:val="16"/>
                <w:szCs w:val="16"/>
              </w:rPr>
              <w:t>0</w:t>
            </w:r>
          </w:p>
        </w:tc>
        <w:tc>
          <w:tcPr>
            <w:tcW w:type="dxa" w:w="1134"/>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b/>
                <w:bCs/>
                <w:i/>
                <w:iCs/>
                <w:color w:val="000000"/>
                <w:sz w:val="16"/>
                <w:szCs w:val="16"/>
              </w:rPr>
            </w:pPr>
            <w:r>
              <w:rPr>
                <w:rFonts w:cs="Calibri" w:hAnsi="Calibri" w:ascii="Calibri"/>
                <w:b/>
                <w:bCs/>
                <w:i/>
                <w:iCs/>
                <w:color w:val="000000"/>
                <w:sz w:val="16"/>
                <w:szCs w:val="16"/>
              </w:rPr>
              <w:t> </w:t>
            </w:r>
          </w:p>
        </w:tc>
      </w:tr>
      <w:tr w:rsidTr="001E3364" w:rsidR="001E3364">
        <w:trPr>
          <w:trHeight w:val="240"/>
        </w:trPr>
        <w:tc>
          <w:tcPr>
            <w:tcW w:type="dxa" w:w="7220"/>
            <w:tcBorders>
              <w:top w:val="nil"/>
              <w:left w:space="0" w:sz="8" w:color="B8CCE4" w:val="single"/>
              <w:bottom w:space="0" w:sz="8" w:color="B8CCE4" w:val="single"/>
              <w:right w:space="0" w:sz="8" w:color="B8CCE4" w:val="single"/>
            </w:tcBorders>
            <w:noWrap/>
            <w:vAlign w:val="center"/>
            <w:hideMark/>
          </w:tcPr>
          <w:p w:rsidRDefault="001E3364" w:rsidR="001E3364">
            <w:pPr>
              <w:spacing w:lineRule="auto" w:line="240" w:after="0"/>
              <w:rPr>
                <w:rFonts w:cs="Calibri" w:eastAsia="Times New Roman" w:hAnsi="Calibri" w:ascii="Calibri"/>
                <w:color w:val="000000"/>
                <w:sz w:val="18"/>
                <w:szCs w:val="18"/>
                <w:lang w:eastAsia="hr-HR"/>
              </w:rPr>
            </w:pPr>
            <w:r>
              <w:rPr>
                <w:rFonts w:cs="Calibri" w:eastAsia="Times New Roman" w:hAnsi="Calibri" w:ascii="Calibri"/>
                <w:color w:val="000000"/>
                <w:sz w:val="18"/>
                <w:szCs w:val="18"/>
                <w:lang w:eastAsia="hr-HR"/>
              </w:rPr>
              <w:t xml:space="preserve">     5. Ulaganja u ostale vrijednosne papire društava povezanih</w:t>
            </w:r>
            <w:r>
              <w:rPr>
                <w:rFonts w:cs="Calibri" w:eastAsia="Times New Roman" w:hAnsi="Calibri" w:ascii="Calibri"/>
                <w:color w:val="000000"/>
                <w:sz w:val="18"/>
                <w:szCs w:val="18"/>
                <w:lang w:eastAsia="hr-HR"/>
              </w:rPr>
              <w:br/>
              <w:t xml:space="preserve">         sudjelujućim interesom</w:t>
            </w:r>
          </w:p>
        </w:tc>
        <w:tc>
          <w:tcPr>
            <w:tcW w:type="dxa" w:w="1134"/>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color w:val="000000"/>
                <w:sz w:val="16"/>
                <w:szCs w:val="16"/>
              </w:rPr>
            </w:pPr>
            <w:r>
              <w:rPr>
                <w:rFonts w:cs="Calibri" w:hAnsi="Calibri" w:ascii="Calibri"/>
                <w:color w:val="000000"/>
                <w:sz w:val="16"/>
                <w:szCs w:val="16"/>
              </w:rPr>
              <w:t>0</w:t>
            </w:r>
          </w:p>
        </w:tc>
        <w:tc>
          <w:tcPr>
            <w:tcW w:type="dxa" w:w="1134"/>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b/>
                <w:bCs/>
                <w:i/>
                <w:iCs/>
                <w:color w:val="000000"/>
                <w:sz w:val="16"/>
                <w:szCs w:val="16"/>
              </w:rPr>
            </w:pPr>
            <w:r>
              <w:rPr>
                <w:rFonts w:cs="Calibri" w:hAnsi="Calibri" w:ascii="Calibri"/>
                <w:b/>
                <w:bCs/>
                <w:i/>
                <w:iCs/>
                <w:color w:val="000000"/>
                <w:sz w:val="16"/>
                <w:szCs w:val="16"/>
              </w:rPr>
              <w:t> </w:t>
            </w:r>
          </w:p>
        </w:tc>
      </w:tr>
      <w:tr w:rsidTr="001E3364" w:rsidR="001E3364">
        <w:trPr>
          <w:trHeight w:val="240"/>
        </w:trPr>
        <w:tc>
          <w:tcPr>
            <w:tcW w:type="dxa" w:w="7220"/>
            <w:tcBorders>
              <w:top w:val="nil"/>
              <w:left w:space="0" w:sz="8" w:color="B8CCE4" w:val="single"/>
              <w:bottom w:space="0" w:sz="8" w:color="B8CCE4" w:val="single"/>
              <w:right w:space="0" w:sz="8" w:color="B8CCE4" w:val="single"/>
            </w:tcBorders>
            <w:noWrap/>
            <w:vAlign w:val="center"/>
            <w:hideMark/>
          </w:tcPr>
          <w:p w:rsidRDefault="001E3364" w:rsidR="001E3364">
            <w:pPr>
              <w:spacing w:lineRule="auto" w:line="240" w:after="0"/>
              <w:rPr>
                <w:rFonts w:cs="Calibri" w:eastAsia="Times New Roman" w:hAnsi="Calibri" w:ascii="Calibri"/>
                <w:color w:val="000000"/>
                <w:sz w:val="18"/>
                <w:szCs w:val="18"/>
                <w:lang w:eastAsia="hr-HR"/>
              </w:rPr>
            </w:pPr>
            <w:r>
              <w:rPr>
                <w:rFonts w:cs="Calibri" w:eastAsia="Times New Roman" w:hAnsi="Calibri" w:ascii="Calibri"/>
                <w:color w:val="000000"/>
                <w:sz w:val="18"/>
                <w:szCs w:val="18"/>
                <w:lang w:eastAsia="hr-HR"/>
              </w:rPr>
              <w:t xml:space="preserve">     6. Dani zajmovi, depoziti i slično društvima povezanim</w:t>
            </w:r>
            <w:r>
              <w:rPr>
                <w:rFonts w:cs="Calibri" w:eastAsia="Times New Roman" w:hAnsi="Calibri" w:ascii="Calibri"/>
                <w:color w:val="000000"/>
                <w:sz w:val="18"/>
                <w:szCs w:val="18"/>
                <w:lang w:eastAsia="hr-HR"/>
              </w:rPr>
              <w:br/>
              <w:t xml:space="preserve">         sudjelujućim interesom</w:t>
            </w:r>
          </w:p>
        </w:tc>
        <w:tc>
          <w:tcPr>
            <w:tcW w:type="dxa" w:w="1134"/>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color w:val="000000"/>
                <w:sz w:val="16"/>
                <w:szCs w:val="16"/>
              </w:rPr>
            </w:pPr>
            <w:r>
              <w:rPr>
                <w:rFonts w:cs="Calibri" w:hAnsi="Calibri" w:ascii="Calibri"/>
                <w:color w:val="000000"/>
                <w:sz w:val="16"/>
                <w:szCs w:val="16"/>
              </w:rPr>
              <w:t>0</w:t>
            </w:r>
          </w:p>
        </w:tc>
        <w:tc>
          <w:tcPr>
            <w:tcW w:type="dxa" w:w="1134"/>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b/>
                <w:bCs/>
                <w:i/>
                <w:iCs/>
                <w:color w:val="000000"/>
                <w:sz w:val="16"/>
                <w:szCs w:val="16"/>
              </w:rPr>
            </w:pPr>
            <w:r>
              <w:rPr>
                <w:rFonts w:cs="Calibri" w:hAnsi="Calibri" w:ascii="Calibri"/>
                <w:b/>
                <w:bCs/>
                <w:i/>
                <w:iCs/>
                <w:color w:val="000000"/>
                <w:sz w:val="16"/>
                <w:szCs w:val="16"/>
              </w:rPr>
              <w:t> </w:t>
            </w:r>
          </w:p>
        </w:tc>
      </w:tr>
      <w:tr w:rsidTr="001E3364" w:rsidR="001E3364">
        <w:trPr>
          <w:trHeight w:val="240"/>
        </w:trPr>
        <w:tc>
          <w:tcPr>
            <w:tcW w:type="dxa" w:w="7220"/>
            <w:tcBorders>
              <w:top w:val="nil"/>
              <w:left w:space="0" w:sz="8" w:color="B8CCE4" w:val="single"/>
              <w:bottom w:space="0" w:sz="8" w:color="B8CCE4" w:val="single"/>
              <w:right w:space="0" w:sz="8" w:color="B8CCE4" w:val="single"/>
            </w:tcBorders>
            <w:noWrap/>
            <w:vAlign w:val="center"/>
            <w:hideMark/>
          </w:tcPr>
          <w:p w:rsidRDefault="001E3364" w:rsidR="001E3364">
            <w:pPr>
              <w:spacing w:lineRule="auto" w:line="240" w:after="0"/>
              <w:rPr>
                <w:rFonts w:cs="Calibri" w:eastAsia="Times New Roman" w:hAnsi="Calibri" w:ascii="Calibri"/>
                <w:color w:val="000000"/>
                <w:sz w:val="18"/>
                <w:szCs w:val="18"/>
                <w:lang w:eastAsia="hr-HR"/>
              </w:rPr>
            </w:pPr>
            <w:r>
              <w:rPr>
                <w:rFonts w:cs="Calibri" w:eastAsia="Times New Roman" w:hAnsi="Calibri" w:ascii="Calibri"/>
                <w:color w:val="000000"/>
                <w:sz w:val="18"/>
                <w:szCs w:val="18"/>
                <w:lang w:eastAsia="hr-HR"/>
              </w:rPr>
              <w:t xml:space="preserve">     7. Ulaganja u vrijednosne papire</w:t>
            </w:r>
          </w:p>
        </w:tc>
        <w:tc>
          <w:tcPr>
            <w:tcW w:type="dxa" w:w="1134"/>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color w:val="000000"/>
                <w:sz w:val="16"/>
                <w:szCs w:val="16"/>
              </w:rPr>
            </w:pPr>
            <w:r>
              <w:rPr>
                <w:rFonts w:cs="Calibri" w:hAnsi="Calibri" w:ascii="Calibri"/>
                <w:color w:val="000000"/>
                <w:sz w:val="16"/>
                <w:szCs w:val="16"/>
              </w:rPr>
              <w:t>0</w:t>
            </w:r>
          </w:p>
        </w:tc>
        <w:tc>
          <w:tcPr>
            <w:tcW w:type="dxa" w:w="1134"/>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b/>
                <w:bCs/>
                <w:i/>
                <w:iCs/>
                <w:color w:val="000000"/>
                <w:sz w:val="16"/>
                <w:szCs w:val="16"/>
              </w:rPr>
            </w:pPr>
            <w:r>
              <w:rPr>
                <w:rFonts w:cs="Calibri" w:hAnsi="Calibri" w:ascii="Calibri"/>
                <w:b/>
                <w:bCs/>
                <w:i/>
                <w:iCs/>
                <w:color w:val="000000"/>
                <w:sz w:val="16"/>
                <w:szCs w:val="16"/>
              </w:rPr>
              <w:t> </w:t>
            </w:r>
          </w:p>
        </w:tc>
      </w:tr>
      <w:tr w:rsidTr="001E3364" w:rsidR="001E3364">
        <w:trPr>
          <w:trHeight w:val="240"/>
        </w:trPr>
        <w:tc>
          <w:tcPr>
            <w:tcW w:type="dxa" w:w="7220"/>
            <w:tcBorders>
              <w:top w:val="nil"/>
              <w:left w:space="0" w:sz="8" w:color="B8CCE4" w:val="single"/>
              <w:bottom w:space="0" w:sz="8" w:color="B8CCE4" w:val="single"/>
              <w:right w:space="0" w:sz="8" w:color="B8CCE4" w:val="single"/>
            </w:tcBorders>
            <w:noWrap/>
            <w:vAlign w:val="center"/>
            <w:hideMark/>
          </w:tcPr>
          <w:p w:rsidRDefault="001E3364" w:rsidR="001E3364">
            <w:pPr>
              <w:spacing w:lineRule="auto" w:line="240" w:after="0"/>
              <w:rPr>
                <w:rFonts w:cs="Calibri" w:eastAsia="Times New Roman" w:hAnsi="Calibri" w:ascii="Calibri"/>
                <w:color w:val="000000"/>
                <w:sz w:val="18"/>
                <w:szCs w:val="18"/>
                <w:lang w:eastAsia="hr-HR"/>
              </w:rPr>
            </w:pPr>
            <w:r>
              <w:rPr>
                <w:rFonts w:cs="Calibri" w:eastAsia="Times New Roman" w:hAnsi="Calibri" w:ascii="Calibri"/>
                <w:color w:val="000000"/>
                <w:sz w:val="18"/>
                <w:szCs w:val="18"/>
                <w:lang w:eastAsia="hr-HR"/>
              </w:rPr>
              <w:t xml:space="preserve">     8. Dani zajmovi, depoziti i slično</w:t>
            </w:r>
          </w:p>
        </w:tc>
        <w:tc>
          <w:tcPr>
            <w:tcW w:type="dxa" w:w="1134"/>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color w:val="000000"/>
                <w:sz w:val="16"/>
                <w:szCs w:val="16"/>
              </w:rPr>
            </w:pPr>
            <w:r>
              <w:rPr>
                <w:rFonts w:cs="Calibri" w:hAnsi="Calibri" w:ascii="Calibri"/>
                <w:color w:val="000000"/>
                <w:sz w:val="16"/>
                <w:szCs w:val="16"/>
              </w:rPr>
              <w:t>434.590</w:t>
            </w:r>
          </w:p>
        </w:tc>
        <w:tc>
          <w:tcPr>
            <w:tcW w:type="dxa" w:w="1134"/>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b/>
                <w:bCs/>
                <w:i/>
                <w:iCs/>
                <w:color w:val="000000"/>
                <w:sz w:val="16"/>
                <w:szCs w:val="16"/>
              </w:rPr>
            </w:pPr>
            <w:r>
              <w:rPr>
                <w:rFonts w:cs="Calibri" w:hAnsi="Calibri" w:ascii="Calibri"/>
                <w:b/>
                <w:bCs/>
                <w:i/>
                <w:iCs/>
                <w:color w:val="000000"/>
                <w:sz w:val="16"/>
                <w:szCs w:val="16"/>
              </w:rPr>
              <w:t>434.590</w:t>
            </w:r>
          </w:p>
        </w:tc>
      </w:tr>
      <w:tr w:rsidTr="001E3364" w:rsidR="001E3364">
        <w:trPr>
          <w:trHeight w:val="240"/>
        </w:trPr>
        <w:tc>
          <w:tcPr>
            <w:tcW w:type="dxa" w:w="7220"/>
            <w:tcBorders>
              <w:top w:val="nil"/>
              <w:left w:space="0" w:sz="8" w:color="B8CCE4" w:val="single"/>
              <w:bottom w:space="0" w:sz="8" w:color="B8CCE4" w:val="single"/>
              <w:right w:space="0" w:sz="8" w:color="B8CCE4" w:val="single"/>
            </w:tcBorders>
            <w:noWrap/>
            <w:vAlign w:val="center"/>
            <w:hideMark/>
          </w:tcPr>
          <w:p w:rsidRDefault="001E3364" w:rsidR="001E3364">
            <w:pPr>
              <w:spacing w:lineRule="auto" w:line="240" w:after="0"/>
              <w:rPr>
                <w:rFonts w:cs="Calibri" w:eastAsia="Times New Roman" w:hAnsi="Calibri" w:ascii="Calibri"/>
                <w:color w:val="000000"/>
                <w:sz w:val="18"/>
                <w:szCs w:val="18"/>
                <w:lang w:eastAsia="hr-HR"/>
              </w:rPr>
            </w:pPr>
            <w:r>
              <w:rPr>
                <w:rFonts w:cs="Calibri" w:eastAsia="Times New Roman" w:hAnsi="Calibri" w:ascii="Calibri"/>
                <w:color w:val="000000"/>
                <w:sz w:val="18"/>
                <w:szCs w:val="18"/>
                <w:lang w:eastAsia="hr-HR"/>
              </w:rPr>
              <w:t xml:space="preserve">     9. Ostala financijska imovina</w:t>
            </w:r>
          </w:p>
        </w:tc>
        <w:tc>
          <w:tcPr>
            <w:tcW w:type="dxa" w:w="1134"/>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color w:val="000000"/>
                <w:sz w:val="16"/>
                <w:szCs w:val="16"/>
              </w:rPr>
            </w:pPr>
            <w:r>
              <w:rPr>
                <w:rFonts w:cs="Calibri" w:hAnsi="Calibri" w:ascii="Calibri"/>
                <w:color w:val="000000"/>
                <w:sz w:val="16"/>
                <w:szCs w:val="16"/>
              </w:rPr>
              <w:t>0</w:t>
            </w:r>
          </w:p>
        </w:tc>
        <w:tc>
          <w:tcPr>
            <w:tcW w:type="dxa" w:w="1134"/>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b/>
                <w:bCs/>
                <w:i/>
                <w:iCs/>
                <w:color w:val="000000"/>
                <w:sz w:val="16"/>
                <w:szCs w:val="16"/>
              </w:rPr>
            </w:pPr>
            <w:r>
              <w:rPr>
                <w:rFonts w:cs="Calibri" w:hAnsi="Calibri" w:ascii="Calibri"/>
                <w:b/>
                <w:bCs/>
                <w:i/>
                <w:iCs/>
                <w:color w:val="000000"/>
                <w:sz w:val="16"/>
                <w:szCs w:val="16"/>
              </w:rPr>
              <w:t> </w:t>
            </w:r>
          </w:p>
        </w:tc>
      </w:tr>
      <w:tr w:rsidTr="001E3364" w:rsidR="001E3364">
        <w:trPr>
          <w:trHeight w:val="240"/>
        </w:trPr>
        <w:tc>
          <w:tcPr>
            <w:tcW w:type="dxa" w:w="7220"/>
            <w:tcBorders>
              <w:top w:val="nil"/>
              <w:left w:space="0" w:sz="8" w:color="B8CCE4" w:val="single"/>
              <w:bottom w:space="0" w:sz="8" w:color="B8CCE4" w:val="single"/>
              <w:right w:space="0" w:sz="8" w:color="B8CCE4" w:val="single"/>
            </w:tcBorders>
            <w:noWrap/>
            <w:vAlign w:val="center"/>
            <w:hideMark/>
          </w:tcPr>
          <w:p w:rsidRDefault="001E3364" w:rsidR="001E3364">
            <w:pPr>
              <w:spacing w:lineRule="auto" w:line="240" w:after="0"/>
              <w:rPr>
                <w:rFonts w:cs="Calibri" w:eastAsia="Times New Roman" w:hAnsi="Calibri" w:ascii="Calibri"/>
                <w:b/>
                <w:bCs/>
                <w:color w:val="000000"/>
                <w:sz w:val="18"/>
                <w:szCs w:val="18"/>
                <w:lang w:eastAsia="hr-HR"/>
              </w:rPr>
            </w:pPr>
            <w:r>
              <w:rPr>
                <w:rFonts w:cs="Calibri" w:eastAsia="Times New Roman" w:hAnsi="Calibri" w:ascii="Calibri"/>
                <w:b/>
                <w:bCs/>
                <w:color w:val="000000"/>
                <w:sz w:val="18"/>
                <w:szCs w:val="18"/>
                <w:lang w:eastAsia="hr-HR"/>
              </w:rPr>
              <w:t>IV. NOVAC U BANCI I BLAGAJNI</w:t>
            </w:r>
          </w:p>
        </w:tc>
        <w:tc>
          <w:tcPr>
            <w:tcW w:type="dxa" w:w="1134"/>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b/>
                <w:bCs/>
                <w:color w:val="000000"/>
                <w:sz w:val="16"/>
                <w:szCs w:val="16"/>
              </w:rPr>
            </w:pPr>
            <w:r>
              <w:rPr>
                <w:rFonts w:cs="Calibri" w:hAnsi="Calibri" w:ascii="Calibri"/>
                <w:b/>
                <w:bCs/>
                <w:color w:val="000000"/>
                <w:sz w:val="16"/>
                <w:szCs w:val="16"/>
              </w:rPr>
              <w:t>39.599</w:t>
            </w:r>
          </w:p>
        </w:tc>
        <w:tc>
          <w:tcPr>
            <w:tcW w:type="dxa" w:w="1134"/>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b/>
                <w:bCs/>
                <w:i/>
                <w:iCs/>
                <w:color w:val="000000"/>
                <w:sz w:val="16"/>
                <w:szCs w:val="16"/>
              </w:rPr>
            </w:pPr>
            <w:r>
              <w:rPr>
                <w:rFonts w:cs="Calibri" w:hAnsi="Calibri" w:ascii="Calibri"/>
                <w:b/>
                <w:bCs/>
                <w:i/>
                <w:iCs/>
                <w:color w:val="000000"/>
                <w:sz w:val="16"/>
                <w:szCs w:val="16"/>
              </w:rPr>
              <w:t>39.599</w:t>
            </w:r>
          </w:p>
        </w:tc>
      </w:tr>
      <w:tr w:rsidTr="001E3364" w:rsidR="001E3364">
        <w:trPr>
          <w:trHeight w:val="240"/>
        </w:trPr>
        <w:tc>
          <w:tcPr>
            <w:tcW w:type="dxa" w:w="7220"/>
            <w:tcBorders>
              <w:top w:val="nil"/>
              <w:left w:space="0" w:sz="8" w:color="B8CCE4" w:val="single"/>
              <w:bottom w:space="0" w:sz="8" w:color="B8CCE4" w:val="single"/>
              <w:right w:space="0" w:sz="8" w:color="B8CCE4" w:val="single"/>
            </w:tcBorders>
            <w:noWrap/>
            <w:vAlign w:val="center"/>
            <w:hideMark/>
          </w:tcPr>
          <w:p w:rsidRDefault="001E3364" w:rsidR="001E3364">
            <w:pPr>
              <w:spacing w:lineRule="auto" w:line="240" w:after="0"/>
              <w:rPr>
                <w:rFonts w:cs="Calibri" w:eastAsia="Times New Roman" w:hAnsi="Calibri" w:ascii="Calibri"/>
                <w:b/>
                <w:bCs/>
                <w:color w:val="000000"/>
                <w:sz w:val="18"/>
                <w:szCs w:val="18"/>
                <w:lang w:eastAsia="hr-HR"/>
              </w:rPr>
            </w:pPr>
            <w:r>
              <w:rPr>
                <w:rFonts w:cs="Calibri" w:eastAsia="Times New Roman" w:hAnsi="Calibri" w:ascii="Calibri"/>
                <w:b/>
                <w:bCs/>
                <w:color w:val="000000"/>
                <w:sz w:val="18"/>
                <w:szCs w:val="18"/>
                <w:lang w:eastAsia="hr-HR"/>
              </w:rPr>
              <w:t>UKUPNO KRATKOTRAJNA IMOVINA</w:t>
            </w:r>
          </w:p>
        </w:tc>
        <w:tc>
          <w:tcPr>
            <w:tcW w:type="dxa" w:w="1134"/>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b/>
                <w:bCs/>
                <w:color w:val="000000"/>
                <w:sz w:val="16"/>
                <w:szCs w:val="16"/>
              </w:rPr>
            </w:pPr>
            <w:r>
              <w:rPr>
                <w:rFonts w:cs="Calibri" w:hAnsi="Calibri" w:ascii="Calibri"/>
                <w:b/>
                <w:bCs/>
                <w:color w:val="000000"/>
                <w:sz w:val="16"/>
                <w:szCs w:val="16"/>
              </w:rPr>
              <w:t>46.391.178</w:t>
            </w:r>
          </w:p>
        </w:tc>
        <w:tc>
          <w:tcPr>
            <w:tcW w:type="dxa" w:w="1134"/>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b/>
                <w:bCs/>
                <w:color w:val="000000"/>
                <w:sz w:val="16"/>
                <w:szCs w:val="16"/>
              </w:rPr>
            </w:pPr>
            <w:r>
              <w:rPr>
                <w:rFonts w:cs="Calibri" w:hAnsi="Calibri" w:ascii="Calibri"/>
                <w:b/>
                <w:bCs/>
                <w:color w:val="000000"/>
                <w:sz w:val="16"/>
                <w:szCs w:val="16"/>
              </w:rPr>
              <w:t>13.984.753</w:t>
            </w:r>
          </w:p>
        </w:tc>
      </w:tr>
      <w:tr w:rsidTr="001E3364" w:rsidR="001E3364">
        <w:trPr>
          <w:trHeight w:val="98"/>
        </w:trPr>
        <w:tc>
          <w:tcPr>
            <w:tcW w:type="dxa" w:w="7220"/>
            <w:noWrap/>
            <w:vAlign w:val="center"/>
            <w:hideMark/>
          </w:tcPr>
          <w:p w:rsidRDefault="001E3364" w:rsidR="001E3364">
            <w:pPr>
              <w:spacing w:after="0"/>
              <w:rPr>
                <w:rFonts w:cs="Times New Roman"/>
              </w:rPr>
            </w:pPr>
          </w:p>
        </w:tc>
        <w:tc>
          <w:tcPr>
            <w:tcW w:type="dxa" w:w="1134"/>
            <w:noWrap/>
            <w:vAlign w:val="bottom"/>
            <w:hideMark/>
          </w:tcPr>
          <w:p w:rsidRDefault="001E3364" w:rsidR="001E3364">
            <w:pPr>
              <w:spacing w:after="0"/>
              <w:rPr>
                <w:rFonts w:cs="Times New Roman"/>
              </w:rPr>
            </w:pPr>
          </w:p>
        </w:tc>
        <w:tc>
          <w:tcPr>
            <w:tcW w:type="dxa" w:w="1134"/>
            <w:noWrap/>
            <w:vAlign w:val="bottom"/>
            <w:hideMark/>
          </w:tcPr>
          <w:p w:rsidRDefault="001E3364" w:rsidR="001E3364">
            <w:pPr>
              <w:spacing w:after="0"/>
              <w:rPr>
                <w:rFonts w:cs="Times New Roman"/>
              </w:rPr>
            </w:pPr>
          </w:p>
        </w:tc>
      </w:tr>
      <w:tr w:rsidTr="001E3364" w:rsidR="001E3364">
        <w:trPr>
          <w:trHeight w:val="240"/>
        </w:trPr>
        <w:tc>
          <w:tcPr>
            <w:tcW w:type="dxa" w:w="7220"/>
            <w:tcBorders>
              <w:top w:space="0" w:sz="8" w:color="B8CCE4" w:val="single"/>
              <w:left w:space="0" w:sz="8" w:color="B8CCE4" w:val="single"/>
              <w:bottom w:space="0" w:sz="8" w:color="B8CCE4" w:val="single"/>
              <w:right w:space="0" w:sz="8" w:color="B8CCE4" w:val="single"/>
            </w:tcBorders>
            <w:shd w:fill="DCE6F1" w:color="auto" w:val="clear"/>
            <w:noWrap/>
            <w:vAlign w:val="center"/>
            <w:hideMark/>
          </w:tcPr>
          <w:p w:rsidRDefault="001E3364" w:rsidR="001E3364">
            <w:pPr>
              <w:spacing w:lineRule="auto" w:line="240" w:after="0"/>
              <w:rPr>
                <w:rFonts w:cs="Calibri" w:eastAsia="Times New Roman" w:hAnsi="Calibri" w:ascii="Calibri"/>
                <w:b/>
                <w:bCs/>
                <w:color w:val="000000"/>
                <w:sz w:val="18"/>
                <w:szCs w:val="18"/>
                <w:lang w:eastAsia="hr-HR"/>
              </w:rPr>
            </w:pPr>
            <w:r>
              <w:rPr>
                <w:rFonts w:cs="Calibri" w:eastAsia="Times New Roman" w:hAnsi="Calibri" w:ascii="Calibri"/>
                <w:b/>
                <w:bCs/>
                <w:color w:val="000000"/>
                <w:sz w:val="18"/>
                <w:szCs w:val="18"/>
                <w:lang w:eastAsia="hr-HR"/>
              </w:rPr>
              <w:t>NETO OBRTNI KAPITAL</w:t>
            </w:r>
          </w:p>
        </w:tc>
        <w:tc>
          <w:tcPr>
            <w:tcW w:type="dxa" w:w="1134"/>
            <w:tcBorders>
              <w:top w:space="0" w:sz="8" w:color="B8CCE4" w:val="single"/>
              <w:left w:val="nil"/>
              <w:bottom w:space="0" w:sz="8" w:color="B8CCE4" w:val="single"/>
              <w:right w:space="0" w:sz="8" w:color="B8CCE4" w:val="single"/>
            </w:tcBorders>
            <w:shd w:fill="DCE6F1" w:color="auto" w:val="clear"/>
            <w:noWrap/>
            <w:vAlign w:val="center"/>
            <w:hideMark/>
          </w:tcPr>
          <w:p w:rsidRDefault="001E3364" w:rsidR="001E3364">
            <w:pPr>
              <w:spacing w:after="0"/>
              <w:jc w:val="right"/>
              <w:rPr>
                <w:rFonts w:cs="Calibri" w:hAnsi="Calibri" w:ascii="Calibri"/>
                <w:b/>
                <w:bCs/>
                <w:color w:val="000000"/>
                <w:sz w:val="16"/>
                <w:szCs w:val="16"/>
              </w:rPr>
            </w:pPr>
            <w:r>
              <w:rPr>
                <w:rFonts w:cs="Calibri" w:hAnsi="Calibri" w:ascii="Calibri"/>
                <w:b/>
                <w:bCs/>
                <w:color w:val="000000"/>
                <w:sz w:val="16"/>
                <w:szCs w:val="16"/>
              </w:rPr>
              <w:t>27.032.875</w:t>
            </w:r>
          </w:p>
        </w:tc>
        <w:tc>
          <w:tcPr>
            <w:tcW w:type="dxa" w:w="1134"/>
            <w:tcBorders>
              <w:top w:space="0" w:sz="8" w:color="B8CCE4" w:val="single"/>
              <w:left w:val="nil"/>
              <w:bottom w:space="0" w:sz="8" w:color="B8CCE4" w:val="single"/>
              <w:right w:space="0" w:sz="8" w:color="B8CCE4" w:val="single"/>
            </w:tcBorders>
            <w:shd w:fill="DCE6F1" w:color="auto" w:val="clear"/>
            <w:noWrap/>
            <w:vAlign w:val="center"/>
            <w:hideMark/>
          </w:tcPr>
          <w:p w:rsidRDefault="001E3364" w:rsidR="001E3364">
            <w:pPr>
              <w:spacing w:after="0"/>
              <w:jc w:val="right"/>
              <w:rPr>
                <w:rFonts w:cs="Calibri" w:hAnsi="Calibri" w:ascii="Calibri"/>
                <w:b/>
                <w:bCs/>
                <w:i/>
                <w:iCs/>
                <w:color w:val="000000"/>
                <w:sz w:val="16"/>
                <w:szCs w:val="16"/>
              </w:rPr>
            </w:pPr>
            <w:r>
              <w:rPr>
                <w:rFonts w:cs="Calibri" w:hAnsi="Calibri" w:ascii="Calibri"/>
                <w:b/>
                <w:bCs/>
                <w:i/>
                <w:iCs/>
                <w:color w:val="000000"/>
                <w:sz w:val="16"/>
                <w:szCs w:val="16"/>
              </w:rPr>
              <w:t>-5.373.550</w:t>
            </w:r>
          </w:p>
        </w:tc>
      </w:tr>
      <w:tr w:rsidTr="001E3364" w:rsidR="001E3364">
        <w:trPr>
          <w:trHeight w:val="98"/>
        </w:trPr>
        <w:tc>
          <w:tcPr>
            <w:tcW w:type="dxa" w:w="7220"/>
            <w:noWrap/>
            <w:vAlign w:val="center"/>
            <w:hideMark/>
          </w:tcPr>
          <w:p w:rsidRDefault="001E3364" w:rsidR="001E3364">
            <w:pPr>
              <w:spacing w:after="0"/>
              <w:rPr>
                <w:rFonts w:cs="Times New Roman"/>
              </w:rPr>
            </w:pPr>
          </w:p>
        </w:tc>
        <w:tc>
          <w:tcPr>
            <w:tcW w:type="dxa" w:w="1134"/>
            <w:noWrap/>
            <w:vAlign w:val="bottom"/>
            <w:hideMark/>
          </w:tcPr>
          <w:p w:rsidRDefault="001E3364" w:rsidR="001E3364">
            <w:pPr>
              <w:spacing w:after="0"/>
              <w:rPr>
                <w:rFonts w:cs="Times New Roman"/>
              </w:rPr>
            </w:pPr>
          </w:p>
        </w:tc>
        <w:tc>
          <w:tcPr>
            <w:tcW w:type="dxa" w:w="1134"/>
            <w:noWrap/>
            <w:vAlign w:val="bottom"/>
            <w:hideMark/>
          </w:tcPr>
          <w:p w:rsidRDefault="001E3364" w:rsidR="001E3364">
            <w:pPr>
              <w:spacing w:after="0"/>
              <w:rPr>
                <w:rFonts w:cs="Times New Roman"/>
              </w:rPr>
            </w:pPr>
          </w:p>
        </w:tc>
      </w:tr>
      <w:tr w:rsidTr="001E3364" w:rsidR="001E3364">
        <w:trPr>
          <w:trHeight w:val="240"/>
        </w:trPr>
        <w:tc>
          <w:tcPr>
            <w:tcW w:type="dxa" w:w="7220"/>
            <w:tcBorders>
              <w:top w:space="0" w:sz="8" w:color="B8CCE4" w:val="single"/>
              <w:left w:space="0" w:sz="8" w:color="B8CCE4" w:val="single"/>
              <w:bottom w:space="0" w:sz="8" w:color="B8CCE4" w:val="single"/>
              <w:right w:space="0" w:sz="8" w:color="B8CCE4" w:val="single"/>
            </w:tcBorders>
            <w:shd w:fill="95B3D7" w:color="auto" w:val="clear"/>
            <w:noWrap/>
            <w:vAlign w:val="center"/>
            <w:hideMark/>
          </w:tcPr>
          <w:p w:rsidRDefault="001E3364" w:rsidR="001E3364">
            <w:pPr>
              <w:spacing w:lineRule="auto" w:line="240" w:after="0"/>
              <w:rPr>
                <w:rFonts w:cs="Calibri" w:eastAsia="Times New Roman" w:hAnsi="Calibri" w:ascii="Calibri"/>
                <w:b/>
                <w:bCs/>
                <w:color w:val="000000"/>
                <w:sz w:val="18"/>
                <w:szCs w:val="18"/>
                <w:lang w:eastAsia="hr-HR"/>
              </w:rPr>
            </w:pPr>
            <w:r>
              <w:rPr>
                <w:rFonts w:cs="Calibri" w:eastAsia="Times New Roman" w:hAnsi="Calibri" w:ascii="Calibri"/>
                <w:b/>
                <w:bCs/>
                <w:color w:val="000000"/>
                <w:sz w:val="18"/>
                <w:szCs w:val="18"/>
                <w:lang w:eastAsia="hr-HR"/>
              </w:rPr>
              <w:t>MANJAK LIKVIDNIH SREDSTAVA</w:t>
            </w:r>
          </w:p>
        </w:tc>
        <w:tc>
          <w:tcPr>
            <w:tcW w:type="dxa" w:w="1134"/>
            <w:tcBorders>
              <w:top w:space="0" w:sz="8" w:color="B8CCE4" w:val="single"/>
              <w:left w:val="nil"/>
              <w:bottom w:space="0" w:sz="8" w:color="B8CCE4" w:val="single"/>
              <w:right w:space="0" w:sz="8" w:color="B8CCE4" w:val="single"/>
            </w:tcBorders>
            <w:shd w:fill="95B3D7" w:color="auto" w:val="clear"/>
            <w:noWrap/>
            <w:vAlign w:val="center"/>
            <w:hideMark/>
          </w:tcPr>
          <w:p w:rsidRDefault="001E3364" w:rsidR="001E3364">
            <w:pPr>
              <w:spacing w:after="0"/>
              <w:jc w:val="right"/>
              <w:rPr>
                <w:rFonts w:cs="Calibri" w:hAnsi="Calibri" w:ascii="Calibri"/>
                <w:b/>
                <w:bCs/>
                <w:color w:val="000000"/>
                <w:sz w:val="16"/>
                <w:szCs w:val="16"/>
              </w:rPr>
            </w:pPr>
            <w:r>
              <w:rPr>
                <w:rFonts w:cs="Calibri" w:hAnsi="Calibri" w:ascii="Calibri"/>
                <w:b/>
                <w:bCs/>
                <w:color w:val="000000"/>
                <w:sz w:val="16"/>
                <w:szCs w:val="16"/>
              </w:rPr>
              <w:t>0</w:t>
            </w:r>
          </w:p>
        </w:tc>
        <w:tc>
          <w:tcPr>
            <w:tcW w:type="dxa" w:w="1134"/>
            <w:tcBorders>
              <w:top w:space="0" w:sz="8" w:color="B8CCE4" w:val="single"/>
              <w:left w:val="nil"/>
              <w:bottom w:space="0" w:sz="8" w:color="B8CCE4" w:val="single"/>
              <w:right w:space="0" w:sz="8" w:color="B8CCE4" w:val="single"/>
            </w:tcBorders>
            <w:shd w:fill="95B3D7" w:color="auto" w:val="clear"/>
            <w:noWrap/>
            <w:vAlign w:val="center"/>
            <w:hideMark/>
          </w:tcPr>
          <w:p w:rsidRDefault="001E3364" w:rsidR="001E3364">
            <w:pPr>
              <w:spacing w:after="0"/>
              <w:jc w:val="right"/>
              <w:rPr>
                <w:rFonts w:cs="Calibri" w:hAnsi="Calibri" w:ascii="Calibri"/>
                <w:b/>
                <w:bCs/>
                <w:i/>
                <w:iCs/>
                <w:color w:val="000000"/>
                <w:sz w:val="16"/>
                <w:szCs w:val="16"/>
              </w:rPr>
            </w:pPr>
            <w:r>
              <w:rPr>
                <w:rFonts w:cs="Calibri" w:hAnsi="Calibri" w:ascii="Calibri"/>
                <w:b/>
                <w:bCs/>
                <w:i/>
                <w:iCs/>
                <w:color w:val="000000"/>
                <w:sz w:val="16"/>
                <w:szCs w:val="16"/>
              </w:rPr>
              <w:t>-5.373.550</w:t>
            </w:r>
          </w:p>
        </w:tc>
      </w:tr>
    </w:tbl>
    <w:p w:rsidRDefault="001E3364" w:rsidP="001E3364" w:rsidR="001E3364">
      <w:pPr>
        <w:jc w:val="both"/>
        <w:rPr>
          <w:sz w:val="24"/>
          <w:szCs w:val="24"/>
        </w:rPr>
      </w:pPr>
    </w:p>
    <w:p w:rsidRDefault="001E3364" w:rsidP="001E3364" w:rsidR="001E3364">
      <w:pPr>
        <w:jc w:val="both"/>
        <w:rPr>
          <w:sz w:val="24"/>
          <w:szCs w:val="24"/>
        </w:rPr>
      </w:pPr>
    </w:p>
    <w:p w:rsidRDefault="001E3364" w:rsidP="001E3364" w:rsidR="001E3364">
      <w:pPr>
        <w:spacing w:before="240"/>
        <w:jc w:val="both"/>
        <w:rPr>
          <w:sz w:val="24"/>
          <w:szCs w:val="24"/>
        </w:rPr>
      </w:pPr>
      <w:r>
        <w:rPr>
          <w:sz w:val="24"/>
          <w:szCs w:val="24"/>
        </w:rPr>
        <w:t>Obzirom na značajan pad aktivnosti na tržištu u proteklom periodu, Društvo nije bilo u mogućnosti nastaviti s proizvodnjom i poslovanjem u punom opsegu. Zapalo je u probleme s likvidnošću, radi čega se je pristupilo sveobuhvatnoj analizi povijesnog, aktualnog i budućeg poslovanja, a sve s ciljem pronalaženja rješenja za daljnji održivi nastavak poslovanja, podmirenja kumuliranih obveza iz redovnog poslovanja bez potrebe za pokretanjem stečajnog postupka po utvrđivanju i donošenju plana održivog poslovanja.</w:t>
      </w:r>
    </w:p>
    <w:p w:rsidRDefault="001E3364" w:rsidP="001E3364" w:rsidR="001E3364">
      <w:pPr>
        <w:spacing w:before="240"/>
        <w:jc w:val="both"/>
        <w:rPr>
          <w:sz w:val="24"/>
          <w:szCs w:val="24"/>
          <w:highlight w:val="yellow"/>
        </w:rPr>
      </w:pPr>
      <w:r>
        <w:rPr>
          <w:sz w:val="24"/>
          <w:szCs w:val="24"/>
        </w:rPr>
        <w:t>Obzirom na specifičnosti proizvodne djelatnosti i stanje na tržištu, Društvo sa smanjenim proizvodnim kapacitetima, zbog problema s dobavom repromaterijala, uzrokovanih otežanom likvidnošću, nije u mogućnosti neometano poslovati i postići proizvodnju u potpunim kapacitetima i time u potpunosti uspostaviti financijsku stabilnost Društva.</w:t>
      </w:r>
    </w:p>
    <w:p w:rsidRDefault="001E3364" w:rsidP="001E3364" w:rsidR="001E3364">
      <w:pPr>
        <w:jc w:val="both"/>
        <w:rPr>
          <w:sz w:val="24"/>
          <w:szCs w:val="24"/>
        </w:rPr>
      </w:pPr>
      <w:r>
        <w:rPr>
          <w:sz w:val="24"/>
          <w:szCs w:val="24"/>
        </w:rPr>
        <w:t>Stoga je isto pokazatelj upitne vremenske neograničenosti poslovanja i temelj za pokretanje postupka predstečajnog postupka, u kojem se utvrđeni manjak planira zatvoriti dugoročnim reprogramom dospjelih obveza.</w:t>
      </w:r>
    </w:p>
    <w:p w:rsidRDefault="001E3364" w:rsidP="001E3364" w:rsidR="001E3364">
      <w:pPr>
        <w:jc w:val="both"/>
        <w:rPr>
          <w:sz w:val="24"/>
          <w:szCs w:val="24"/>
        </w:rPr>
      </w:pPr>
    </w:p>
    <w:p w:rsidRDefault="001E3364" w:rsidP="001E3364" w:rsidR="001E3364">
      <w:pPr>
        <w:pStyle w:val="Naslov1"/>
        <w:numPr>
          <w:ilvl w:val="0"/>
          <w:numId w:val="2"/>
        </w:numPr>
        <w:rPr>
          <w:rFonts w:hAnsiTheme="minorHAnsi" w:asciiTheme="minorHAnsi"/>
          <w:sz w:val="24"/>
          <w:szCs w:val="24"/>
        </w:rPr>
      </w:pPr>
      <w:bookmarkStart w:name="_Toc521023688" w:id="9"/>
      <w:r>
        <w:rPr>
          <w:rFonts w:hAnsiTheme="minorHAnsi" w:asciiTheme="minorHAnsi"/>
          <w:sz w:val="24"/>
          <w:szCs w:val="24"/>
        </w:rPr>
        <w:lastRenderedPageBreak/>
        <w:t>Mjere financijskoga restrukturiranja i izračun njihovih učinaka na manjak likvidnih sredstava</w:t>
      </w:r>
      <w:bookmarkEnd w:id="9"/>
    </w:p>
    <w:p w:rsidRDefault="001E3364" w:rsidP="001E3364" w:rsidR="001E3364">
      <w:pPr>
        <w:jc w:val="both"/>
        <w:rPr>
          <w:sz w:val="24"/>
          <w:szCs w:val="24"/>
        </w:rPr>
      </w:pPr>
      <w:r>
        <w:rPr>
          <w:sz w:val="24"/>
          <w:szCs w:val="24"/>
        </w:rPr>
        <w:t>Osnovni cilj restrukturiranja je reprogramirati postojeći dug, te stabilizirati poslovanje Društva i uspostaviti održivi model tekućeg poslovanja, kako bi se provele mjere smanjenja troškova Društva s ciljem poboljšanja pokazatelja poslovanja do razine koja bi omogućila održivost poslovanja, odnosno redovno servisiranje duga.</w:t>
      </w:r>
    </w:p>
    <w:p w:rsidRDefault="001E3364" w:rsidP="001E3364" w:rsidR="001E3364">
      <w:pPr>
        <w:jc w:val="both"/>
        <w:rPr>
          <w:sz w:val="24"/>
          <w:szCs w:val="24"/>
        </w:rPr>
      </w:pPr>
      <w:r>
        <w:rPr>
          <w:sz w:val="24"/>
          <w:szCs w:val="24"/>
        </w:rPr>
        <w:t>U skladu s navedenim, mjere financijskog restrukturiranja razvrstane po skupinama vjerovnika sukladno članku 27., a u vezi s člankom 308. Zakona koje, s obzirom na stanje njihovih tražbina na dan 06. srpnja 2018. čine:</w:t>
      </w:r>
    </w:p>
    <w:p w:rsidRDefault="001E3364" w:rsidP="001E3364" w:rsidR="001E3364">
      <w:pPr>
        <w:pStyle w:val="Odlomakpopisa"/>
        <w:numPr>
          <w:ilvl w:val="0"/>
          <w:numId w:val="10"/>
        </w:numPr>
        <w:jc w:val="both"/>
        <w:rPr>
          <w:sz w:val="24"/>
          <w:szCs w:val="24"/>
        </w:rPr>
      </w:pPr>
      <w:r>
        <w:rPr>
          <w:sz w:val="24"/>
          <w:szCs w:val="24"/>
        </w:rPr>
        <w:t>razlučni vjerovnici s pravom odvojenoga namirenja,</w:t>
      </w:r>
    </w:p>
    <w:p w:rsidRDefault="001E3364" w:rsidP="001E3364" w:rsidR="001E3364">
      <w:pPr>
        <w:pStyle w:val="Odlomakpopisa"/>
        <w:numPr>
          <w:ilvl w:val="0"/>
          <w:numId w:val="10"/>
        </w:numPr>
        <w:jc w:val="both"/>
        <w:rPr>
          <w:sz w:val="24"/>
          <w:szCs w:val="24"/>
        </w:rPr>
      </w:pPr>
      <w:r>
        <w:rPr>
          <w:sz w:val="24"/>
          <w:szCs w:val="24"/>
        </w:rPr>
        <w:t>vjerovnici s neosiguranim tražbinama, koji nisu nižega isplatnog reda,</w:t>
      </w:r>
    </w:p>
    <w:p w:rsidRDefault="001E3364" w:rsidP="001E3364" w:rsidR="001E3364">
      <w:pPr>
        <w:jc w:val="both"/>
        <w:rPr>
          <w:sz w:val="24"/>
          <w:szCs w:val="24"/>
        </w:rPr>
      </w:pPr>
      <w:r>
        <w:rPr>
          <w:sz w:val="24"/>
          <w:szCs w:val="24"/>
        </w:rPr>
        <w:t>kao temeljnu pretpostavku održivog modela financiranja i nastavka poslovanja uključuju:</w:t>
      </w:r>
    </w:p>
    <w:p w:rsidRDefault="001E3364" w:rsidP="001E3364" w:rsidR="001E3364">
      <w:pPr>
        <w:pStyle w:val="Odlomakpopisa"/>
        <w:numPr>
          <w:ilvl w:val="0"/>
          <w:numId w:val="12"/>
        </w:numPr>
        <w:jc w:val="both"/>
        <w:rPr>
          <w:sz w:val="24"/>
          <w:szCs w:val="24"/>
        </w:rPr>
      </w:pPr>
      <w:r>
        <w:rPr>
          <w:sz w:val="24"/>
          <w:szCs w:val="24"/>
          <w:u w:val="single"/>
        </w:rPr>
        <w:t>promjena dospijeća tražbina - reprogram kreditnih obveza razlučnih vjerovnika s pravom odvojenoga namirenja</w:t>
      </w:r>
      <w:r>
        <w:rPr>
          <w:sz w:val="24"/>
          <w:szCs w:val="24"/>
        </w:rPr>
        <w:t xml:space="preserve"> na dulji rok i uz smanjenje visine trenutne kamatne stope (uz zadržavanje postojećih instrumenata osiguranja i zaštitnih mehanizama u vidu postojećih valutnih klauzula), na sljedeći način: </w:t>
      </w:r>
    </w:p>
    <w:p w:rsidRDefault="001E3364" w:rsidP="001E3364" w:rsidR="001E3364">
      <w:pPr>
        <w:pStyle w:val="Odlomakpopisa"/>
        <w:numPr>
          <w:ilvl w:val="1"/>
          <w:numId w:val="14"/>
        </w:numPr>
        <w:jc w:val="both"/>
        <w:rPr>
          <w:sz w:val="24"/>
          <w:szCs w:val="24"/>
        </w:rPr>
      </w:pPr>
      <w:r>
        <w:rPr>
          <w:sz w:val="24"/>
          <w:szCs w:val="24"/>
        </w:rPr>
        <w:t xml:space="preserve">100% namirenje ukupno utvrđenih tražbina na ime glavnice, redovne i zatezne kamate - pripis glavnici tražbina na ime redovnih i zateznih kamata, te reprogram, odnosno produljenje roka otplate tražbina na rok od 9 godina (poček od 24 mjeseca plus 7 godina otplate), u jednakim kvartalnim ratama i uz fiksnu godišnju kamatnu stopu od 2,5% koja se obračunava i za vrijeme počeka, </w:t>
      </w:r>
    </w:p>
    <w:p w:rsidRDefault="001E3364" w:rsidP="001E3364" w:rsidR="001E3364">
      <w:pPr>
        <w:pStyle w:val="Odlomakpopisa"/>
        <w:numPr>
          <w:ilvl w:val="0"/>
          <w:numId w:val="12"/>
        </w:numPr>
        <w:jc w:val="both"/>
        <w:rPr>
          <w:sz w:val="24"/>
          <w:szCs w:val="24"/>
        </w:rPr>
      </w:pPr>
      <w:r>
        <w:rPr>
          <w:sz w:val="24"/>
          <w:szCs w:val="24"/>
          <w:u w:val="single"/>
        </w:rPr>
        <w:t>inicijalno ugovoreni rokovi – otplata kreditnih obveza izlučnih vjerovnika s pravom povrata stvari</w:t>
      </w:r>
      <w:r>
        <w:rPr>
          <w:sz w:val="24"/>
          <w:szCs w:val="24"/>
        </w:rPr>
        <w:t xml:space="preserve"> prema ugovorenim rokovima i u ugovorenim iznosima,</w:t>
      </w:r>
    </w:p>
    <w:p w:rsidRDefault="001E3364" w:rsidP="001E3364" w:rsidR="001E3364">
      <w:pPr>
        <w:pStyle w:val="Odlomakpopisa"/>
        <w:numPr>
          <w:ilvl w:val="0"/>
          <w:numId w:val="12"/>
        </w:numPr>
        <w:jc w:val="both"/>
        <w:rPr>
          <w:sz w:val="24"/>
          <w:szCs w:val="24"/>
        </w:rPr>
      </w:pPr>
      <w:r>
        <w:rPr>
          <w:sz w:val="24"/>
          <w:szCs w:val="24"/>
          <w:u w:val="single"/>
        </w:rPr>
        <w:t>promjena dospijeća tražbina - reprogram obveza prema vjerovnicima s neosiguranim tražbinama</w:t>
      </w:r>
      <w:r>
        <w:rPr>
          <w:sz w:val="24"/>
          <w:szCs w:val="24"/>
        </w:rPr>
        <w:t xml:space="preserve"> na dulji rok, bez kamate, na sljedeći način:</w:t>
      </w:r>
    </w:p>
    <w:p w:rsidRDefault="001E3364" w:rsidP="001E3364" w:rsidR="001E3364">
      <w:pPr>
        <w:pStyle w:val="Odlomakpopisa"/>
        <w:numPr>
          <w:ilvl w:val="1"/>
          <w:numId w:val="14"/>
        </w:numPr>
        <w:spacing w:before="240"/>
        <w:jc w:val="both"/>
        <w:rPr>
          <w:sz w:val="24"/>
          <w:szCs w:val="24"/>
        </w:rPr>
      </w:pPr>
      <w:r>
        <w:rPr>
          <w:sz w:val="24"/>
          <w:szCs w:val="24"/>
        </w:rPr>
        <w:t>100% namirenje ukupno utvrđenih tražbina, uz produljenje roka otplate tražbina na rok od 5 godina (poček od 24 mjeseca plus 3 godina otplate), u jednakim kvartalnim ratama bez kamate.</w:t>
      </w:r>
    </w:p>
    <w:p w:rsidRDefault="001E3364" w:rsidP="001E3364" w:rsidR="001E3364">
      <w:pPr>
        <w:jc w:val="both"/>
        <w:rPr>
          <w:sz w:val="24"/>
          <w:szCs w:val="24"/>
        </w:rPr>
      </w:pPr>
      <w:r>
        <w:rPr>
          <w:sz w:val="24"/>
          <w:szCs w:val="24"/>
        </w:rPr>
        <w:t>Solidarni dužnici, jamci, osobe s pravom regresa u slučaju regresne obveze preuzimaju uvjete namirenja identične uvjetima namirenja prema pojedinačnom vjerovniku za koje su solidarni dužnici, jamci ili imaju regresno pravo.</w:t>
      </w:r>
    </w:p>
    <w:p w:rsidRDefault="001E3364" w:rsidP="001E3364" w:rsidR="001E3364">
      <w:pPr>
        <w:jc w:val="both"/>
        <w:rPr>
          <w:sz w:val="24"/>
          <w:szCs w:val="24"/>
        </w:rPr>
      </w:pPr>
      <w:r>
        <w:rPr>
          <w:sz w:val="24"/>
          <w:szCs w:val="24"/>
        </w:rPr>
        <w:t>Efekti financijskog restrukturiranja</w:t>
      </w:r>
      <w:r>
        <w:rPr>
          <w:b/>
          <w:sz w:val="24"/>
          <w:szCs w:val="24"/>
        </w:rPr>
        <w:t xml:space="preserve"> </w:t>
      </w:r>
      <w:r>
        <w:rPr>
          <w:sz w:val="24"/>
          <w:szCs w:val="24"/>
        </w:rPr>
        <w:t>na manjak likvidnih sredstava bit će sljedeći:</w:t>
      </w:r>
    </w:p>
    <w:p w:rsidRDefault="001E3364" w:rsidP="001E3364" w:rsidR="001E3364">
      <w:pPr>
        <w:pStyle w:val="Odlomakpopisa"/>
        <w:numPr>
          <w:ilvl w:val="0"/>
          <w:numId w:val="16"/>
        </w:numPr>
        <w:jc w:val="both"/>
        <w:rPr>
          <w:sz w:val="24"/>
          <w:szCs w:val="24"/>
        </w:rPr>
      </w:pPr>
      <w:r>
        <w:rPr>
          <w:sz w:val="24"/>
          <w:szCs w:val="24"/>
        </w:rPr>
        <w:t>razlučni vjerovnici će u potpunosti namiriti tražbine na ime glavnice i redovne kamate, uz otpis zatezne kamate i troškova, reprogramom tražbina na rok od 9 godina,</w:t>
      </w:r>
    </w:p>
    <w:p w:rsidRDefault="001E3364" w:rsidP="001E3364" w:rsidR="001E3364">
      <w:pPr>
        <w:pStyle w:val="Odlomakpopisa"/>
        <w:numPr>
          <w:ilvl w:val="0"/>
          <w:numId w:val="16"/>
        </w:numPr>
        <w:jc w:val="both"/>
        <w:rPr>
          <w:sz w:val="24"/>
          <w:szCs w:val="24"/>
        </w:rPr>
      </w:pPr>
      <w:r>
        <w:rPr>
          <w:sz w:val="24"/>
          <w:szCs w:val="24"/>
        </w:rPr>
        <w:t xml:space="preserve">izlučni vjerovnici će u potpunosti namiriti tražbine, </w:t>
      </w:r>
    </w:p>
    <w:p w:rsidRDefault="001E3364" w:rsidP="001E3364" w:rsidR="001E3364">
      <w:pPr>
        <w:pStyle w:val="Odlomakpopisa"/>
        <w:numPr>
          <w:ilvl w:val="0"/>
          <w:numId w:val="16"/>
        </w:numPr>
        <w:jc w:val="both"/>
        <w:rPr>
          <w:sz w:val="24"/>
          <w:szCs w:val="24"/>
        </w:rPr>
      </w:pPr>
      <w:r>
        <w:rPr>
          <w:sz w:val="24"/>
          <w:szCs w:val="24"/>
        </w:rPr>
        <w:lastRenderedPageBreak/>
        <w:t>ostali (neosigurani) vjerovnici koji nisu nižega isplatnog reda će u potpunosti namiriti tražbine na ime glavnice i kamate, reprogramom tražbina na 5 godina,</w:t>
      </w:r>
    </w:p>
    <w:p w:rsidRDefault="001E3364" w:rsidP="001E3364" w:rsidR="001E3364">
      <w:pPr>
        <w:ind w:left="360"/>
        <w:jc w:val="both"/>
        <w:rPr>
          <w:sz w:val="24"/>
          <w:szCs w:val="24"/>
        </w:rPr>
      </w:pPr>
      <w:r>
        <w:rPr>
          <w:sz w:val="24"/>
          <w:szCs w:val="24"/>
        </w:rPr>
        <w:t xml:space="preserve">Stoga, po završetku financijskog restrukturiranja, provedbom plana restrukturiranja u predstečajnom postupku, Društvo neće imati dospjelih kratkoročnih obveza, jer će iste biti reprogramirane na rok od 9, odnosno 5 godina, uz poček od 24 mjeseca, a što će imati pozitivan efekt na stanje likvidnih sredstava kroz smanjenje duga, smanjenje troškova financiranja i time pozitivan utjecaj na financijski rezultat. </w:t>
      </w:r>
    </w:p>
    <w:p w:rsidRDefault="001E3364" w:rsidP="001E3364" w:rsidR="001E3364">
      <w:pPr>
        <w:ind w:left="360"/>
        <w:jc w:val="both"/>
        <w:rPr>
          <w:sz w:val="24"/>
          <w:szCs w:val="24"/>
        </w:rPr>
      </w:pPr>
      <w:r>
        <w:rPr>
          <w:sz w:val="24"/>
          <w:szCs w:val="24"/>
        </w:rPr>
        <w:t xml:space="preserve">Prihvaćanjem financijskog restrukturiranja efekt na likvidna sredstva na 06. srpnja 2018. bi bio sljedeći: </w:t>
      </w:r>
    </w:p>
    <w:tbl>
      <w:tblPr>
        <w:tblW w:type="dxa" w:w="9533"/>
        <w:tblInd w:type="dxa" w:w="-25"/>
        <w:tblLook w:val="04A0" w:noVBand="1" w:noHBand="0" w:lastColumn="0" w:firstColumn="1" w:lastRow="0" w:firstRow="1"/>
      </w:tblPr>
      <w:tblGrid>
        <w:gridCol w:w="441"/>
        <w:gridCol w:w="5528"/>
        <w:gridCol w:w="441"/>
        <w:gridCol w:w="126"/>
        <w:gridCol w:w="997"/>
        <w:gridCol w:w="441"/>
        <w:gridCol w:w="121"/>
        <w:gridCol w:w="997"/>
        <w:gridCol w:w="401"/>
        <w:gridCol w:w="40"/>
      </w:tblGrid>
      <w:tr w:rsidTr="001E3364" w:rsidR="001E3364">
        <w:trPr>
          <w:gridBefore w:val="1"/>
          <w:wBefore w:type="dxa" w:w="441"/>
          <w:trHeight w:val="216"/>
        </w:trPr>
        <w:tc>
          <w:tcPr>
            <w:tcW w:type="dxa" w:w="5969"/>
            <w:gridSpan w:val="2"/>
            <w:tcBorders>
              <w:top w:space="0" w:sz="8" w:color="95B3D7" w:val="single"/>
              <w:left w:space="0" w:sz="8" w:color="95B3D7" w:val="single"/>
              <w:bottom w:space="0" w:sz="8" w:color="95B3D7" w:val="single"/>
              <w:right w:space="0" w:sz="8" w:color="95B3D7" w:val="single"/>
            </w:tcBorders>
            <w:shd w:fill="95B3D7" w:color="auto" w:val="clear"/>
            <w:noWrap/>
            <w:vAlign w:val="center"/>
            <w:hideMark/>
          </w:tcPr>
          <w:p w:rsidRDefault="001E3364" w:rsidR="001E3364">
            <w:pPr>
              <w:spacing w:lineRule="auto" w:line="240" w:after="0"/>
              <w:rPr>
                <w:rFonts w:cstheme="minorHAnsi" w:eastAsia="Times New Roman"/>
                <w:b/>
                <w:bCs/>
                <w:color w:val="000000"/>
                <w:lang w:eastAsia="hr-HR"/>
              </w:rPr>
            </w:pPr>
            <w:r>
              <w:rPr>
                <w:rFonts w:cstheme="minorHAnsi" w:eastAsia="Times New Roman"/>
                <w:b/>
                <w:bCs/>
                <w:color w:val="000000"/>
                <w:lang w:eastAsia="hr-HR"/>
              </w:rPr>
              <w:t>u kn</w:t>
            </w:r>
          </w:p>
        </w:tc>
        <w:tc>
          <w:tcPr>
            <w:tcW w:type="dxa" w:w="1564"/>
            <w:gridSpan w:val="3"/>
            <w:tcBorders>
              <w:top w:space="0" w:sz="8" w:color="95B3D7" w:val="single"/>
              <w:left w:val="nil"/>
              <w:bottom w:space="0" w:sz="8" w:color="95B3D7" w:val="single"/>
              <w:right w:space="0" w:sz="8" w:color="95B3D7" w:val="single"/>
            </w:tcBorders>
            <w:shd w:fill="95B3D7" w:color="auto" w:val="clear"/>
            <w:noWrap/>
            <w:vAlign w:val="center"/>
            <w:hideMark/>
          </w:tcPr>
          <w:p w:rsidRDefault="001E3364" w:rsidR="001E3364">
            <w:pPr>
              <w:spacing w:lineRule="auto" w:line="240" w:after="0"/>
              <w:jc w:val="right"/>
              <w:rPr>
                <w:rFonts w:cstheme="minorHAnsi" w:eastAsia="Times New Roman"/>
                <w:b/>
                <w:bCs/>
                <w:color w:val="000000"/>
                <w:lang w:eastAsia="hr-HR"/>
              </w:rPr>
            </w:pPr>
            <w:r>
              <w:rPr>
                <w:rFonts w:cstheme="minorHAnsi" w:eastAsia="Times New Roman"/>
                <w:b/>
                <w:bCs/>
                <w:color w:val="000000"/>
                <w:lang w:eastAsia="hr-HR"/>
              </w:rPr>
              <w:t>06.07.2018</w:t>
            </w:r>
          </w:p>
        </w:tc>
        <w:tc>
          <w:tcPr>
            <w:tcW w:type="dxa" w:w="1559"/>
            <w:gridSpan w:val="4"/>
            <w:tcBorders>
              <w:top w:space="0" w:sz="8" w:color="95B3D7" w:val="single"/>
              <w:left w:val="nil"/>
              <w:bottom w:space="0" w:sz="8" w:color="95B3D7" w:val="single"/>
              <w:right w:space="0" w:sz="8" w:color="95B3D7" w:val="single"/>
            </w:tcBorders>
            <w:shd w:fill="95B3D7" w:color="auto" w:val="clear"/>
            <w:noWrap/>
            <w:vAlign w:val="center"/>
            <w:hideMark/>
          </w:tcPr>
          <w:p w:rsidRDefault="001E3364" w:rsidR="001E3364">
            <w:pPr>
              <w:spacing w:lineRule="auto" w:line="240" w:after="0"/>
              <w:jc w:val="right"/>
              <w:rPr>
                <w:rFonts w:cstheme="minorHAnsi" w:eastAsia="Times New Roman"/>
                <w:b/>
                <w:bCs/>
                <w:i/>
                <w:iCs/>
                <w:color w:val="000000"/>
                <w:lang w:eastAsia="hr-HR"/>
              </w:rPr>
            </w:pPr>
            <w:r>
              <w:rPr>
                <w:rFonts w:cstheme="minorHAnsi" w:eastAsia="Times New Roman"/>
                <w:b/>
                <w:bCs/>
                <w:i/>
                <w:iCs/>
                <w:color w:val="000000"/>
                <w:lang w:eastAsia="hr-HR"/>
              </w:rPr>
              <w:t>06.07.2018</w:t>
            </w:r>
          </w:p>
        </w:tc>
      </w:tr>
      <w:tr w:rsidTr="001E3364" w:rsidR="001E3364">
        <w:trPr>
          <w:gridBefore w:val="1"/>
          <w:wBefore w:type="dxa" w:w="441"/>
          <w:trHeight w:val="204"/>
        </w:trPr>
        <w:tc>
          <w:tcPr>
            <w:tcW w:type="dxa" w:w="5969"/>
            <w:gridSpan w:val="2"/>
            <w:shd w:fill="95B3D7" w:color="auto" w:val="clear"/>
            <w:noWrap/>
            <w:vAlign w:val="center"/>
            <w:hideMark/>
          </w:tcPr>
          <w:p w:rsidRDefault="001E3364" w:rsidR="001E3364">
            <w:pPr>
              <w:spacing w:lineRule="auto" w:line="240" w:after="0"/>
              <w:rPr>
                <w:rFonts w:cstheme="minorHAnsi" w:eastAsia="Times New Roman"/>
                <w:b/>
                <w:bCs/>
                <w:color w:val="000000"/>
                <w:lang w:eastAsia="hr-HR"/>
              </w:rPr>
            </w:pPr>
            <w:r>
              <w:rPr>
                <w:rFonts w:cstheme="minorHAnsi" w:eastAsia="Times New Roman"/>
                <w:b/>
                <w:bCs/>
                <w:color w:val="000000"/>
                <w:lang w:eastAsia="hr-HR"/>
              </w:rPr>
              <w:t> </w:t>
            </w:r>
          </w:p>
        </w:tc>
        <w:tc>
          <w:tcPr>
            <w:tcW w:type="dxa" w:w="1564"/>
            <w:gridSpan w:val="3"/>
            <w:shd w:fill="95B3D7" w:color="auto" w:val="clear"/>
            <w:noWrap/>
            <w:vAlign w:val="center"/>
            <w:hideMark/>
          </w:tcPr>
          <w:p w:rsidRDefault="001E3364" w:rsidR="001E3364">
            <w:pPr>
              <w:spacing w:lineRule="auto" w:line="240" w:after="0"/>
              <w:jc w:val="right"/>
              <w:rPr>
                <w:rFonts w:cstheme="minorHAnsi" w:eastAsia="Times New Roman"/>
                <w:b/>
                <w:bCs/>
                <w:color w:val="000000"/>
                <w:lang w:eastAsia="hr-HR"/>
              </w:rPr>
            </w:pPr>
            <w:r>
              <w:rPr>
                <w:rFonts w:cstheme="minorHAnsi" w:eastAsia="Times New Roman"/>
                <w:b/>
                <w:bCs/>
                <w:color w:val="000000"/>
                <w:lang w:eastAsia="hr-HR"/>
              </w:rPr>
              <w:t>UKUPNO</w:t>
            </w:r>
          </w:p>
        </w:tc>
        <w:tc>
          <w:tcPr>
            <w:tcW w:type="dxa" w:w="1559"/>
            <w:gridSpan w:val="4"/>
            <w:shd w:fill="95B3D7" w:color="auto" w:val="clear"/>
            <w:noWrap/>
            <w:vAlign w:val="center"/>
            <w:hideMark/>
          </w:tcPr>
          <w:p w:rsidRDefault="001E3364" w:rsidR="001E3364">
            <w:pPr>
              <w:spacing w:lineRule="auto" w:line="240" w:after="0"/>
              <w:jc w:val="right"/>
              <w:rPr>
                <w:rFonts w:cstheme="minorHAnsi" w:eastAsia="Times New Roman"/>
                <w:b/>
                <w:bCs/>
                <w:i/>
                <w:iCs/>
                <w:color w:val="000000"/>
                <w:lang w:eastAsia="hr-HR"/>
              </w:rPr>
            </w:pPr>
            <w:r>
              <w:rPr>
                <w:rFonts w:cstheme="minorHAnsi" w:eastAsia="Times New Roman"/>
                <w:b/>
                <w:bCs/>
                <w:i/>
                <w:iCs/>
                <w:color w:val="000000"/>
                <w:lang w:eastAsia="hr-HR"/>
              </w:rPr>
              <w:t>DOSPJELO</w:t>
            </w:r>
          </w:p>
        </w:tc>
      </w:tr>
      <w:tr w:rsidTr="001E3364" w:rsidR="001E3364">
        <w:trPr>
          <w:gridAfter w:val="2"/>
          <w:wAfter w:type="dxa" w:w="441"/>
          <w:trHeight w:val="96"/>
        </w:trPr>
        <w:tc>
          <w:tcPr>
            <w:tcW w:type="dxa" w:w="5969"/>
            <w:gridSpan w:val="2"/>
            <w:noWrap/>
            <w:vAlign w:val="center"/>
            <w:hideMark/>
          </w:tcPr>
          <w:p w:rsidRDefault="001E3364" w:rsidR="001E3364">
            <w:pPr>
              <w:spacing w:after="0"/>
              <w:rPr>
                <w:rFonts w:cs="Times New Roman"/>
              </w:rPr>
            </w:pPr>
          </w:p>
        </w:tc>
        <w:tc>
          <w:tcPr>
            <w:tcW w:type="dxa" w:w="1564"/>
            <w:gridSpan w:val="3"/>
            <w:noWrap/>
            <w:vAlign w:val="bottom"/>
            <w:hideMark/>
          </w:tcPr>
          <w:p w:rsidRDefault="001E3364" w:rsidR="001E3364">
            <w:pPr>
              <w:spacing w:after="0"/>
              <w:rPr>
                <w:rFonts w:cs="Times New Roman"/>
              </w:rPr>
            </w:pPr>
          </w:p>
        </w:tc>
        <w:tc>
          <w:tcPr>
            <w:tcW w:type="dxa" w:w="1559"/>
            <w:gridSpan w:val="3"/>
            <w:noWrap/>
            <w:vAlign w:val="bottom"/>
            <w:hideMark/>
          </w:tcPr>
          <w:p w:rsidRDefault="001E3364" w:rsidR="001E3364">
            <w:pPr>
              <w:spacing w:after="0"/>
              <w:rPr>
                <w:rFonts w:cs="Times New Roman"/>
              </w:rPr>
            </w:pPr>
          </w:p>
        </w:tc>
      </w:tr>
      <w:tr w:rsidTr="001E3364" w:rsidR="001E3364">
        <w:trPr>
          <w:gridBefore w:val="1"/>
          <w:gridAfter w:val="1"/>
          <w:wBefore w:type="dxa" w:w="441"/>
          <w:wAfter w:type="dxa" w:w="40"/>
          <w:trHeight w:val="240"/>
        </w:trPr>
        <w:tc>
          <w:tcPr>
            <w:tcW w:type="dxa" w:w="6095"/>
            <w:gridSpan w:val="3"/>
            <w:tcBorders>
              <w:top w:space="0" w:sz="8" w:color="B8CCE4" w:val="single"/>
              <w:left w:space="0" w:sz="8" w:color="B8CCE4" w:val="single"/>
              <w:bottom w:space="0" w:sz="8" w:color="B8CCE4" w:val="single"/>
              <w:right w:space="0" w:sz="8" w:color="B8CCE4" w:val="single"/>
            </w:tcBorders>
            <w:shd w:fill="95B3D7" w:color="auto" w:val="clear"/>
            <w:noWrap/>
            <w:vAlign w:val="center"/>
            <w:hideMark/>
          </w:tcPr>
          <w:p w:rsidRDefault="001E3364" w:rsidR="001E3364">
            <w:pPr>
              <w:spacing w:lineRule="auto" w:line="240" w:after="0"/>
              <w:rPr>
                <w:rFonts w:cstheme="minorHAnsi" w:eastAsia="Times New Roman"/>
                <w:b/>
                <w:bCs/>
                <w:color w:val="000000"/>
                <w:lang w:eastAsia="hr-HR"/>
              </w:rPr>
            </w:pPr>
            <w:r>
              <w:rPr>
                <w:rFonts w:cstheme="minorHAnsi" w:eastAsia="Times New Roman"/>
                <w:b/>
                <w:bCs/>
                <w:color w:val="000000"/>
                <w:lang w:eastAsia="hr-HR"/>
              </w:rPr>
              <w:t>MANJAK LIKVIDNIH SREDSTAVA</w:t>
            </w:r>
          </w:p>
        </w:tc>
        <w:tc>
          <w:tcPr>
            <w:tcW w:type="dxa" w:w="1559"/>
            <w:gridSpan w:val="3"/>
            <w:tcBorders>
              <w:top w:space="0" w:sz="8" w:color="B8CCE4" w:val="single"/>
              <w:left w:val="nil"/>
              <w:bottom w:space="0" w:sz="8" w:color="B8CCE4" w:val="single"/>
              <w:right w:space="0" w:sz="8" w:color="B8CCE4" w:val="single"/>
            </w:tcBorders>
            <w:shd w:fill="95B3D7" w:color="auto" w:val="clear"/>
            <w:noWrap/>
            <w:vAlign w:val="center"/>
            <w:hideMark/>
          </w:tcPr>
          <w:p w:rsidRDefault="001E3364" w:rsidR="001E3364">
            <w:pPr>
              <w:spacing w:after="0"/>
              <w:jc w:val="right"/>
              <w:rPr>
                <w:rFonts w:cs="Calibri" w:hAnsi="Calibri" w:ascii="Calibri"/>
                <w:b/>
                <w:bCs/>
                <w:color w:val="000000"/>
                <w:sz w:val="24"/>
                <w:szCs w:val="24"/>
              </w:rPr>
            </w:pPr>
            <w:r>
              <w:rPr>
                <w:rFonts w:cs="Calibri" w:hAnsi="Calibri" w:ascii="Calibri"/>
                <w:b/>
                <w:bCs/>
                <w:color w:val="000000"/>
                <w:sz w:val="24"/>
                <w:szCs w:val="24"/>
              </w:rPr>
              <w:t>0</w:t>
            </w:r>
          </w:p>
        </w:tc>
        <w:tc>
          <w:tcPr>
            <w:tcW w:type="dxa" w:w="1398"/>
            <w:gridSpan w:val="2"/>
            <w:tcBorders>
              <w:top w:space="0" w:sz="8" w:color="B8CCE4" w:val="single"/>
              <w:left w:val="nil"/>
              <w:bottom w:space="0" w:sz="8" w:color="B8CCE4" w:val="single"/>
              <w:right w:space="0" w:sz="8" w:color="B8CCE4" w:val="single"/>
            </w:tcBorders>
            <w:shd w:fill="95B3D7" w:color="auto" w:val="clear"/>
            <w:noWrap/>
            <w:vAlign w:val="center"/>
            <w:hideMark/>
          </w:tcPr>
          <w:p w:rsidRDefault="001E3364" w:rsidR="001E3364">
            <w:pPr>
              <w:spacing w:after="0"/>
              <w:jc w:val="right"/>
              <w:rPr>
                <w:rFonts w:cs="Calibri" w:hAnsi="Calibri" w:ascii="Calibri"/>
                <w:b/>
                <w:bCs/>
                <w:i/>
                <w:iCs/>
                <w:color w:val="000000"/>
                <w:sz w:val="24"/>
                <w:szCs w:val="24"/>
              </w:rPr>
            </w:pPr>
            <w:r>
              <w:rPr>
                <w:rFonts w:cs="Calibri" w:hAnsi="Calibri" w:ascii="Calibri"/>
                <w:b/>
                <w:bCs/>
                <w:i/>
                <w:iCs/>
                <w:color w:val="000000"/>
                <w:sz w:val="24"/>
                <w:szCs w:val="24"/>
              </w:rPr>
              <w:t>-5.373.550</w:t>
            </w:r>
          </w:p>
        </w:tc>
      </w:tr>
      <w:tr w:rsidTr="001E3364" w:rsidR="001E3364">
        <w:trPr>
          <w:gridBefore w:val="1"/>
          <w:gridAfter w:val="1"/>
          <w:wBefore w:type="dxa" w:w="441"/>
          <w:wAfter w:type="dxa" w:w="40"/>
          <w:trHeight w:val="98"/>
        </w:trPr>
        <w:tc>
          <w:tcPr>
            <w:tcW w:type="dxa" w:w="6095"/>
            <w:gridSpan w:val="3"/>
            <w:noWrap/>
            <w:vAlign w:val="center"/>
            <w:hideMark/>
          </w:tcPr>
          <w:p w:rsidRDefault="001E3364" w:rsidR="001E3364">
            <w:pPr>
              <w:spacing w:after="0"/>
              <w:rPr>
                <w:rFonts w:cs="Times New Roman"/>
              </w:rPr>
            </w:pPr>
          </w:p>
        </w:tc>
        <w:tc>
          <w:tcPr>
            <w:tcW w:type="dxa" w:w="1559"/>
            <w:gridSpan w:val="3"/>
            <w:noWrap/>
            <w:vAlign w:val="bottom"/>
            <w:hideMark/>
          </w:tcPr>
          <w:p w:rsidRDefault="001E3364" w:rsidR="001E3364">
            <w:pPr>
              <w:spacing w:after="0"/>
              <w:rPr>
                <w:rFonts w:cs="Times New Roman"/>
              </w:rPr>
            </w:pPr>
          </w:p>
        </w:tc>
        <w:tc>
          <w:tcPr>
            <w:tcW w:type="dxa" w:w="1398"/>
            <w:gridSpan w:val="2"/>
            <w:noWrap/>
            <w:vAlign w:val="bottom"/>
            <w:hideMark/>
          </w:tcPr>
          <w:p w:rsidRDefault="001E3364" w:rsidR="001E3364">
            <w:pPr>
              <w:spacing w:after="0"/>
              <w:rPr>
                <w:rFonts w:cs="Times New Roman"/>
              </w:rPr>
            </w:pPr>
          </w:p>
        </w:tc>
      </w:tr>
      <w:tr w:rsidTr="001E3364" w:rsidR="001E3364">
        <w:trPr>
          <w:gridBefore w:val="1"/>
          <w:gridAfter w:val="1"/>
          <w:wBefore w:type="dxa" w:w="441"/>
          <w:wAfter w:type="dxa" w:w="40"/>
          <w:trHeight w:val="240"/>
        </w:trPr>
        <w:tc>
          <w:tcPr>
            <w:tcW w:type="dxa" w:w="6095"/>
            <w:gridSpan w:val="3"/>
            <w:tcBorders>
              <w:top w:space="0" w:sz="8" w:color="B8CCE4" w:val="single"/>
              <w:left w:space="0" w:sz="8" w:color="B8CCE4" w:val="single"/>
              <w:bottom w:space="0" w:sz="8" w:color="B8CCE4" w:val="single"/>
              <w:right w:space="0" w:sz="8" w:color="B8CCE4" w:val="single"/>
            </w:tcBorders>
            <w:noWrap/>
            <w:vAlign w:val="center"/>
            <w:hideMark/>
          </w:tcPr>
          <w:p w:rsidRDefault="001E3364" w:rsidR="001E3364">
            <w:pPr>
              <w:spacing w:lineRule="auto" w:line="240" w:after="0"/>
              <w:rPr>
                <w:rFonts w:cstheme="minorHAnsi" w:eastAsia="Times New Roman"/>
                <w:color w:val="000000"/>
                <w:lang w:eastAsia="hr-HR"/>
              </w:rPr>
            </w:pPr>
            <w:r>
              <w:rPr>
                <w:rFonts w:cstheme="minorHAnsi" w:eastAsia="Times New Roman"/>
                <w:color w:val="000000"/>
                <w:lang w:eastAsia="hr-HR"/>
              </w:rPr>
              <w:t>Utjecaj reprograma tražbina razlučnih vjerovnika</w:t>
            </w:r>
          </w:p>
        </w:tc>
        <w:tc>
          <w:tcPr>
            <w:tcW w:type="dxa" w:w="1559"/>
            <w:gridSpan w:val="3"/>
            <w:tcBorders>
              <w:top w:space="0" w:sz="8" w:color="B8CCE4" w:val="single"/>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i/>
                <w:iCs/>
                <w:color w:val="000000"/>
                <w:sz w:val="24"/>
                <w:szCs w:val="24"/>
              </w:rPr>
            </w:pPr>
            <w:r>
              <w:rPr>
                <w:rFonts w:cs="Calibri" w:hAnsi="Calibri" w:ascii="Calibri"/>
                <w:i/>
                <w:iCs/>
                <w:color w:val="000000"/>
                <w:sz w:val="24"/>
                <w:szCs w:val="24"/>
              </w:rPr>
              <w:t> </w:t>
            </w:r>
          </w:p>
        </w:tc>
        <w:tc>
          <w:tcPr>
            <w:tcW w:type="dxa" w:w="1398"/>
            <w:gridSpan w:val="2"/>
            <w:tcBorders>
              <w:top w:space="0" w:sz="8" w:color="B8CCE4" w:val="single"/>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i/>
                <w:iCs/>
                <w:color w:val="000000"/>
                <w:sz w:val="24"/>
                <w:szCs w:val="24"/>
              </w:rPr>
            </w:pPr>
            <w:r>
              <w:rPr>
                <w:rFonts w:cs="Calibri" w:hAnsi="Calibri" w:ascii="Calibri"/>
                <w:i/>
                <w:iCs/>
                <w:color w:val="000000"/>
                <w:sz w:val="24"/>
                <w:szCs w:val="24"/>
              </w:rPr>
              <w:t> </w:t>
            </w:r>
          </w:p>
        </w:tc>
      </w:tr>
      <w:tr w:rsidTr="001E3364" w:rsidR="001E3364">
        <w:trPr>
          <w:gridBefore w:val="1"/>
          <w:gridAfter w:val="1"/>
          <w:wBefore w:type="dxa" w:w="441"/>
          <w:wAfter w:type="dxa" w:w="40"/>
          <w:trHeight w:val="240"/>
        </w:trPr>
        <w:tc>
          <w:tcPr>
            <w:tcW w:type="dxa" w:w="6095"/>
            <w:gridSpan w:val="3"/>
            <w:tcBorders>
              <w:top w:val="nil"/>
              <w:left w:space="0" w:sz="8" w:color="B8CCE4" w:val="single"/>
              <w:bottom w:space="0" w:sz="8" w:color="B8CCE4" w:val="single"/>
              <w:right w:space="0" w:sz="8" w:color="B8CCE4" w:val="single"/>
            </w:tcBorders>
            <w:noWrap/>
            <w:vAlign w:val="center"/>
            <w:hideMark/>
          </w:tcPr>
          <w:p w:rsidRDefault="001E3364" w:rsidP="001E3364" w:rsidR="001E3364">
            <w:pPr>
              <w:spacing w:lineRule="auto" w:line="240" w:after="0"/>
              <w:ind w:firstLineChars="400" w:firstLine="880"/>
              <w:rPr>
                <w:rFonts w:cstheme="minorHAnsi" w:eastAsia="Times New Roman"/>
                <w:color w:val="000000"/>
                <w:lang w:eastAsia="hr-HR"/>
              </w:rPr>
            </w:pPr>
            <w:r>
              <w:rPr>
                <w:rFonts w:cstheme="minorHAnsi" w:eastAsia="Times New Roman"/>
                <w:color w:val="000000"/>
                <w:lang w:eastAsia="hr-HR"/>
              </w:rPr>
              <w:t>Odgoda dospjelosti</w:t>
            </w:r>
          </w:p>
        </w:tc>
        <w:tc>
          <w:tcPr>
            <w:tcW w:type="dxa" w:w="1559"/>
            <w:gridSpan w:val="3"/>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color w:val="000000"/>
                <w:sz w:val="24"/>
                <w:szCs w:val="24"/>
              </w:rPr>
            </w:pPr>
            <w:r>
              <w:rPr>
                <w:rFonts w:cs="Calibri" w:hAnsi="Calibri" w:ascii="Calibri"/>
                <w:color w:val="000000"/>
                <w:sz w:val="24"/>
                <w:szCs w:val="24"/>
              </w:rPr>
              <w:t>4.745.585</w:t>
            </w:r>
          </w:p>
        </w:tc>
        <w:tc>
          <w:tcPr>
            <w:tcW w:type="dxa" w:w="1398"/>
            <w:gridSpan w:val="2"/>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color w:val="000000"/>
                <w:sz w:val="24"/>
                <w:szCs w:val="24"/>
              </w:rPr>
            </w:pPr>
            <w:r>
              <w:rPr>
                <w:rFonts w:cs="Calibri" w:hAnsi="Calibri" w:ascii="Calibri"/>
                <w:color w:val="000000"/>
                <w:sz w:val="24"/>
                <w:szCs w:val="24"/>
              </w:rPr>
              <w:t>4.745.585</w:t>
            </w:r>
          </w:p>
        </w:tc>
      </w:tr>
      <w:tr w:rsidTr="001E3364" w:rsidR="001E3364">
        <w:trPr>
          <w:gridBefore w:val="1"/>
          <w:gridAfter w:val="1"/>
          <w:wBefore w:type="dxa" w:w="441"/>
          <w:wAfter w:type="dxa" w:w="40"/>
          <w:trHeight w:val="240"/>
        </w:trPr>
        <w:tc>
          <w:tcPr>
            <w:tcW w:type="dxa" w:w="6095"/>
            <w:gridSpan w:val="3"/>
            <w:tcBorders>
              <w:top w:val="nil"/>
              <w:left w:space="0" w:sz="8" w:color="B8CCE4" w:val="single"/>
              <w:bottom w:space="0" w:sz="8" w:color="B8CCE4" w:val="single"/>
              <w:right w:space="0" w:sz="8" w:color="B8CCE4" w:val="single"/>
            </w:tcBorders>
            <w:noWrap/>
            <w:vAlign w:val="center"/>
            <w:hideMark/>
          </w:tcPr>
          <w:p w:rsidRDefault="001E3364" w:rsidR="001E3364">
            <w:pPr>
              <w:spacing w:lineRule="auto" w:line="240" w:after="0"/>
              <w:rPr>
                <w:rFonts w:cstheme="minorHAnsi" w:eastAsia="Times New Roman"/>
                <w:color w:val="000000"/>
                <w:lang w:eastAsia="hr-HR"/>
              </w:rPr>
            </w:pPr>
            <w:r>
              <w:rPr>
                <w:rFonts w:cstheme="minorHAnsi" w:eastAsia="Times New Roman"/>
                <w:color w:val="000000"/>
                <w:lang w:eastAsia="hr-HR"/>
              </w:rPr>
              <w:t>Utjecaj reprograma tražbina vjerovnika s neosiguranim tražbinama</w:t>
            </w:r>
          </w:p>
        </w:tc>
        <w:tc>
          <w:tcPr>
            <w:tcW w:type="dxa" w:w="1559"/>
            <w:gridSpan w:val="3"/>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color w:val="000000"/>
                <w:sz w:val="24"/>
                <w:szCs w:val="24"/>
              </w:rPr>
            </w:pPr>
            <w:r>
              <w:rPr>
                <w:rFonts w:cs="Calibri" w:hAnsi="Calibri" w:ascii="Calibri"/>
                <w:color w:val="000000"/>
                <w:sz w:val="24"/>
                <w:szCs w:val="24"/>
              </w:rPr>
              <w:t> </w:t>
            </w:r>
          </w:p>
        </w:tc>
        <w:tc>
          <w:tcPr>
            <w:tcW w:type="dxa" w:w="1398"/>
            <w:gridSpan w:val="2"/>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color w:val="000000"/>
                <w:sz w:val="24"/>
                <w:szCs w:val="24"/>
              </w:rPr>
            </w:pPr>
            <w:r>
              <w:rPr>
                <w:rFonts w:cs="Calibri" w:hAnsi="Calibri" w:ascii="Calibri"/>
                <w:color w:val="000000"/>
                <w:sz w:val="24"/>
                <w:szCs w:val="24"/>
              </w:rPr>
              <w:t> </w:t>
            </w:r>
          </w:p>
        </w:tc>
      </w:tr>
      <w:tr w:rsidTr="001E3364" w:rsidR="001E3364">
        <w:trPr>
          <w:gridBefore w:val="1"/>
          <w:gridAfter w:val="1"/>
          <w:wBefore w:type="dxa" w:w="441"/>
          <w:wAfter w:type="dxa" w:w="40"/>
          <w:trHeight w:val="240"/>
        </w:trPr>
        <w:tc>
          <w:tcPr>
            <w:tcW w:type="dxa" w:w="6095"/>
            <w:gridSpan w:val="3"/>
            <w:tcBorders>
              <w:top w:val="nil"/>
              <w:left w:space="0" w:sz="8" w:color="B8CCE4" w:val="single"/>
              <w:bottom w:space="0" w:sz="8" w:color="B8CCE4" w:val="single"/>
              <w:right w:space="0" w:sz="8" w:color="B8CCE4" w:val="single"/>
            </w:tcBorders>
            <w:noWrap/>
            <w:vAlign w:val="center"/>
            <w:hideMark/>
          </w:tcPr>
          <w:p w:rsidRDefault="001E3364" w:rsidP="001E3364" w:rsidR="001E3364">
            <w:pPr>
              <w:spacing w:lineRule="auto" w:line="240" w:after="0"/>
              <w:ind w:firstLineChars="400" w:firstLine="880"/>
              <w:rPr>
                <w:rFonts w:cstheme="minorHAnsi" w:eastAsia="Times New Roman"/>
                <w:color w:val="000000"/>
                <w:lang w:eastAsia="hr-HR"/>
              </w:rPr>
            </w:pPr>
            <w:r>
              <w:rPr>
                <w:rFonts w:cstheme="minorHAnsi" w:eastAsia="Times New Roman"/>
                <w:color w:val="000000"/>
                <w:lang w:eastAsia="hr-HR"/>
              </w:rPr>
              <w:t>Odgoda dospjelosti</w:t>
            </w:r>
          </w:p>
        </w:tc>
        <w:tc>
          <w:tcPr>
            <w:tcW w:type="dxa" w:w="1559"/>
            <w:gridSpan w:val="3"/>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color w:val="000000"/>
                <w:sz w:val="24"/>
                <w:szCs w:val="24"/>
              </w:rPr>
            </w:pPr>
            <w:r>
              <w:rPr>
                <w:rFonts w:cs="Calibri" w:hAnsi="Calibri" w:ascii="Calibri"/>
                <w:color w:val="000000"/>
                <w:sz w:val="24"/>
                <w:szCs w:val="24"/>
              </w:rPr>
              <w:t>12.146.727</w:t>
            </w:r>
          </w:p>
        </w:tc>
        <w:tc>
          <w:tcPr>
            <w:tcW w:type="dxa" w:w="1398"/>
            <w:gridSpan w:val="2"/>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color w:val="000000"/>
                <w:sz w:val="24"/>
                <w:szCs w:val="24"/>
              </w:rPr>
            </w:pPr>
            <w:r>
              <w:rPr>
                <w:rFonts w:cs="Calibri" w:hAnsi="Calibri" w:ascii="Calibri"/>
                <w:color w:val="000000"/>
                <w:sz w:val="24"/>
                <w:szCs w:val="24"/>
              </w:rPr>
              <w:t>12.146.727</w:t>
            </w:r>
          </w:p>
        </w:tc>
      </w:tr>
      <w:tr w:rsidTr="001E3364" w:rsidR="001E3364">
        <w:trPr>
          <w:gridBefore w:val="1"/>
          <w:gridAfter w:val="1"/>
          <w:wBefore w:type="dxa" w:w="441"/>
          <w:wAfter w:type="dxa" w:w="40"/>
          <w:trHeight w:val="240"/>
        </w:trPr>
        <w:tc>
          <w:tcPr>
            <w:tcW w:type="dxa" w:w="6095"/>
            <w:gridSpan w:val="3"/>
            <w:tcBorders>
              <w:top w:val="nil"/>
              <w:left w:space="0" w:sz="8" w:color="B8CCE4" w:val="single"/>
              <w:bottom w:space="0" w:sz="8" w:color="B8CCE4" w:val="single"/>
              <w:right w:space="0" w:sz="8" w:color="B8CCE4" w:val="single"/>
            </w:tcBorders>
            <w:shd w:fill="95B3D7" w:color="auto" w:val="clear"/>
            <w:noWrap/>
            <w:vAlign w:val="center"/>
            <w:hideMark/>
          </w:tcPr>
          <w:p w:rsidRDefault="001E3364" w:rsidR="001E3364">
            <w:pPr>
              <w:spacing w:lineRule="auto" w:line="240" w:after="0"/>
              <w:rPr>
                <w:rFonts w:cstheme="minorHAnsi" w:eastAsia="Times New Roman"/>
                <w:b/>
                <w:bCs/>
                <w:color w:val="000000"/>
                <w:lang w:eastAsia="hr-HR"/>
              </w:rPr>
            </w:pPr>
            <w:r>
              <w:rPr>
                <w:rFonts w:cstheme="minorHAnsi" w:eastAsia="Times New Roman"/>
                <w:b/>
                <w:bCs/>
                <w:color w:val="000000"/>
                <w:lang w:eastAsia="hr-HR"/>
              </w:rPr>
              <w:t>VIŠAK LIKVIDNIH SREDSTAVA</w:t>
            </w:r>
          </w:p>
        </w:tc>
        <w:tc>
          <w:tcPr>
            <w:tcW w:type="dxa" w:w="1559"/>
            <w:gridSpan w:val="3"/>
            <w:tcBorders>
              <w:top w:val="nil"/>
              <w:left w:val="nil"/>
              <w:bottom w:space="0" w:sz="8" w:color="B8CCE4" w:val="single"/>
              <w:right w:space="0" w:sz="8" w:color="B8CCE4" w:val="single"/>
            </w:tcBorders>
            <w:shd w:fill="95B3D7" w:color="auto" w:val="clear"/>
            <w:noWrap/>
            <w:vAlign w:val="center"/>
            <w:hideMark/>
          </w:tcPr>
          <w:p w:rsidRDefault="001E3364" w:rsidR="001E3364">
            <w:pPr>
              <w:spacing w:after="0"/>
              <w:jc w:val="right"/>
              <w:rPr>
                <w:rFonts w:cs="Calibri" w:hAnsi="Calibri" w:ascii="Calibri"/>
                <w:b/>
                <w:bCs/>
                <w:color w:val="000000"/>
                <w:sz w:val="24"/>
                <w:szCs w:val="24"/>
              </w:rPr>
            </w:pPr>
            <w:r>
              <w:rPr>
                <w:rFonts w:cs="Calibri" w:hAnsi="Calibri" w:ascii="Calibri"/>
                <w:b/>
                <w:bCs/>
                <w:color w:val="000000"/>
                <w:sz w:val="24"/>
                <w:szCs w:val="24"/>
              </w:rPr>
              <w:t>16.892.312</w:t>
            </w:r>
          </w:p>
        </w:tc>
        <w:tc>
          <w:tcPr>
            <w:tcW w:type="dxa" w:w="1398"/>
            <w:gridSpan w:val="2"/>
            <w:tcBorders>
              <w:top w:val="nil"/>
              <w:left w:val="nil"/>
              <w:bottom w:space="0" w:sz="8" w:color="B8CCE4" w:val="single"/>
              <w:right w:space="0" w:sz="8" w:color="B8CCE4" w:val="single"/>
            </w:tcBorders>
            <w:shd w:fill="95B3D7" w:color="auto" w:val="clear"/>
            <w:noWrap/>
            <w:vAlign w:val="center"/>
            <w:hideMark/>
          </w:tcPr>
          <w:p w:rsidRDefault="001E3364" w:rsidR="001E3364">
            <w:pPr>
              <w:spacing w:after="0"/>
              <w:jc w:val="right"/>
              <w:rPr>
                <w:rFonts w:cs="Calibri" w:hAnsi="Calibri" w:ascii="Calibri"/>
                <w:b/>
                <w:bCs/>
                <w:i/>
                <w:iCs/>
                <w:color w:val="000000"/>
                <w:sz w:val="24"/>
                <w:szCs w:val="24"/>
              </w:rPr>
            </w:pPr>
            <w:r>
              <w:rPr>
                <w:rFonts w:cs="Calibri" w:hAnsi="Calibri" w:ascii="Calibri"/>
                <w:b/>
                <w:bCs/>
                <w:i/>
                <w:iCs/>
                <w:color w:val="000000"/>
                <w:sz w:val="24"/>
                <w:szCs w:val="24"/>
              </w:rPr>
              <w:t>11.518.763</w:t>
            </w:r>
          </w:p>
        </w:tc>
      </w:tr>
    </w:tbl>
    <w:p w:rsidRDefault="001E3364" w:rsidP="001E3364" w:rsidR="001E3364">
      <w:pPr>
        <w:ind w:left="360"/>
        <w:jc w:val="both"/>
        <w:rPr>
          <w:sz w:val="24"/>
          <w:szCs w:val="24"/>
        </w:rPr>
      </w:pPr>
    </w:p>
    <w:p w:rsidRDefault="001E3364" w:rsidP="001E3364" w:rsidR="001E3364">
      <w:pPr>
        <w:ind w:left="360"/>
        <w:jc w:val="both"/>
        <w:rPr>
          <w:sz w:val="24"/>
          <w:szCs w:val="24"/>
        </w:rPr>
      </w:pPr>
      <w:r>
        <w:rPr>
          <w:sz w:val="24"/>
          <w:szCs w:val="24"/>
        </w:rPr>
        <w:t>Društvo će također nastaviti s proizvodnjom i prodajom zaliha gotovih proizvoda, naplatiti potraživanja od svojih dužnika te zadržati dio novca na računu za servisiranje tekućih obveza i ulaganje u daljnji razvoj poslovanja.</w:t>
      </w:r>
    </w:p>
    <w:p w:rsidRDefault="001E3364" w:rsidP="001E3364" w:rsidR="001E3364">
      <w:pPr>
        <w:pStyle w:val="Naslov1"/>
        <w:numPr>
          <w:ilvl w:val="0"/>
          <w:numId w:val="2"/>
        </w:numPr>
        <w:rPr>
          <w:rFonts w:hAnsiTheme="minorHAnsi" w:asciiTheme="minorHAnsi"/>
          <w:sz w:val="24"/>
          <w:szCs w:val="24"/>
        </w:rPr>
      </w:pPr>
      <w:bookmarkStart w:name="_Toc521023689" w:id="10"/>
      <w:r>
        <w:rPr>
          <w:rFonts w:hAnsiTheme="minorHAnsi" w:asciiTheme="minorHAnsi"/>
          <w:sz w:val="24"/>
          <w:szCs w:val="24"/>
        </w:rPr>
        <w:lastRenderedPageBreak/>
        <w:t>Mjere operativnoga restrukturiranja i izračun njihovih učinaka na poslovanje</w:t>
      </w:r>
      <w:bookmarkEnd w:id="10"/>
    </w:p>
    <w:p w:rsidRDefault="001E3364" w:rsidP="001E3364" w:rsidR="001E3364">
      <w:pPr>
        <w:jc w:val="both"/>
        <w:rPr>
          <w:rFonts w:cs="Times New Roman" w:eastAsia="Times New Roman"/>
          <w:color w:val="000000"/>
          <w:sz w:val="24"/>
          <w:szCs w:val="24"/>
          <w:lang w:eastAsia="hr-HR"/>
        </w:rPr>
      </w:pPr>
      <w:r>
        <w:rPr>
          <w:rFonts w:cs="Times New Roman" w:eastAsia="Times New Roman"/>
          <w:color w:val="000000"/>
          <w:sz w:val="24"/>
          <w:szCs w:val="24"/>
          <w:lang w:eastAsia="hr-HR"/>
        </w:rPr>
        <w:t>U prethodnom opisu navedeni su uzroci prijeteće nelikvidnosti Društva. Prema planu restrukturiranja sačinjenom u veljači, pokrenuta je proizvodnja i započeta normalizacija poslovanja koja je ponovno prekinuta 23. svibnja 2018., prekidom financijskih tijekova uzrokovanih blokadom računa Društva.</w:t>
      </w:r>
    </w:p>
    <w:p w:rsidRDefault="001E3364" w:rsidP="001E3364" w:rsidR="001E3364">
      <w:pPr>
        <w:jc w:val="both"/>
        <w:rPr>
          <w:rFonts w:cs="Times New Roman" w:eastAsia="Times New Roman"/>
          <w:color w:val="000000"/>
          <w:sz w:val="24"/>
          <w:szCs w:val="24"/>
          <w:lang w:eastAsia="hr-HR"/>
        </w:rPr>
      </w:pPr>
      <w:r>
        <w:rPr>
          <w:rFonts w:cs="Times New Roman" w:eastAsia="Times New Roman"/>
          <w:color w:val="000000"/>
          <w:sz w:val="24"/>
          <w:szCs w:val="24"/>
          <w:lang w:eastAsia="hr-HR"/>
        </w:rPr>
        <w:t>Proizvodnja je ponovno prekinuta zbog nemogućnosti nabave materijala potrebnih za normalan tijek proizvodnje, a time je započela potpuna nesposobnost Društva za plaćanje svojih obveza.</w:t>
      </w:r>
    </w:p>
    <w:p w:rsidRDefault="001E3364" w:rsidP="001E3364" w:rsidR="001E3364">
      <w:pPr>
        <w:jc w:val="both"/>
        <w:rPr>
          <w:rFonts w:cs="Times New Roman" w:eastAsia="Times New Roman"/>
          <w:color w:val="000000"/>
          <w:sz w:val="24"/>
          <w:szCs w:val="24"/>
          <w:lang w:eastAsia="hr-HR"/>
        </w:rPr>
      </w:pPr>
      <w:r>
        <w:rPr>
          <w:rFonts w:cs="Times New Roman" w:eastAsia="Times New Roman"/>
          <w:color w:val="000000"/>
          <w:sz w:val="24"/>
          <w:szCs w:val="24"/>
          <w:lang w:eastAsia="hr-HR"/>
        </w:rPr>
        <w:t>Operativno restrukturiranje obuhvaća:</w:t>
      </w:r>
    </w:p>
    <w:p w:rsidRDefault="001E3364" w:rsidP="001E3364" w:rsidR="001E3364">
      <w:pPr>
        <w:pStyle w:val="Odlomakpopisa"/>
        <w:numPr>
          <w:ilvl w:val="0"/>
          <w:numId w:val="18"/>
        </w:numPr>
        <w:jc w:val="both"/>
        <w:rPr>
          <w:rFonts w:cs="Times New Roman" w:eastAsia="Times New Roman"/>
          <w:color w:val="000000"/>
          <w:sz w:val="24"/>
          <w:szCs w:val="24"/>
          <w:lang w:eastAsia="hr-HR"/>
        </w:rPr>
      </w:pPr>
      <w:r>
        <w:rPr>
          <w:rFonts w:cs="Times New Roman" w:eastAsia="Times New Roman"/>
          <w:color w:val="000000"/>
          <w:sz w:val="24"/>
          <w:szCs w:val="24"/>
          <w:lang w:eastAsia="hr-HR"/>
        </w:rPr>
        <w:t>Ponovno pokretanje proizvodnje</w:t>
      </w:r>
    </w:p>
    <w:p w:rsidRDefault="001E3364" w:rsidP="001E3364" w:rsidR="001E3364">
      <w:pPr>
        <w:pStyle w:val="Odlomakpopisa"/>
        <w:numPr>
          <w:ilvl w:val="0"/>
          <w:numId w:val="18"/>
        </w:numPr>
        <w:jc w:val="both"/>
        <w:rPr>
          <w:rFonts w:cs="Times New Roman" w:eastAsia="Times New Roman"/>
          <w:color w:val="000000"/>
          <w:sz w:val="24"/>
          <w:szCs w:val="24"/>
          <w:lang w:eastAsia="hr-HR"/>
        </w:rPr>
      </w:pPr>
      <w:r>
        <w:rPr>
          <w:rFonts w:cs="Times New Roman" w:eastAsia="Times New Roman"/>
          <w:color w:val="000000"/>
          <w:sz w:val="24"/>
          <w:szCs w:val="24"/>
          <w:lang w:eastAsia="hr-HR"/>
        </w:rPr>
        <w:t>Obnova ugovora s bivšim i novim kupcima</w:t>
      </w:r>
    </w:p>
    <w:p w:rsidRDefault="001E3364" w:rsidP="001E3364" w:rsidR="001E3364">
      <w:pPr>
        <w:pStyle w:val="Odlomakpopisa"/>
        <w:numPr>
          <w:ilvl w:val="0"/>
          <w:numId w:val="18"/>
        </w:numPr>
        <w:jc w:val="both"/>
        <w:rPr>
          <w:rFonts w:cs="Times New Roman" w:eastAsia="Times New Roman"/>
          <w:color w:val="000000"/>
          <w:sz w:val="24"/>
          <w:szCs w:val="24"/>
          <w:lang w:eastAsia="hr-HR"/>
        </w:rPr>
      </w:pPr>
      <w:r>
        <w:rPr>
          <w:rFonts w:cs="Times New Roman" w:eastAsia="Times New Roman"/>
          <w:color w:val="000000"/>
          <w:sz w:val="24"/>
          <w:szCs w:val="24"/>
          <w:lang w:eastAsia="hr-HR"/>
        </w:rPr>
        <w:t>Restrukturiranje ljudskih kapaciteta</w:t>
      </w:r>
    </w:p>
    <w:p w:rsidRDefault="001E3364" w:rsidP="001E3364" w:rsidR="001E3364">
      <w:pPr>
        <w:pStyle w:val="Odlomakpopisa"/>
        <w:numPr>
          <w:ilvl w:val="0"/>
          <w:numId w:val="18"/>
        </w:numPr>
        <w:jc w:val="both"/>
        <w:rPr>
          <w:rFonts w:cs="Times New Roman" w:eastAsia="Times New Roman"/>
          <w:color w:val="000000"/>
          <w:sz w:val="24"/>
          <w:szCs w:val="24"/>
          <w:lang w:eastAsia="hr-HR"/>
        </w:rPr>
      </w:pPr>
      <w:r>
        <w:rPr>
          <w:rFonts w:cs="Times New Roman" w:eastAsia="Times New Roman"/>
          <w:color w:val="000000"/>
          <w:sz w:val="24"/>
          <w:szCs w:val="24"/>
          <w:lang w:eastAsia="hr-HR"/>
        </w:rPr>
        <w:t>Restrukturiranje i prodaja neprihodujuće dugotrajne materijalne imovine</w:t>
      </w:r>
    </w:p>
    <w:p w:rsidRDefault="001E3364" w:rsidP="001E3364" w:rsidR="001E3364">
      <w:pPr>
        <w:jc w:val="both"/>
        <w:rPr>
          <w:rFonts w:cs="Times New Roman" w:eastAsia="Times New Roman"/>
          <w:color w:val="000000"/>
          <w:sz w:val="24"/>
          <w:szCs w:val="24"/>
          <w:lang w:eastAsia="hr-HR"/>
        </w:rPr>
      </w:pPr>
      <w:r>
        <w:rPr>
          <w:rFonts w:cs="Times New Roman" w:eastAsia="Times New Roman"/>
          <w:color w:val="000000"/>
          <w:sz w:val="24"/>
          <w:szCs w:val="24"/>
          <w:lang w:eastAsia="hr-HR"/>
        </w:rPr>
        <w:t>Normalizacijom protoka financijskog poslovanja omogućila bi se neometana nabava svih sastavnica proizvodnje te ponovno uspostavila proizvodnja.</w:t>
      </w:r>
    </w:p>
    <w:p w:rsidRDefault="001E3364" w:rsidP="001E3364" w:rsidR="001E3364">
      <w:pPr>
        <w:jc w:val="both"/>
        <w:rPr>
          <w:rFonts w:cs="Times New Roman" w:eastAsia="Times New Roman"/>
          <w:color w:val="000000"/>
          <w:sz w:val="24"/>
          <w:szCs w:val="24"/>
          <w:lang w:eastAsia="hr-HR"/>
        </w:rPr>
      </w:pPr>
      <w:r>
        <w:rPr>
          <w:rFonts w:cs="Times New Roman" w:eastAsia="Times New Roman"/>
          <w:color w:val="000000"/>
          <w:sz w:val="24"/>
          <w:szCs w:val="24"/>
          <w:lang w:eastAsia="hr-HR"/>
        </w:rPr>
        <w:t>Za pokretanje planirane proizvodne aktivnosti potrebno je 60 do 90 dana.</w:t>
      </w:r>
    </w:p>
    <w:p w:rsidRDefault="001E3364" w:rsidP="001E3364" w:rsidR="001E3364">
      <w:pPr>
        <w:jc w:val="both"/>
        <w:rPr>
          <w:rFonts w:cs="Times New Roman" w:eastAsia="Times New Roman"/>
          <w:color w:val="000000"/>
          <w:sz w:val="24"/>
          <w:szCs w:val="24"/>
          <w:lang w:eastAsia="hr-HR"/>
        </w:rPr>
      </w:pPr>
      <w:r>
        <w:rPr>
          <w:rFonts w:cs="Times New Roman" w:eastAsia="Times New Roman"/>
          <w:color w:val="000000"/>
          <w:sz w:val="24"/>
          <w:szCs w:val="24"/>
          <w:lang w:eastAsia="hr-HR"/>
        </w:rPr>
        <w:t>U tom periodu planirano je pokretanje proizvodnje u pogona ALUPACK proizvoda u Zagrebu i pogonu TSA u Belišću.</w:t>
      </w:r>
    </w:p>
    <w:p w:rsidRDefault="001E3364" w:rsidP="001E3364" w:rsidR="001E3364">
      <w:pPr>
        <w:pStyle w:val="Odlomakpopisa"/>
        <w:numPr>
          <w:ilvl w:val="0"/>
          <w:numId w:val="16"/>
        </w:numPr>
        <w:jc w:val="both"/>
        <w:rPr>
          <w:rFonts w:cs="Times New Roman" w:eastAsia="Times New Roman"/>
          <w:color w:val="000000"/>
          <w:sz w:val="24"/>
          <w:szCs w:val="24"/>
          <w:lang w:eastAsia="hr-HR"/>
        </w:rPr>
      </w:pPr>
      <w:r>
        <w:rPr>
          <w:rFonts w:cs="Times New Roman" w:eastAsia="Times New Roman"/>
          <w:color w:val="000000"/>
          <w:sz w:val="24"/>
          <w:szCs w:val="24"/>
          <w:lang w:eastAsia="hr-HR"/>
        </w:rPr>
        <w:t>Za pokretanje proizvodnje ALUPACK programa planirana je nabava repromaterijala te obnova Ugovora s bivšim i novim kupcima.</w:t>
      </w:r>
    </w:p>
    <w:p w:rsidRDefault="001E3364" w:rsidP="001E3364" w:rsidR="001E3364">
      <w:pPr>
        <w:jc w:val="both"/>
        <w:rPr>
          <w:rFonts w:cs="Times New Roman" w:eastAsia="Times New Roman"/>
          <w:color w:val="000000"/>
          <w:sz w:val="24"/>
          <w:szCs w:val="24"/>
          <w:lang w:eastAsia="hr-HR"/>
        </w:rPr>
      </w:pPr>
      <w:r>
        <w:rPr>
          <w:rFonts w:cs="Times New Roman" w:eastAsia="Times New Roman"/>
          <w:color w:val="000000"/>
          <w:sz w:val="24"/>
          <w:szCs w:val="24"/>
          <w:lang w:eastAsia="hr-HR"/>
        </w:rPr>
        <w:t>Proizvodi su vrlo dobro prihvaćeni od krajnjih kupaca i očekuje se normalizacija tržišta kojom bi bili popunjeni proizvodni kapaciteti proizvodnog pogona.</w:t>
      </w:r>
    </w:p>
    <w:p w:rsidRDefault="001E3364" w:rsidP="001E3364" w:rsidR="001E3364">
      <w:pPr>
        <w:jc w:val="both"/>
        <w:rPr>
          <w:rFonts w:cs="Times New Roman" w:eastAsia="Times New Roman"/>
          <w:color w:val="000000"/>
          <w:sz w:val="24"/>
          <w:szCs w:val="24"/>
          <w:lang w:eastAsia="hr-HR"/>
        </w:rPr>
      </w:pPr>
      <w:r>
        <w:rPr>
          <w:rFonts w:cs="Times New Roman" w:eastAsia="Times New Roman"/>
          <w:color w:val="000000"/>
          <w:sz w:val="24"/>
          <w:szCs w:val="24"/>
          <w:lang w:eastAsia="hr-HR"/>
        </w:rPr>
        <w:t>Za potpunu normalizaciju proizvodnje i tržišta programa ALUPACK planirani rok je 150 do 180 dana.</w:t>
      </w:r>
    </w:p>
    <w:p w:rsidRDefault="001E3364" w:rsidP="001E3364" w:rsidR="001E3364">
      <w:pPr>
        <w:pStyle w:val="Odlomakpopisa"/>
        <w:numPr>
          <w:ilvl w:val="0"/>
          <w:numId w:val="16"/>
        </w:numPr>
        <w:jc w:val="both"/>
        <w:rPr>
          <w:rFonts w:cs="Times New Roman" w:eastAsia="Times New Roman"/>
          <w:color w:val="000000"/>
          <w:sz w:val="24"/>
          <w:szCs w:val="24"/>
          <w:lang w:eastAsia="hr-HR"/>
        </w:rPr>
      </w:pPr>
      <w:r>
        <w:rPr>
          <w:rFonts w:cs="Times New Roman" w:eastAsia="Times New Roman"/>
          <w:color w:val="000000"/>
          <w:sz w:val="24"/>
          <w:szCs w:val="24"/>
          <w:lang w:eastAsia="hr-HR"/>
        </w:rPr>
        <w:t>Proizvodnja TSA Belišće imala je slabih proizvodnih aktivnosti tijekom prijeteće nelikvidnosti stoga će tu za nastavak proizvodnje biti potrebno nešto manje vremena za postizanje normalizacije poslovanja. Planirani period normalizacije proizvodne i poslovne aktivnosti TSA je 120 do 150 dana.</w:t>
      </w:r>
    </w:p>
    <w:p w:rsidRDefault="001E3364" w:rsidP="001E3364" w:rsidR="001E3364">
      <w:pPr>
        <w:jc w:val="both"/>
        <w:rPr>
          <w:rFonts w:cs="Times New Roman" w:eastAsia="Times New Roman"/>
          <w:color w:val="000000"/>
          <w:sz w:val="24"/>
          <w:szCs w:val="24"/>
          <w:lang w:eastAsia="hr-HR"/>
        </w:rPr>
      </w:pPr>
      <w:r>
        <w:rPr>
          <w:rFonts w:cs="Times New Roman" w:eastAsia="Times New Roman"/>
          <w:color w:val="000000"/>
          <w:sz w:val="24"/>
          <w:szCs w:val="24"/>
          <w:lang w:eastAsia="hr-HR"/>
        </w:rPr>
        <w:t>Time bi se u potpunosti uspostavili normalni financijski i robni tijekovi, a to bi značilo i mogućnost Društva da ispunjava svoje ostale obveze prema svim vjerovnicima. Za postizanje poslovnih rezultata iz 2016. godine potrebno je minimalno 18 mjeseci neometanog poslovanja.</w:t>
      </w:r>
    </w:p>
    <w:p w:rsidRDefault="001E3364" w:rsidP="001E3364" w:rsidR="001E3364">
      <w:pPr>
        <w:jc w:val="both"/>
        <w:rPr>
          <w:rFonts w:cs="Times New Roman" w:eastAsia="Times New Roman"/>
          <w:color w:val="000000"/>
          <w:sz w:val="24"/>
          <w:szCs w:val="24"/>
          <w:lang w:eastAsia="hr-HR"/>
        </w:rPr>
      </w:pPr>
      <w:r>
        <w:rPr>
          <w:rFonts w:cs="Times New Roman" w:eastAsia="Times New Roman"/>
          <w:color w:val="000000"/>
          <w:sz w:val="24"/>
          <w:szCs w:val="24"/>
          <w:lang w:eastAsia="hr-HR"/>
        </w:rPr>
        <w:t xml:space="preserve">Uz proizvodnju i tržišnu aktivnost potrebna je i kadrovska obnova s neophodnim novim zaposlenjima. Potpuna kadrovska revitalizacija Društva moguća je kroz period od 12 do 18 </w:t>
      </w:r>
      <w:r>
        <w:rPr>
          <w:rFonts w:cs="Times New Roman" w:eastAsia="Times New Roman"/>
          <w:color w:val="000000"/>
          <w:sz w:val="24"/>
          <w:szCs w:val="24"/>
          <w:lang w:eastAsia="hr-HR"/>
        </w:rPr>
        <w:lastRenderedPageBreak/>
        <w:t>mjeseci. U navedenom periodu Društvo planira zaposliti dvadesetak novih djelatnika. Navedenim poslovnim aktivnostima postigla bi se ponovno stabilnost Društva kakva je zabilježena do 2016. godine.</w:t>
      </w:r>
    </w:p>
    <w:p w:rsidRDefault="001E3364" w:rsidP="001E3364" w:rsidR="001E3364">
      <w:pPr>
        <w:jc w:val="both"/>
        <w:rPr>
          <w:rFonts w:cs="Times New Roman" w:eastAsia="Times New Roman"/>
          <w:color w:val="000000"/>
          <w:sz w:val="24"/>
          <w:szCs w:val="24"/>
          <w:lang w:eastAsia="hr-HR"/>
        </w:rPr>
      </w:pPr>
      <w:r>
        <w:rPr>
          <w:rFonts w:cs="Times New Roman" w:eastAsia="Times New Roman"/>
          <w:color w:val="000000"/>
          <w:sz w:val="24"/>
          <w:szCs w:val="24"/>
          <w:lang w:eastAsia="hr-HR"/>
        </w:rPr>
        <w:t>Nadalje, Uprava je preispitala buduće ekonomske koristi od posjedovanja pojedinih nekretnina u vlasništvu Društva. U skladu s navedenim Uprava Društva je u procesu prodaje nekretnina koje se ne koriste u proizvodne i administrativne svrhe poslovanja Društva. Navedenom prodajom nekretnina Društvo planira se ulagati u proizvodnju te manjim dijelom nadomjestiti manjak likvidnih sredstava potrebnih za redovno poslovanje.</w:t>
      </w:r>
    </w:p>
    <w:p w:rsidRDefault="001E3364" w:rsidP="001E3364" w:rsidR="001E3364">
      <w:pPr>
        <w:pStyle w:val="Naslov1"/>
        <w:numPr>
          <w:ilvl w:val="0"/>
          <w:numId w:val="2"/>
        </w:numPr>
        <w:rPr>
          <w:rFonts w:hAnsiTheme="minorHAnsi" w:asciiTheme="minorHAnsi"/>
          <w:sz w:val="24"/>
          <w:szCs w:val="24"/>
        </w:rPr>
      </w:pPr>
      <w:bookmarkStart w:name="_Toc521023690" w:id="11"/>
      <w:r>
        <w:rPr>
          <w:rFonts w:hAnsiTheme="minorHAnsi" w:asciiTheme="minorHAnsi"/>
          <w:sz w:val="24"/>
          <w:szCs w:val="24"/>
        </w:rPr>
        <w:lastRenderedPageBreak/>
        <w:t>Plan poslovanja za razdoblje od 2018. do 2024. godine, uz detaljno obrazloženje razloga za utvrđivanje svake pozicije plana</w:t>
      </w:r>
      <w:bookmarkEnd w:id="11"/>
    </w:p>
    <w:p w:rsidRDefault="001E3364" w:rsidP="001E3364" w:rsidR="001E3364">
      <w:pPr>
        <w:jc w:val="both"/>
        <w:rPr>
          <w:rFonts w:cs="Times New Roman" w:eastAsia="Times New Roman"/>
          <w:color w:val="000000"/>
          <w:sz w:val="24"/>
          <w:szCs w:val="24"/>
          <w:lang w:eastAsia="hr-HR"/>
        </w:rPr>
      </w:pPr>
      <w:r>
        <w:rPr>
          <w:rFonts w:cs="Times New Roman" w:eastAsia="Times New Roman"/>
          <w:color w:val="000000"/>
          <w:sz w:val="24"/>
          <w:szCs w:val="24"/>
          <w:lang w:eastAsia="hr-HR"/>
        </w:rPr>
        <w:t xml:space="preserve">Polazna točka za izradu plana restrukturiranja su financijski izvještaji na dan 06. srpnja 2018. godine, koji su sastavni dio prijedloga za otvaranje predstečajnog postupka. </w:t>
      </w:r>
    </w:p>
    <w:p w:rsidRDefault="001E3364" w:rsidP="001E3364" w:rsidR="001E3364">
      <w:pPr>
        <w:jc w:val="both"/>
        <w:rPr>
          <w:rFonts w:cs="Times New Roman" w:eastAsia="Times New Roman"/>
          <w:color w:val="000000"/>
          <w:sz w:val="24"/>
          <w:szCs w:val="24"/>
          <w:lang w:eastAsia="hr-HR"/>
        </w:rPr>
      </w:pPr>
      <w:r>
        <w:rPr>
          <w:rFonts w:cs="Times New Roman" w:eastAsia="Times New Roman"/>
          <w:color w:val="000000"/>
          <w:sz w:val="24"/>
          <w:szCs w:val="24"/>
          <w:lang w:eastAsia="hr-HR"/>
        </w:rPr>
        <w:t>U financijskim izvještajima su također obračunate kamate do dana predviđenog otvaranja predstečajnog postupka (koje su također ukalkulirane u rezultatu do 06. srpnja 2018.).</w:t>
      </w:r>
    </w:p>
    <w:p w:rsidRDefault="001E3364" w:rsidP="001E3364" w:rsidR="001E3364">
      <w:pPr>
        <w:jc w:val="both"/>
        <w:rPr>
          <w:rFonts w:cs="Times New Roman" w:eastAsia="Times New Roman"/>
          <w:color w:val="000000"/>
          <w:sz w:val="24"/>
          <w:szCs w:val="24"/>
          <w:lang w:eastAsia="hr-HR"/>
        </w:rPr>
      </w:pPr>
      <w:r>
        <w:rPr>
          <w:rFonts w:cs="Times New Roman" w:eastAsia="Times New Roman"/>
          <w:color w:val="000000"/>
          <w:sz w:val="24"/>
          <w:szCs w:val="24"/>
          <w:lang w:eastAsia="hr-HR"/>
        </w:rPr>
        <w:t>Utjecaj mjera predloženog plana restrukturiranja (utjecaj reprograma obveza) uključeni su u projekciju financijskih izvještaja za 2018. godinu, na temelju kojih je pripremljen poslovni plan Društva za razdoblje od 2018. do 2024. godine.</w:t>
      </w:r>
    </w:p>
    <w:p w:rsidRDefault="001E3364" w:rsidP="001E3364" w:rsidR="001E3364">
      <w:pPr>
        <w:jc w:val="both"/>
        <w:rPr>
          <w:rFonts w:cs="Times New Roman" w:eastAsia="Times New Roman"/>
          <w:color w:val="000000"/>
          <w:sz w:val="24"/>
          <w:szCs w:val="24"/>
          <w:u w:val="single"/>
          <w:lang w:eastAsia="hr-HR"/>
        </w:rPr>
      </w:pPr>
      <w:r>
        <w:rPr>
          <w:rFonts w:cs="Times New Roman" w:eastAsia="Times New Roman"/>
          <w:color w:val="000000"/>
          <w:sz w:val="24"/>
          <w:szCs w:val="24"/>
          <w:u w:val="single"/>
          <w:lang w:eastAsia="hr-HR"/>
        </w:rPr>
        <w:t>Bilanca</w:t>
      </w:r>
    </w:p>
    <w:p w:rsidRDefault="001E3364" w:rsidP="001E3364" w:rsidR="001E3364">
      <w:pPr>
        <w:jc w:val="both"/>
        <w:rPr>
          <w:rFonts w:cs="Times New Roman" w:eastAsia="Times New Roman"/>
          <w:color w:val="000000"/>
          <w:sz w:val="24"/>
          <w:szCs w:val="24"/>
          <w:u w:val="single"/>
          <w:lang w:eastAsia="hr-HR"/>
        </w:rPr>
      </w:pPr>
      <w:r>
        <w:rPr>
          <w:rFonts w:cs="Times New Roman" w:eastAsia="Times New Roman"/>
          <w:color w:val="000000"/>
          <w:sz w:val="24"/>
          <w:szCs w:val="24"/>
          <w:u w:val="single"/>
          <w:lang w:eastAsia="hr-HR"/>
        </w:rPr>
        <w:t>Dugotrajna materijalna imovina</w:t>
      </w:r>
    </w:p>
    <w:p w:rsidRDefault="001E3364" w:rsidP="001E3364" w:rsidR="001E3364">
      <w:pPr>
        <w:jc w:val="both"/>
        <w:rPr>
          <w:rFonts w:cs="Times New Roman" w:eastAsia="Times New Roman"/>
          <w:color w:val="000000"/>
          <w:sz w:val="24"/>
          <w:szCs w:val="24"/>
          <w:lang w:eastAsia="hr-HR"/>
        </w:rPr>
      </w:pPr>
      <w:r>
        <w:rPr>
          <w:rFonts w:cs="Times New Roman" w:eastAsia="Times New Roman"/>
          <w:color w:val="000000"/>
          <w:sz w:val="24"/>
          <w:szCs w:val="24"/>
          <w:lang w:eastAsia="hr-HR"/>
        </w:rPr>
        <w:t>Dugotrajnu materijalnu imovinu čine zemljišta, građevinski objekti, postrojenja i oprema, alati, pogonski inventar i transportna imovina koji su neophodni za obavljanje poslova proizvodnje i administrativne aktivnosti Društva.</w:t>
      </w:r>
    </w:p>
    <w:p w:rsidRDefault="001E3364" w:rsidP="001E3364" w:rsidR="001E3364">
      <w:pPr>
        <w:jc w:val="both"/>
        <w:rPr>
          <w:rFonts w:cs="Times New Roman" w:eastAsia="Times New Roman"/>
          <w:color w:val="000000"/>
          <w:sz w:val="24"/>
          <w:szCs w:val="24"/>
          <w:u w:val="single"/>
          <w:lang w:eastAsia="hr-HR"/>
        </w:rPr>
      </w:pPr>
      <w:r>
        <w:rPr>
          <w:rFonts w:cs="Times New Roman" w:eastAsia="Times New Roman"/>
          <w:color w:val="000000"/>
          <w:sz w:val="24"/>
          <w:szCs w:val="24"/>
          <w:u w:val="single"/>
          <w:lang w:eastAsia="hr-HR"/>
        </w:rPr>
        <w:t>Zalihe</w:t>
      </w:r>
    </w:p>
    <w:p w:rsidRDefault="001E3364" w:rsidP="001E3364" w:rsidR="001E3364">
      <w:pPr>
        <w:jc w:val="both"/>
        <w:rPr>
          <w:rFonts w:cs="Times New Roman" w:eastAsia="Times New Roman"/>
          <w:color w:val="000000"/>
          <w:sz w:val="24"/>
          <w:szCs w:val="24"/>
          <w:lang w:eastAsia="hr-HR"/>
        </w:rPr>
      </w:pPr>
      <w:r>
        <w:rPr>
          <w:rFonts w:cs="Times New Roman" w:eastAsia="Times New Roman"/>
          <w:color w:val="000000"/>
          <w:sz w:val="24"/>
          <w:szCs w:val="24"/>
          <w:lang w:eastAsia="hr-HR"/>
        </w:rPr>
        <w:t>U najvećoj mjeri zalihe se odnose na zalihe sirovina i materijala potrebnih za proizvodnju proizvoda.</w:t>
      </w:r>
    </w:p>
    <w:p w:rsidRDefault="001E3364" w:rsidP="001E3364" w:rsidR="001E3364">
      <w:pPr>
        <w:jc w:val="both"/>
        <w:rPr>
          <w:rFonts w:cs="Times New Roman" w:eastAsia="Times New Roman"/>
          <w:sz w:val="24"/>
          <w:szCs w:val="24"/>
          <w:u w:val="single"/>
          <w:lang w:eastAsia="hr-HR"/>
        </w:rPr>
      </w:pPr>
      <w:r>
        <w:rPr>
          <w:rFonts w:cs="Times New Roman" w:eastAsia="Times New Roman"/>
          <w:sz w:val="24"/>
          <w:szCs w:val="24"/>
          <w:u w:val="single"/>
          <w:lang w:eastAsia="hr-HR"/>
        </w:rPr>
        <w:t xml:space="preserve">Potraživanja </w:t>
      </w:r>
    </w:p>
    <w:p w:rsidRDefault="001E3364" w:rsidP="001E3364" w:rsidR="001E3364">
      <w:pPr>
        <w:jc w:val="both"/>
        <w:rPr>
          <w:rFonts w:cs="Times New Roman" w:eastAsia="Times New Roman"/>
          <w:sz w:val="24"/>
          <w:szCs w:val="24"/>
          <w:lang w:eastAsia="hr-HR"/>
        </w:rPr>
      </w:pPr>
      <w:r>
        <w:rPr>
          <w:rFonts w:cs="Times New Roman" w:eastAsia="Times New Roman"/>
          <w:sz w:val="24"/>
          <w:szCs w:val="24"/>
          <w:lang w:eastAsia="hr-HR"/>
        </w:rPr>
        <w:t>Potraživanja Društva iskazana su u financijskim izvještajima, vrijednosno usklađena u skladu s vjerojatnosti naplate istih.</w:t>
      </w:r>
    </w:p>
    <w:p w:rsidRDefault="001E3364" w:rsidP="001E3364" w:rsidR="001E3364">
      <w:pPr>
        <w:jc w:val="both"/>
        <w:rPr>
          <w:rFonts w:cs="Times New Roman" w:eastAsia="Times New Roman"/>
          <w:sz w:val="24"/>
          <w:szCs w:val="24"/>
          <w:lang w:eastAsia="hr-HR"/>
        </w:rPr>
      </w:pPr>
      <w:r>
        <w:rPr>
          <w:rFonts w:cs="Times New Roman" w:eastAsia="Times New Roman"/>
          <w:sz w:val="24"/>
          <w:szCs w:val="24"/>
          <w:lang w:eastAsia="hr-HR"/>
        </w:rPr>
        <w:t>Popis dužnikovih dužnika (potraživanja) čini sastavni dio prijedloga za otvaranje predstečajnog postupka kao njegov prilog.</w:t>
      </w:r>
    </w:p>
    <w:p w:rsidRDefault="001E3364" w:rsidP="001E3364" w:rsidR="001E3364">
      <w:pPr>
        <w:jc w:val="both"/>
        <w:rPr>
          <w:rFonts w:cs="Times New Roman" w:eastAsia="Times New Roman"/>
          <w:sz w:val="24"/>
          <w:szCs w:val="24"/>
          <w:u w:val="single"/>
          <w:lang w:eastAsia="hr-HR"/>
        </w:rPr>
      </w:pPr>
      <w:r>
        <w:rPr>
          <w:rFonts w:cs="Times New Roman" w:eastAsia="Times New Roman"/>
          <w:sz w:val="24"/>
          <w:szCs w:val="24"/>
          <w:u w:val="single"/>
          <w:lang w:eastAsia="hr-HR"/>
        </w:rPr>
        <w:t>Kratkotrajna financijska imovina</w:t>
      </w:r>
    </w:p>
    <w:p w:rsidRDefault="001E3364" w:rsidP="001E3364" w:rsidR="001E3364">
      <w:pPr>
        <w:jc w:val="both"/>
        <w:rPr>
          <w:rFonts w:cs="Times New Roman" w:eastAsia="Times New Roman"/>
          <w:sz w:val="24"/>
          <w:szCs w:val="24"/>
          <w:lang w:eastAsia="hr-HR"/>
        </w:rPr>
      </w:pPr>
      <w:r>
        <w:rPr>
          <w:rFonts w:cs="Times New Roman" w:eastAsia="Times New Roman"/>
          <w:sz w:val="24"/>
          <w:szCs w:val="24"/>
          <w:lang w:eastAsia="hr-HR"/>
        </w:rPr>
        <w:t>Kratkotrajnu financijsku imovinu čine kratkotrajne beskamatne pozajmice dane zaposlenicima, pravnim i fizičkim osobama.</w:t>
      </w:r>
    </w:p>
    <w:p w:rsidRDefault="001E3364" w:rsidP="001E3364" w:rsidR="001E3364">
      <w:pPr>
        <w:jc w:val="both"/>
        <w:rPr>
          <w:rFonts w:cs="Times New Roman" w:eastAsia="Times New Roman"/>
          <w:sz w:val="24"/>
          <w:szCs w:val="24"/>
          <w:u w:val="single"/>
          <w:lang w:eastAsia="hr-HR"/>
        </w:rPr>
      </w:pPr>
      <w:r>
        <w:rPr>
          <w:rFonts w:cs="Times New Roman" w:eastAsia="Times New Roman"/>
          <w:sz w:val="24"/>
          <w:szCs w:val="24"/>
          <w:u w:val="single"/>
          <w:lang w:eastAsia="hr-HR"/>
        </w:rPr>
        <w:t>Dugoročne obveze za zajmove, depozite i slično</w:t>
      </w:r>
    </w:p>
    <w:p w:rsidRDefault="001E3364" w:rsidP="001E3364" w:rsidR="001E3364">
      <w:pPr>
        <w:jc w:val="both"/>
        <w:rPr>
          <w:rFonts w:cs="Times New Roman" w:eastAsia="Times New Roman"/>
          <w:sz w:val="24"/>
          <w:szCs w:val="24"/>
          <w:lang w:eastAsia="hr-HR"/>
        </w:rPr>
      </w:pPr>
      <w:r>
        <w:rPr>
          <w:rFonts w:cs="Times New Roman" w:eastAsia="Times New Roman"/>
          <w:sz w:val="24"/>
          <w:szCs w:val="24"/>
          <w:lang w:eastAsia="hr-HR"/>
        </w:rPr>
        <w:t>Dugoročne obveze za zajmove odnose se na primljene pozajmice od članova Društva koje se reprogramiraju djelomično kao obveze prema razlučnim, a djelomično kao obveze prema vjerovnicima koji nisu nižeg isplatnog reda sukladno prijedlogu predstečajne nagodbe iz ovog plana restrukturiranja.</w:t>
      </w:r>
    </w:p>
    <w:p w:rsidRDefault="001E3364" w:rsidP="001E3364" w:rsidR="001E3364">
      <w:pPr>
        <w:jc w:val="both"/>
        <w:rPr>
          <w:rFonts w:cs="Times New Roman" w:eastAsia="Times New Roman"/>
          <w:color w:val="000000"/>
          <w:sz w:val="24"/>
          <w:szCs w:val="24"/>
          <w:u w:val="single"/>
          <w:lang w:eastAsia="hr-HR"/>
        </w:rPr>
      </w:pPr>
      <w:r>
        <w:rPr>
          <w:rFonts w:cs="Times New Roman" w:eastAsia="Times New Roman"/>
          <w:color w:val="000000"/>
          <w:sz w:val="24"/>
          <w:szCs w:val="24"/>
          <w:u w:val="single"/>
          <w:lang w:eastAsia="hr-HR"/>
        </w:rPr>
        <w:t>Dugoročne obveze po kreditima banaka</w:t>
      </w:r>
    </w:p>
    <w:p w:rsidRDefault="001E3364" w:rsidP="001E3364" w:rsidR="001E3364">
      <w:pPr>
        <w:jc w:val="both"/>
        <w:rPr>
          <w:rFonts w:cs="Times New Roman" w:eastAsia="Times New Roman"/>
          <w:color w:val="000000"/>
          <w:sz w:val="24"/>
          <w:szCs w:val="24"/>
          <w:lang w:eastAsia="hr-HR"/>
        </w:rPr>
      </w:pPr>
      <w:r>
        <w:rPr>
          <w:rFonts w:cs="Times New Roman" w:eastAsia="Times New Roman"/>
          <w:color w:val="000000"/>
          <w:sz w:val="24"/>
          <w:szCs w:val="24"/>
          <w:lang w:eastAsia="hr-HR"/>
        </w:rPr>
        <w:lastRenderedPageBreak/>
        <w:t xml:space="preserve">Odnose se na reprogramirane obveze razlučnih i izlučnih vjerovnika sukladno prijedlogu predstečajne nagodbe iz ovog plana restrukturiranja. </w:t>
      </w:r>
    </w:p>
    <w:p w:rsidRDefault="001E3364" w:rsidP="001E3364" w:rsidR="001E3364">
      <w:pPr>
        <w:jc w:val="both"/>
        <w:rPr>
          <w:rFonts w:cs="Times New Roman" w:eastAsia="Times New Roman"/>
          <w:sz w:val="24"/>
          <w:szCs w:val="24"/>
          <w:u w:val="single"/>
          <w:lang w:eastAsia="hr-HR"/>
        </w:rPr>
      </w:pPr>
      <w:r>
        <w:rPr>
          <w:rFonts w:cs="Times New Roman" w:eastAsia="Times New Roman"/>
          <w:sz w:val="24"/>
          <w:szCs w:val="24"/>
          <w:u w:val="single"/>
          <w:lang w:eastAsia="hr-HR"/>
        </w:rPr>
        <w:t>Obveze prema dobavljačima</w:t>
      </w:r>
    </w:p>
    <w:p w:rsidRDefault="001E3364" w:rsidP="001E3364" w:rsidR="001E3364">
      <w:pPr>
        <w:jc w:val="both"/>
        <w:rPr>
          <w:rFonts w:cs="Times New Roman" w:eastAsia="Times New Roman"/>
          <w:sz w:val="24"/>
          <w:szCs w:val="24"/>
          <w:lang w:eastAsia="hr-HR"/>
        </w:rPr>
      </w:pPr>
      <w:r>
        <w:rPr>
          <w:rFonts w:cs="Times New Roman" w:eastAsia="Times New Roman"/>
          <w:sz w:val="24"/>
          <w:szCs w:val="24"/>
          <w:lang w:eastAsia="hr-HR"/>
        </w:rPr>
        <w:t>Odnose se na obveze prema dobavljačima koji sudjeluju u poslovanju društva i s kojima planiramo nastaviti suradnju u budućem razdoblju.</w:t>
      </w:r>
    </w:p>
    <w:p w:rsidRDefault="001E3364" w:rsidP="001E3364" w:rsidR="001E3364">
      <w:pPr>
        <w:jc w:val="both"/>
        <w:rPr>
          <w:rFonts w:cs="Times New Roman" w:eastAsia="Times New Roman"/>
          <w:sz w:val="24"/>
          <w:szCs w:val="24"/>
          <w:lang w:eastAsia="hr-HR"/>
        </w:rPr>
      </w:pPr>
      <w:r>
        <w:rPr>
          <w:rFonts w:cs="Times New Roman" w:eastAsia="Times New Roman"/>
          <w:sz w:val="24"/>
          <w:szCs w:val="24"/>
          <w:lang w:eastAsia="hr-HR"/>
        </w:rPr>
        <w:t>Popis dužnikovih vjerovnika (obveza) čini sastavni dio prijedloga za otvaranje predstečajnog postupka kao njegov prilog.</w:t>
      </w:r>
    </w:p>
    <w:p w:rsidRDefault="001E3364" w:rsidP="001E3364" w:rsidR="001E3364">
      <w:pPr>
        <w:jc w:val="both"/>
        <w:rPr>
          <w:rFonts w:cs="Times New Roman" w:eastAsia="Times New Roman"/>
          <w:sz w:val="24"/>
          <w:szCs w:val="24"/>
          <w:u w:val="single"/>
          <w:lang w:eastAsia="hr-HR"/>
        </w:rPr>
      </w:pPr>
      <w:r>
        <w:rPr>
          <w:rFonts w:cs="Times New Roman" w:eastAsia="Times New Roman"/>
          <w:sz w:val="24"/>
          <w:szCs w:val="24"/>
          <w:u w:val="single"/>
          <w:lang w:eastAsia="hr-HR"/>
        </w:rPr>
        <w:t>Porezne obveze</w:t>
      </w:r>
    </w:p>
    <w:p w:rsidRDefault="001E3364" w:rsidP="001E3364" w:rsidR="001E3364">
      <w:pPr>
        <w:jc w:val="both"/>
        <w:rPr>
          <w:rFonts w:cs="Times New Roman" w:eastAsia="Times New Roman"/>
          <w:sz w:val="24"/>
          <w:szCs w:val="24"/>
          <w:lang w:eastAsia="hr-HR"/>
        </w:rPr>
      </w:pPr>
      <w:r>
        <w:rPr>
          <w:rFonts w:cs="Times New Roman" w:eastAsia="Times New Roman"/>
          <w:sz w:val="24"/>
          <w:szCs w:val="24"/>
          <w:lang w:eastAsia="hr-HR"/>
        </w:rPr>
        <w:t>Pretpostavke plana temelje se na pravovremenom plaćanju svih poreznih obveza.</w:t>
      </w:r>
    </w:p>
    <w:p w:rsidRDefault="001E3364" w:rsidP="001E3364" w:rsidR="001E3364">
      <w:pPr>
        <w:jc w:val="both"/>
        <w:rPr>
          <w:rFonts w:cs="Times New Roman" w:eastAsia="Times New Roman"/>
          <w:color w:val="000000"/>
          <w:sz w:val="24"/>
          <w:szCs w:val="24"/>
          <w:lang w:eastAsia="hr-HR"/>
        </w:rPr>
      </w:pPr>
      <w:r>
        <w:rPr>
          <w:rFonts w:cs="Times New Roman" w:eastAsia="Times New Roman"/>
          <w:color w:val="000000"/>
          <w:sz w:val="24"/>
          <w:szCs w:val="24"/>
          <w:lang w:eastAsia="hr-HR"/>
        </w:rPr>
        <w:t>S obzirom na mogućnost korištenja prenesenih poreznih gubitaka prethodnih razdoblja, ne očekuje se plaćanje poreza na dobit u razdoblju do 2022. godine</w:t>
      </w:r>
    </w:p>
    <w:p w:rsidRDefault="001E3364" w:rsidP="001E3364" w:rsidR="001E3364">
      <w:pPr>
        <w:jc w:val="both"/>
        <w:rPr>
          <w:rFonts w:cs="Times New Roman" w:eastAsia="Times New Roman"/>
          <w:sz w:val="24"/>
          <w:szCs w:val="24"/>
          <w:u w:val="single"/>
          <w:lang w:eastAsia="hr-HR"/>
        </w:rPr>
      </w:pPr>
      <w:r>
        <w:rPr>
          <w:rFonts w:cs="Times New Roman" w:eastAsia="Times New Roman"/>
          <w:sz w:val="24"/>
          <w:szCs w:val="24"/>
          <w:u w:val="single"/>
          <w:lang w:eastAsia="hr-HR"/>
        </w:rPr>
        <w:t>Tražbine radnika</w:t>
      </w:r>
    </w:p>
    <w:p w:rsidRDefault="001E3364" w:rsidP="001E3364" w:rsidR="001E3364">
      <w:pPr>
        <w:jc w:val="both"/>
        <w:rPr>
          <w:rFonts w:cs="Times New Roman" w:eastAsia="Times New Roman"/>
          <w:sz w:val="24"/>
          <w:szCs w:val="24"/>
          <w:u w:val="single"/>
          <w:lang w:eastAsia="hr-HR"/>
        </w:rPr>
      </w:pPr>
      <w:r>
        <w:rPr>
          <w:rFonts w:cs="Times New Roman" w:eastAsia="Times New Roman"/>
          <w:sz w:val="24"/>
          <w:szCs w:val="24"/>
          <w:u w:val="single"/>
          <w:lang w:eastAsia="hr-HR"/>
        </w:rPr>
        <w:t>Društvo ima neplaćenih tražbina iz radnog odnosa za mjesec svibanj i lipanj 2018. godine koje su predane FINA-i u postupak prisilne naplate.</w:t>
      </w:r>
    </w:p>
    <w:p w:rsidRDefault="001E3364" w:rsidP="001E3364" w:rsidR="001E3364">
      <w:pPr>
        <w:jc w:val="both"/>
        <w:rPr>
          <w:rFonts w:cs="Times New Roman" w:eastAsia="Times New Roman"/>
          <w:sz w:val="24"/>
          <w:szCs w:val="24"/>
          <w:lang w:eastAsia="hr-HR"/>
        </w:rPr>
      </w:pPr>
      <w:r>
        <w:rPr>
          <w:rFonts w:cs="Times New Roman" w:eastAsia="Times New Roman"/>
          <w:sz w:val="24"/>
          <w:szCs w:val="24"/>
          <w:u w:val="single"/>
          <w:lang w:eastAsia="hr-HR"/>
        </w:rPr>
        <w:t>Potencijalne obveze te postupci pred sudovima i drugim javnim tijelima</w:t>
      </w:r>
    </w:p>
    <w:p w:rsidRDefault="001E3364" w:rsidP="001E3364" w:rsidR="001E3364">
      <w:pPr>
        <w:jc w:val="both"/>
        <w:rPr>
          <w:rFonts w:cs="Times New Roman" w:eastAsia="Times New Roman"/>
          <w:color w:val="000000"/>
          <w:sz w:val="24"/>
          <w:szCs w:val="24"/>
          <w:lang w:eastAsia="hr-HR"/>
        </w:rPr>
      </w:pPr>
      <w:r>
        <w:rPr>
          <w:rFonts w:cs="Times New Roman" w:eastAsia="Times New Roman"/>
          <w:color w:val="000000"/>
          <w:sz w:val="24"/>
          <w:szCs w:val="24"/>
          <w:lang w:eastAsia="hr-HR"/>
        </w:rPr>
        <w:t>Društvo je trenutno tuženik u više sudskih postupaka, ukupne procijenjene vrijednosti sporova od 8 milijuna kuna, za koje u financijskim izvještajima nije izvršena rezervacija za sudske sporove iznad iznosa u kojem su obveze već priznate, s obzirom na procjenu rukovodstva da je vjerojatnost odljeva po istima mala.</w:t>
      </w:r>
    </w:p>
    <w:p w:rsidRDefault="001E3364" w:rsidP="001E3364" w:rsidR="001E3364">
      <w:pPr>
        <w:jc w:val="both"/>
        <w:rPr>
          <w:rFonts w:cs="Times New Roman" w:eastAsia="Times New Roman"/>
          <w:sz w:val="24"/>
          <w:szCs w:val="24"/>
          <w:lang w:eastAsia="hr-HR"/>
        </w:rPr>
      </w:pPr>
      <w:r>
        <w:rPr>
          <w:rFonts w:cs="Times New Roman" w:eastAsia="Times New Roman"/>
          <w:sz w:val="24"/>
          <w:szCs w:val="24"/>
          <w:lang w:eastAsia="hr-HR"/>
        </w:rPr>
        <w:t>Osim navedenog, obveze (glavnica bez kamata) temeljem ovrha vjerovnika su uključene u financijske izvještaje, ali i uključene u plan restrukturiranja.</w:t>
      </w:r>
    </w:p>
    <w:p w:rsidRDefault="001E3364" w:rsidP="001E3364" w:rsidR="001E3364">
      <w:pPr>
        <w:jc w:val="both"/>
        <w:rPr>
          <w:rFonts w:cs="Times New Roman" w:eastAsia="Times New Roman"/>
          <w:color w:val="000000"/>
          <w:sz w:val="24"/>
          <w:szCs w:val="24"/>
          <w:lang w:eastAsia="hr-HR"/>
        </w:rPr>
      </w:pPr>
      <w:r>
        <w:rPr>
          <w:rFonts w:cs="Times New Roman" w:eastAsia="Times New Roman"/>
          <w:color w:val="000000"/>
          <w:sz w:val="24"/>
          <w:szCs w:val="24"/>
          <w:lang w:eastAsia="hr-HR"/>
        </w:rPr>
        <w:t>Postupci izravne naplate pred Financijskom agencijom u iznosu 1.702.046,41 kuna na datum 05. srpnja 2018. godine navedeni u Očevidniku o redoslijedu plaćanja sa obračunatom kamatom u Prilogu 1 ovog izvještaja.</w:t>
      </w:r>
    </w:p>
    <w:p w:rsidRDefault="001E3364" w:rsidP="001E3364" w:rsidR="001E3364">
      <w:pPr>
        <w:jc w:val="both"/>
        <w:rPr>
          <w:rFonts w:cs="Times New Roman" w:eastAsia="Times New Roman"/>
          <w:sz w:val="24"/>
          <w:szCs w:val="24"/>
          <w:lang w:eastAsia="hr-HR"/>
        </w:rPr>
      </w:pPr>
      <w:r>
        <w:rPr>
          <w:rFonts w:cs="Times New Roman" w:eastAsia="Times New Roman"/>
          <w:color w:val="000000"/>
          <w:sz w:val="24"/>
          <w:szCs w:val="24"/>
          <w:lang w:eastAsia="hr-HR"/>
        </w:rPr>
        <w:t>Popis postupaka pred sudovima i drugim javnim tijelima s visinom tražbine je naveden u nastavku:</w:t>
      </w:r>
    </w:p>
    <w:p w:rsidRDefault="001E3364" w:rsidP="001E3364" w:rsidR="001E3364">
      <w:pPr>
        <w:jc w:val="both"/>
        <w:rPr>
          <w:rFonts w:cs="Times New Roman" w:eastAsia="Times New Roman"/>
          <w:sz w:val="24"/>
          <w:szCs w:val="24"/>
          <w:lang w:eastAsia="hr-HR"/>
        </w:rPr>
      </w:pPr>
    </w:p>
    <w:p w:rsidRDefault="001E3364" w:rsidP="001E3364" w:rsidR="001E3364">
      <w:pPr>
        <w:spacing w:after="0"/>
        <w:rPr>
          <w:rFonts w:cs="Times New Roman" w:eastAsia="Times New Roman"/>
          <w:sz w:val="24"/>
          <w:szCs w:val="24"/>
          <w:lang w:eastAsia="hr-HR"/>
        </w:rPr>
        <w:sectPr w:rsidR="001E3364">
          <w:pgSz w:h="16838" w:w="11906"/>
          <w:pgMar w:gutter="0" w:footer="431" w:header="426" w:left="1417" w:bottom="993" w:right="1417" w:top="1276"/>
          <w:cols w:space="720"/>
        </w:sectPr>
      </w:pPr>
    </w:p>
    <w:tbl>
      <w:tblPr>
        <w:tblW w:type="dxa" w:w="16297"/>
        <w:jc w:val="center"/>
        <w:tblLook w:val="04A0" w:noVBand="1" w:noHBand="0" w:lastColumn="0" w:firstColumn="1" w:lastRow="0" w:firstRow="1"/>
      </w:tblPr>
      <w:tblGrid>
        <w:gridCol w:w="632"/>
        <w:gridCol w:w="2644"/>
        <w:gridCol w:w="2839"/>
        <w:gridCol w:w="1857"/>
        <w:gridCol w:w="1884"/>
        <w:gridCol w:w="2558"/>
        <w:gridCol w:w="2333"/>
        <w:gridCol w:w="1550"/>
      </w:tblGrid>
      <w:tr w:rsidTr="001E3364" w:rsidR="001E3364">
        <w:trPr>
          <w:trHeight w:val="900"/>
          <w:tblHeader/>
          <w:jc w:val="center"/>
        </w:trPr>
        <w:tc>
          <w:tcPr>
            <w:tcW w:type="dxa" w:w="632"/>
            <w:tcBorders>
              <w:top w:space="0" w:sz="4" w:color="000000" w:val="single"/>
              <w:left w:space="0" w:sz="4" w:color="000000" w:val="single"/>
              <w:bottom w:space="0" w:sz="4" w:color="000000" w:val="single"/>
              <w:right w:space="0" w:sz="4" w:color="000000" w:val="single"/>
            </w:tcBorders>
            <w:shd w:fill="33CCCC" w:color="auto" w:val="clear"/>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b/>
                <w:bCs/>
                <w:color w:val="000000"/>
                <w:sz w:val="20"/>
                <w:szCs w:val="20"/>
                <w:lang w:eastAsia="hr-HR"/>
              </w:rPr>
            </w:pPr>
            <w:r>
              <w:rPr>
                <w:rFonts w:cstheme="minorHAnsi" w:eastAsia="Times New Roman"/>
                <w:b/>
                <w:bCs/>
                <w:color w:val="000000"/>
                <w:sz w:val="20"/>
                <w:szCs w:val="20"/>
                <w:lang w:eastAsia="hr-HR"/>
              </w:rPr>
              <w:lastRenderedPageBreak/>
              <w:t>R.B.</w:t>
            </w:r>
          </w:p>
        </w:tc>
        <w:tc>
          <w:tcPr>
            <w:tcW w:type="dxa" w:w="2644"/>
            <w:tcBorders>
              <w:top w:space="0" w:sz="4" w:color="000000" w:val="single"/>
              <w:left w:space="0" w:sz="4" w:color="000000" w:val="single"/>
              <w:bottom w:space="0" w:sz="4" w:color="000000" w:val="single"/>
              <w:right w:space="0" w:sz="4" w:color="000000" w:val="single"/>
            </w:tcBorders>
            <w:shd w:fill="33CCCC" w:color="auto" w:val="clear"/>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b/>
                <w:bCs/>
                <w:color w:val="000000"/>
                <w:sz w:val="20"/>
                <w:szCs w:val="20"/>
                <w:lang w:eastAsia="hr-HR"/>
              </w:rPr>
            </w:pPr>
            <w:r>
              <w:rPr>
                <w:rFonts w:cstheme="minorHAnsi" w:eastAsia="Times New Roman"/>
                <w:b/>
                <w:bCs/>
                <w:color w:val="000000"/>
                <w:sz w:val="20"/>
                <w:szCs w:val="20"/>
                <w:lang w:eastAsia="hr-HR"/>
              </w:rPr>
              <w:t>Naziv suda ili drugog tijela</w:t>
            </w:r>
          </w:p>
        </w:tc>
        <w:tc>
          <w:tcPr>
            <w:tcW w:type="dxa" w:w="2839"/>
            <w:tcBorders>
              <w:top w:space="0" w:sz="4" w:color="000000" w:val="single"/>
              <w:left w:space="0" w:sz="4" w:color="000000" w:val="single"/>
              <w:bottom w:space="0" w:sz="4" w:color="000000" w:val="single"/>
              <w:right w:space="0" w:sz="4" w:color="000000" w:val="single"/>
            </w:tcBorders>
            <w:shd w:fill="33CCCC" w:color="auto" w:val="clear"/>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b/>
                <w:bCs/>
                <w:color w:val="000000"/>
                <w:sz w:val="20"/>
                <w:szCs w:val="20"/>
                <w:lang w:eastAsia="hr-HR"/>
              </w:rPr>
            </w:pPr>
            <w:r>
              <w:rPr>
                <w:rFonts w:cstheme="minorHAnsi" w:eastAsia="Times New Roman"/>
                <w:b/>
                <w:bCs/>
                <w:color w:val="000000"/>
                <w:sz w:val="20"/>
                <w:szCs w:val="20"/>
                <w:lang w:eastAsia="hr-HR"/>
              </w:rPr>
              <w:t>Vrsta postupka</w:t>
            </w:r>
          </w:p>
          <w:p w:rsidRDefault="001E3364" w:rsidR="001E3364">
            <w:pPr>
              <w:spacing w:lineRule="auto" w:line="240" w:after="0"/>
              <w:jc w:val="center"/>
              <w:rPr>
                <w:rFonts w:cstheme="minorHAnsi" w:eastAsia="Times New Roman"/>
                <w:b/>
                <w:bCs/>
                <w:color w:val="000000"/>
                <w:sz w:val="20"/>
                <w:szCs w:val="20"/>
                <w:lang w:eastAsia="hr-HR"/>
              </w:rPr>
            </w:pPr>
            <w:r>
              <w:rPr>
                <w:rFonts w:cstheme="minorHAnsi" w:eastAsia="Times New Roman"/>
                <w:bCs/>
                <w:color w:val="000000"/>
                <w:sz w:val="20"/>
                <w:szCs w:val="20"/>
                <w:lang w:eastAsia="hr-HR"/>
              </w:rPr>
              <w:t>(parnični, izvanparnični, ovršni, prekršajni, kazneni, upravni, stečajni i dr.)</w:t>
            </w:r>
          </w:p>
        </w:tc>
        <w:tc>
          <w:tcPr>
            <w:tcW w:type="dxa" w:w="1857"/>
            <w:tcBorders>
              <w:top w:space="0" w:sz="4" w:color="000000" w:val="single"/>
              <w:left w:space="0" w:sz="4" w:color="000000" w:val="single"/>
              <w:bottom w:space="0" w:sz="4" w:color="000000" w:val="single"/>
              <w:right w:space="0" w:sz="4" w:color="000000" w:val="single"/>
            </w:tcBorders>
            <w:shd w:fill="33CCCC" w:color="auto" w:val="clear"/>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b/>
                <w:bCs/>
                <w:color w:val="000000"/>
                <w:sz w:val="20"/>
                <w:szCs w:val="20"/>
                <w:lang w:eastAsia="hr-HR"/>
              </w:rPr>
            </w:pPr>
            <w:r>
              <w:rPr>
                <w:rFonts w:cstheme="minorHAnsi" w:eastAsia="Times New Roman"/>
                <w:b/>
                <w:bCs/>
                <w:color w:val="000000"/>
                <w:sz w:val="20"/>
                <w:szCs w:val="20"/>
                <w:lang w:eastAsia="hr-HR"/>
              </w:rPr>
              <w:t>Poslovni broj / Klasa</w:t>
            </w:r>
          </w:p>
        </w:tc>
        <w:tc>
          <w:tcPr>
            <w:tcW w:type="dxa" w:w="1884"/>
            <w:tcBorders>
              <w:top w:space="0" w:sz="4" w:color="000000" w:val="single"/>
              <w:left w:space="0" w:sz="4" w:color="000000" w:val="single"/>
              <w:bottom w:space="0" w:sz="4" w:color="000000" w:val="single"/>
              <w:right w:space="0" w:sz="4" w:color="000000" w:val="single"/>
            </w:tcBorders>
            <w:shd w:fill="33CCCC" w:color="auto" w:val="clear"/>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b/>
                <w:bCs/>
                <w:color w:val="000000"/>
                <w:sz w:val="20"/>
                <w:szCs w:val="20"/>
                <w:lang w:eastAsia="hr-HR"/>
              </w:rPr>
            </w:pPr>
            <w:r>
              <w:rPr>
                <w:rFonts w:cstheme="minorHAnsi" w:eastAsia="Times New Roman"/>
                <w:b/>
                <w:bCs/>
                <w:color w:val="000000"/>
                <w:sz w:val="20"/>
                <w:szCs w:val="20"/>
                <w:lang w:eastAsia="hr-HR"/>
              </w:rPr>
              <w:t>Predmet postupka</w:t>
            </w:r>
          </w:p>
        </w:tc>
        <w:tc>
          <w:tcPr>
            <w:tcW w:type="dxa" w:w="2558"/>
            <w:tcBorders>
              <w:top w:space="0" w:sz="4" w:color="000000" w:val="single"/>
              <w:left w:space="0" w:sz="4" w:color="000000" w:val="single"/>
              <w:bottom w:space="0" w:sz="4" w:color="000000" w:val="single"/>
              <w:right w:space="0" w:sz="4" w:color="000000" w:val="single"/>
            </w:tcBorders>
            <w:shd w:fill="33CCCC" w:color="auto" w:val="clear"/>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b/>
                <w:bCs/>
                <w:color w:val="000000"/>
                <w:sz w:val="20"/>
                <w:szCs w:val="20"/>
                <w:lang w:eastAsia="hr-HR"/>
              </w:rPr>
            </w:pPr>
            <w:r>
              <w:rPr>
                <w:rFonts w:cstheme="minorHAnsi" w:eastAsia="Times New Roman"/>
                <w:b/>
                <w:bCs/>
                <w:color w:val="000000"/>
                <w:sz w:val="20"/>
                <w:szCs w:val="20"/>
                <w:lang w:eastAsia="hr-HR"/>
              </w:rPr>
              <w:t>Podaci o drugoj stranci</w:t>
            </w:r>
          </w:p>
          <w:p w:rsidRDefault="001E3364" w:rsidR="001E3364">
            <w:pPr>
              <w:spacing w:lineRule="auto" w:line="240" w:after="0"/>
              <w:jc w:val="center"/>
              <w:rPr>
                <w:rFonts w:cstheme="minorHAnsi" w:eastAsia="Times New Roman"/>
                <w:b/>
                <w:bCs/>
                <w:color w:val="000000"/>
                <w:sz w:val="20"/>
                <w:szCs w:val="20"/>
                <w:lang w:eastAsia="hr-HR"/>
              </w:rPr>
            </w:pPr>
            <w:r>
              <w:rPr>
                <w:rFonts w:cstheme="minorHAnsi" w:eastAsia="Times New Roman"/>
                <w:bCs/>
                <w:color w:val="000000"/>
                <w:sz w:val="20"/>
                <w:szCs w:val="20"/>
                <w:lang w:eastAsia="hr-HR"/>
              </w:rPr>
              <w:t>(naziv / ime i prezime, adresa i OIB)</w:t>
            </w:r>
          </w:p>
        </w:tc>
        <w:tc>
          <w:tcPr>
            <w:tcW w:type="dxa" w:w="2333"/>
            <w:tcBorders>
              <w:top w:space="0" w:sz="4" w:color="000000" w:val="single"/>
              <w:left w:space="0" w:sz="4" w:color="000000" w:val="single"/>
              <w:bottom w:space="0" w:sz="4" w:color="000000" w:val="single"/>
              <w:right w:space="0" w:sz="4" w:color="000000" w:val="single"/>
            </w:tcBorders>
            <w:shd w:fill="33CCCC" w:color="auto" w:val="clear"/>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b/>
                <w:bCs/>
                <w:color w:val="000000"/>
                <w:sz w:val="20"/>
                <w:szCs w:val="20"/>
                <w:lang w:eastAsia="hr-HR"/>
              </w:rPr>
            </w:pPr>
            <w:r>
              <w:rPr>
                <w:rFonts w:cstheme="minorHAnsi" w:eastAsia="Times New Roman"/>
                <w:b/>
                <w:bCs/>
                <w:color w:val="000000"/>
                <w:sz w:val="20"/>
                <w:szCs w:val="20"/>
                <w:lang w:eastAsia="hr-HR"/>
              </w:rPr>
              <w:t xml:space="preserve">Pravna pozicija dužnika </w:t>
            </w:r>
          </w:p>
          <w:p w:rsidRDefault="001E3364" w:rsidR="001E3364">
            <w:pPr>
              <w:spacing w:lineRule="auto" w:line="240" w:after="0"/>
              <w:jc w:val="center"/>
              <w:rPr>
                <w:rFonts w:cstheme="minorHAnsi" w:eastAsia="Times New Roman"/>
                <w:bCs/>
                <w:color w:val="000000"/>
                <w:sz w:val="20"/>
                <w:szCs w:val="20"/>
                <w:lang w:eastAsia="hr-HR"/>
              </w:rPr>
            </w:pPr>
            <w:r>
              <w:rPr>
                <w:rFonts w:cstheme="minorHAnsi" w:eastAsia="Times New Roman"/>
                <w:bCs/>
                <w:color w:val="000000"/>
                <w:sz w:val="20"/>
                <w:szCs w:val="20"/>
                <w:lang w:eastAsia="hr-HR"/>
              </w:rPr>
              <w:t>(tužitelj, tuženik, predlagatelj, okrivljenik, ovrhovoditelj, ovršenik i dr)</w:t>
            </w:r>
          </w:p>
        </w:tc>
        <w:tc>
          <w:tcPr>
            <w:tcW w:type="dxa" w:w="1550"/>
            <w:tcBorders>
              <w:top w:space="0" w:sz="4" w:color="000000" w:val="single"/>
              <w:left w:space="0" w:sz="4" w:color="000000" w:val="single"/>
              <w:bottom w:space="0" w:sz="4" w:color="000000" w:val="single"/>
              <w:right w:space="0" w:sz="4" w:color="000000" w:val="single"/>
            </w:tcBorders>
            <w:shd w:fill="33CCCC" w:color="auto" w:val="clear"/>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b/>
                <w:bCs/>
                <w:color w:val="000000"/>
                <w:sz w:val="20"/>
                <w:szCs w:val="20"/>
                <w:lang w:eastAsia="hr-HR"/>
              </w:rPr>
            </w:pPr>
            <w:r>
              <w:rPr>
                <w:rFonts w:cstheme="minorHAnsi" w:eastAsia="Times New Roman"/>
                <w:b/>
                <w:bCs/>
                <w:color w:val="000000"/>
                <w:sz w:val="20"/>
                <w:szCs w:val="20"/>
                <w:lang w:eastAsia="hr-HR"/>
              </w:rPr>
              <w:t>Vrijednost predmeta spora / iznos kazne</w:t>
            </w:r>
          </w:p>
        </w:tc>
      </w:tr>
      <w:tr w:rsidTr="001E3364" w:rsidR="001E3364">
        <w:trPr>
          <w:trHeight w:val="1270"/>
          <w:jc w:val="center"/>
        </w:trPr>
        <w:tc>
          <w:tcPr>
            <w:tcW w:type="dxa" w:w="632"/>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color w:val="000000"/>
                <w:sz w:val="20"/>
                <w:szCs w:val="20"/>
                <w:lang w:eastAsia="hr-HR"/>
              </w:rPr>
            </w:pPr>
            <w:r>
              <w:rPr>
                <w:rFonts w:cstheme="minorHAnsi" w:eastAsia="Times New Roman"/>
                <w:color w:val="000000"/>
                <w:sz w:val="20"/>
                <w:szCs w:val="20"/>
                <w:lang w:eastAsia="hr-HR"/>
              </w:rPr>
              <w:t>1.</w:t>
            </w:r>
          </w:p>
        </w:tc>
        <w:tc>
          <w:tcPr>
            <w:tcW w:type="dxa" w:w="2644"/>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color w:val="000000"/>
                <w:sz w:val="20"/>
                <w:szCs w:val="20"/>
                <w:lang w:eastAsia="hr-HR"/>
              </w:rPr>
            </w:pPr>
            <w:r>
              <w:rPr>
                <w:rFonts w:cstheme="minorHAnsi" w:eastAsia="Times New Roman"/>
                <w:color w:val="000000"/>
                <w:sz w:val="20"/>
                <w:szCs w:val="20"/>
                <w:lang w:eastAsia="hr-HR"/>
              </w:rPr>
              <w:t>Općinski sud u Osijeku</w:t>
            </w:r>
          </w:p>
        </w:tc>
        <w:tc>
          <w:tcPr>
            <w:tcW w:type="dxa" w:w="2839"/>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color w:val="000000"/>
                <w:sz w:val="20"/>
                <w:szCs w:val="20"/>
                <w:lang w:eastAsia="hr-HR"/>
              </w:rPr>
            </w:pPr>
            <w:r>
              <w:rPr>
                <w:rFonts w:cstheme="minorHAnsi" w:eastAsia="Times New Roman"/>
                <w:color w:val="000000"/>
                <w:sz w:val="20"/>
                <w:szCs w:val="20"/>
                <w:lang w:eastAsia="hr-HR"/>
              </w:rPr>
              <w:t>Parnični postupak</w:t>
            </w:r>
          </w:p>
        </w:tc>
        <w:tc>
          <w:tcPr>
            <w:tcW w:type="dxa" w:w="1857"/>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color w:val="000000"/>
                <w:sz w:val="20"/>
                <w:szCs w:val="20"/>
                <w:lang w:eastAsia="hr-HR"/>
              </w:rPr>
            </w:pPr>
            <w:r>
              <w:rPr>
                <w:rFonts w:cstheme="minorHAnsi" w:eastAsia="Times New Roman"/>
                <w:color w:val="000000"/>
                <w:sz w:val="20"/>
                <w:szCs w:val="20"/>
                <w:lang w:eastAsia="hr-HR"/>
              </w:rPr>
              <w:t>Pr-461/2017</w:t>
            </w:r>
          </w:p>
        </w:tc>
        <w:tc>
          <w:tcPr>
            <w:tcW w:type="dxa" w:w="1884"/>
            <w:tcBorders>
              <w:top w:space="0" w:sz="4" w:color="000000" w:val="single"/>
              <w:left w:space="0" w:sz="4" w:color="000000" w:val="single"/>
              <w:bottom w:val="nil"/>
              <w:right w:space="0" w:sz="4" w:color="000000" w:val="single"/>
            </w:tcBorders>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color w:val="000000"/>
                <w:sz w:val="20"/>
                <w:szCs w:val="20"/>
                <w:lang w:eastAsia="hr-HR"/>
              </w:rPr>
            </w:pPr>
            <w:r>
              <w:rPr>
                <w:rFonts w:cstheme="minorHAnsi" w:eastAsia="Times New Roman"/>
                <w:color w:val="000000"/>
                <w:sz w:val="20"/>
                <w:szCs w:val="20"/>
                <w:lang w:eastAsia="hr-HR"/>
              </w:rPr>
              <w:t>Radi isplate</w:t>
            </w:r>
          </w:p>
        </w:tc>
        <w:tc>
          <w:tcPr>
            <w:tcW w:type="dxa" w:w="2558"/>
            <w:tcBorders>
              <w:top w:space="0" w:sz="4" w:color="000000" w:val="single"/>
              <w:left w:space="0" w:sz="4" w:color="000000" w:val="single"/>
              <w:bottom w:val="nil"/>
              <w:right w:space="0" w:sz="4" w:color="000000" w:val="single"/>
            </w:tcBorders>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color w:val="000000"/>
                <w:sz w:val="20"/>
                <w:szCs w:val="20"/>
                <w:lang w:eastAsia="hr-HR"/>
              </w:rPr>
            </w:pPr>
            <w:r>
              <w:rPr>
                <w:rFonts w:cstheme="minorHAnsi" w:eastAsia="Times New Roman"/>
                <w:color w:val="000000"/>
                <w:sz w:val="20"/>
                <w:szCs w:val="20"/>
                <w:lang w:eastAsia="hr-HR"/>
              </w:rPr>
              <w:t>Hrvoje Sudar, Belišće, Vijenac S.H. Guttmana 2b, OIB: 43961521761</w:t>
            </w:r>
          </w:p>
        </w:tc>
        <w:tc>
          <w:tcPr>
            <w:tcW w:type="dxa" w:w="2333"/>
            <w:tcBorders>
              <w:top w:space="0" w:sz="4" w:color="000000" w:val="single"/>
              <w:left w:space="0" w:sz="4" w:color="000000" w:val="single"/>
              <w:bottom w:val="nil"/>
              <w:right w:space="0" w:sz="4" w:color="000000" w:val="single"/>
            </w:tcBorders>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color w:val="000000"/>
                <w:sz w:val="20"/>
                <w:szCs w:val="20"/>
                <w:lang w:eastAsia="hr-HR"/>
              </w:rPr>
            </w:pPr>
            <w:r>
              <w:rPr>
                <w:rFonts w:cstheme="minorHAnsi" w:eastAsia="Times New Roman"/>
                <w:color w:val="000000"/>
                <w:sz w:val="20"/>
                <w:szCs w:val="20"/>
                <w:lang w:eastAsia="hr-HR"/>
              </w:rPr>
              <w:t>Tuženik</w:t>
            </w:r>
          </w:p>
        </w:tc>
        <w:tc>
          <w:tcPr>
            <w:tcW w:type="dxa" w:w="1550"/>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color w:val="000000"/>
                <w:sz w:val="20"/>
                <w:szCs w:val="20"/>
                <w:lang w:eastAsia="hr-HR"/>
              </w:rPr>
            </w:pPr>
            <w:r>
              <w:rPr>
                <w:rFonts w:cstheme="minorHAnsi" w:eastAsia="Times New Roman"/>
                <w:color w:val="000000"/>
                <w:sz w:val="20"/>
                <w:szCs w:val="20"/>
                <w:lang w:eastAsia="hr-HR"/>
              </w:rPr>
              <w:t>18.985,25 kn</w:t>
            </w:r>
          </w:p>
        </w:tc>
      </w:tr>
      <w:tr w:rsidTr="001E3364" w:rsidR="001E3364">
        <w:trPr>
          <w:trHeight w:val="1270"/>
          <w:jc w:val="center"/>
        </w:trPr>
        <w:tc>
          <w:tcPr>
            <w:tcW w:type="dxa" w:w="632"/>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color w:val="000000"/>
                <w:sz w:val="20"/>
                <w:szCs w:val="20"/>
                <w:lang w:eastAsia="hr-HR"/>
              </w:rPr>
            </w:pPr>
            <w:r>
              <w:rPr>
                <w:rFonts w:cstheme="minorHAnsi" w:eastAsia="Times New Roman"/>
                <w:color w:val="000000"/>
                <w:sz w:val="20"/>
                <w:szCs w:val="20"/>
                <w:lang w:eastAsia="hr-HR"/>
              </w:rPr>
              <w:t>2.</w:t>
            </w:r>
          </w:p>
        </w:tc>
        <w:tc>
          <w:tcPr>
            <w:tcW w:type="dxa" w:w="2644"/>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color w:val="000000"/>
                <w:sz w:val="20"/>
                <w:szCs w:val="20"/>
                <w:lang w:eastAsia="hr-HR"/>
              </w:rPr>
            </w:pPr>
            <w:r>
              <w:rPr>
                <w:rFonts w:cstheme="minorHAnsi" w:eastAsia="Times New Roman"/>
                <w:color w:val="000000"/>
                <w:sz w:val="20"/>
                <w:szCs w:val="20"/>
                <w:lang w:eastAsia="hr-HR"/>
              </w:rPr>
              <w:t>Općinski sud u Osijeku, Stalna služba u Valpovu</w:t>
            </w:r>
          </w:p>
        </w:tc>
        <w:tc>
          <w:tcPr>
            <w:tcW w:type="dxa" w:w="2839"/>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color w:val="000000"/>
                <w:sz w:val="20"/>
                <w:szCs w:val="20"/>
                <w:lang w:eastAsia="hr-HR"/>
              </w:rPr>
            </w:pPr>
            <w:r>
              <w:rPr>
                <w:rFonts w:cstheme="minorHAnsi" w:eastAsia="Times New Roman"/>
                <w:color w:val="000000"/>
                <w:sz w:val="20"/>
                <w:szCs w:val="20"/>
                <w:lang w:eastAsia="hr-HR"/>
              </w:rPr>
              <w:t>Parnični postupak</w:t>
            </w:r>
          </w:p>
        </w:tc>
        <w:tc>
          <w:tcPr>
            <w:tcW w:type="dxa" w:w="1857"/>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color w:val="000000"/>
                <w:sz w:val="20"/>
                <w:szCs w:val="20"/>
                <w:lang w:eastAsia="hr-HR"/>
              </w:rPr>
            </w:pPr>
            <w:r>
              <w:rPr>
                <w:rFonts w:cstheme="minorHAnsi" w:eastAsia="Times New Roman"/>
                <w:color w:val="000000"/>
                <w:sz w:val="20"/>
                <w:szCs w:val="20"/>
                <w:lang w:eastAsia="hr-HR"/>
              </w:rPr>
              <w:t>Pn-146/2017</w:t>
            </w:r>
          </w:p>
        </w:tc>
        <w:tc>
          <w:tcPr>
            <w:tcW w:type="dxa" w:w="1884"/>
            <w:tcBorders>
              <w:top w:space="0" w:sz="4" w:color="000000" w:val="single"/>
              <w:left w:space="0" w:sz="4" w:color="000000" w:val="single"/>
              <w:bottom w:val="nil"/>
              <w:right w:space="0" w:sz="4" w:color="000000" w:val="single"/>
            </w:tcBorders>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color w:val="000000"/>
                <w:sz w:val="20"/>
                <w:szCs w:val="20"/>
                <w:lang w:eastAsia="hr-HR"/>
              </w:rPr>
            </w:pPr>
            <w:r>
              <w:rPr>
                <w:rFonts w:cstheme="minorHAnsi" w:eastAsia="Times New Roman"/>
                <w:color w:val="000000"/>
                <w:sz w:val="20"/>
                <w:szCs w:val="20"/>
                <w:lang w:eastAsia="hr-HR"/>
              </w:rPr>
              <w:t>Radi isplate</w:t>
            </w:r>
          </w:p>
        </w:tc>
        <w:tc>
          <w:tcPr>
            <w:tcW w:type="dxa" w:w="2558"/>
            <w:tcBorders>
              <w:top w:space="0" w:sz="4" w:color="000000" w:val="single"/>
              <w:left w:space="0" w:sz="4" w:color="000000" w:val="single"/>
              <w:bottom w:val="nil"/>
              <w:right w:space="0" w:sz="4" w:color="000000" w:val="single"/>
            </w:tcBorders>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color w:val="000000"/>
                <w:sz w:val="20"/>
                <w:szCs w:val="20"/>
                <w:lang w:eastAsia="hr-HR"/>
              </w:rPr>
            </w:pPr>
            <w:r>
              <w:rPr>
                <w:rFonts w:cstheme="minorHAnsi" w:eastAsia="Times New Roman"/>
                <w:color w:val="000000"/>
                <w:sz w:val="20"/>
                <w:szCs w:val="20"/>
                <w:lang w:eastAsia="hr-HR"/>
              </w:rPr>
              <w:t>Stjepan Zetović, Belišće, Vijenac S.H.Gutmanna 25a, OIB: 06603924644</w:t>
            </w:r>
          </w:p>
        </w:tc>
        <w:tc>
          <w:tcPr>
            <w:tcW w:type="dxa" w:w="2333"/>
            <w:tcBorders>
              <w:top w:space="0" w:sz="4" w:color="000000" w:val="single"/>
              <w:left w:space="0" w:sz="4" w:color="000000" w:val="single"/>
              <w:bottom w:val="nil"/>
              <w:right w:space="0" w:sz="4" w:color="000000" w:val="single"/>
            </w:tcBorders>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color w:val="000000"/>
                <w:sz w:val="20"/>
                <w:szCs w:val="20"/>
                <w:lang w:eastAsia="hr-HR"/>
              </w:rPr>
            </w:pPr>
            <w:r>
              <w:rPr>
                <w:rFonts w:cstheme="minorHAnsi" w:eastAsia="Times New Roman"/>
                <w:color w:val="000000"/>
                <w:sz w:val="20"/>
                <w:szCs w:val="20"/>
                <w:lang w:eastAsia="hr-HR"/>
              </w:rPr>
              <w:t>Tuženik</w:t>
            </w:r>
          </w:p>
        </w:tc>
        <w:tc>
          <w:tcPr>
            <w:tcW w:type="dxa" w:w="1550"/>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color w:val="000000"/>
                <w:sz w:val="20"/>
                <w:szCs w:val="20"/>
                <w:lang w:eastAsia="hr-HR"/>
              </w:rPr>
            </w:pPr>
            <w:r>
              <w:rPr>
                <w:rFonts w:cstheme="minorHAnsi" w:eastAsia="Times New Roman"/>
                <w:color w:val="000000"/>
                <w:sz w:val="20"/>
                <w:szCs w:val="20"/>
                <w:lang w:eastAsia="hr-HR"/>
              </w:rPr>
              <w:t>4.800,00 kn</w:t>
            </w:r>
          </w:p>
        </w:tc>
      </w:tr>
      <w:tr w:rsidTr="001E3364" w:rsidR="001E3364">
        <w:trPr>
          <w:trHeight w:val="678"/>
          <w:jc w:val="center"/>
        </w:trPr>
        <w:tc>
          <w:tcPr>
            <w:tcW w:type="dxa" w:w="632"/>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color w:val="000000"/>
                <w:sz w:val="20"/>
                <w:szCs w:val="20"/>
                <w:lang w:eastAsia="hr-HR"/>
              </w:rPr>
            </w:pPr>
            <w:r>
              <w:rPr>
                <w:rFonts w:cstheme="minorHAnsi" w:eastAsia="Times New Roman"/>
                <w:color w:val="000000"/>
                <w:sz w:val="20"/>
                <w:szCs w:val="20"/>
                <w:lang w:eastAsia="hr-HR"/>
              </w:rPr>
              <w:t>3.</w:t>
            </w:r>
          </w:p>
        </w:tc>
        <w:tc>
          <w:tcPr>
            <w:tcW w:type="dxa" w:w="2644"/>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color w:val="000000"/>
                <w:sz w:val="20"/>
                <w:szCs w:val="20"/>
                <w:lang w:eastAsia="hr-HR"/>
              </w:rPr>
            </w:pPr>
            <w:r>
              <w:rPr>
                <w:rFonts w:cstheme="minorHAnsi" w:eastAsia="Times New Roman"/>
                <w:color w:val="000000"/>
                <w:sz w:val="20"/>
                <w:szCs w:val="20"/>
                <w:lang w:eastAsia="hr-HR"/>
              </w:rPr>
              <w:t>Općinski sud u Osijeku</w:t>
            </w:r>
          </w:p>
        </w:tc>
        <w:tc>
          <w:tcPr>
            <w:tcW w:type="dxa" w:w="2839"/>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color w:val="000000"/>
                <w:sz w:val="20"/>
                <w:szCs w:val="20"/>
                <w:lang w:eastAsia="hr-HR"/>
              </w:rPr>
            </w:pPr>
            <w:r>
              <w:rPr>
                <w:rFonts w:cstheme="minorHAnsi" w:eastAsia="Times New Roman"/>
                <w:color w:val="000000"/>
                <w:sz w:val="20"/>
                <w:szCs w:val="20"/>
                <w:lang w:eastAsia="hr-HR"/>
              </w:rPr>
              <w:t>Parnični postupak</w:t>
            </w:r>
          </w:p>
        </w:tc>
        <w:tc>
          <w:tcPr>
            <w:tcW w:type="dxa" w:w="1857"/>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color w:val="000000"/>
                <w:sz w:val="20"/>
                <w:szCs w:val="20"/>
                <w:lang w:eastAsia="hr-HR"/>
              </w:rPr>
            </w:pPr>
            <w:r>
              <w:rPr>
                <w:rFonts w:cstheme="minorHAnsi" w:eastAsia="Times New Roman"/>
                <w:color w:val="000000"/>
                <w:sz w:val="20"/>
                <w:szCs w:val="20"/>
                <w:lang w:eastAsia="hr-HR"/>
              </w:rPr>
              <w:t>Pr-525/2015</w:t>
            </w:r>
          </w:p>
        </w:tc>
        <w:tc>
          <w:tcPr>
            <w:tcW w:type="dxa" w:w="1884"/>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color w:val="000000"/>
                <w:sz w:val="20"/>
                <w:szCs w:val="20"/>
                <w:lang w:eastAsia="hr-HR"/>
              </w:rPr>
            </w:pPr>
            <w:r>
              <w:rPr>
                <w:rFonts w:cstheme="minorHAnsi" w:eastAsia="Times New Roman"/>
                <w:color w:val="000000"/>
                <w:sz w:val="20"/>
                <w:szCs w:val="20"/>
                <w:lang w:eastAsia="hr-HR"/>
              </w:rPr>
              <w:t>Radi isplate</w:t>
            </w:r>
          </w:p>
        </w:tc>
        <w:tc>
          <w:tcPr>
            <w:tcW w:type="dxa" w:w="2558"/>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color w:val="000000"/>
                <w:sz w:val="20"/>
                <w:szCs w:val="20"/>
                <w:lang w:eastAsia="hr-HR"/>
              </w:rPr>
            </w:pPr>
            <w:r>
              <w:rPr>
                <w:rFonts w:cstheme="minorHAnsi" w:eastAsia="Times New Roman"/>
                <w:color w:val="000000"/>
                <w:sz w:val="20"/>
                <w:szCs w:val="20"/>
                <w:lang w:eastAsia="hr-HR"/>
              </w:rPr>
              <w:t>Hrvoje Sudar, Belišće, Vijenac S.H. Guttmana 2b, OIB: 43961521761</w:t>
            </w:r>
          </w:p>
        </w:tc>
        <w:tc>
          <w:tcPr>
            <w:tcW w:type="dxa" w:w="2333"/>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color w:val="000000"/>
                <w:sz w:val="20"/>
                <w:szCs w:val="20"/>
                <w:lang w:eastAsia="hr-HR"/>
              </w:rPr>
            </w:pPr>
            <w:r>
              <w:rPr>
                <w:rFonts w:cstheme="minorHAnsi" w:eastAsia="Times New Roman"/>
                <w:color w:val="000000"/>
                <w:sz w:val="20"/>
                <w:szCs w:val="20"/>
                <w:lang w:eastAsia="hr-HR"/>
              </w:rPr>
              <w:t>Tuženik</w:t>
            </w:r>
          </w:p>
        </w:tc>
        <w:tc>
          <w:tcPr>
            <w:tcW w:type="dxa" w:w="1550"/>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color w:val="000000"/>
                <w:sz w:val="20"/>
                <w:szCs w:val="20"/>
                <w:lang w:eastAsia="hr-HR"/>
              </w:rPr>
            </w:pPr>
            <w:r>
              <w:rPr>
                <w:rFonts w:cstheme="minorHAnsi" w:eastAsia="Times New Roman"/>
                <w:color w:val="000000"/>
                <w:sz w:val="20"/>
                <w:szCs w:val="20"/>
                <w:lang w:eastAsia="hr-HR"/>
              </w:rPr>
              <w:t>11.034,62 kn i parnični trošak 17.187,50 kn</w:t>
            </w:r>
          </w:p>
        </w:tc>
      </w:tr>
      <w:tr w:rsidTr="001E3364" w:rsidR="001E3364">
        <w:trPr>
          <w:trHeight w:val="647"/>
          <w:jc w:val="center"/>
        </w:trPr>
        <w:tc>
          <w:tcPr>
            <w:tcW w:type="dxa" w:w="632"/>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color w:val="000000"/>
                <w:sz w:val="20"/>
                <w:szCs w:val="20"/>
                <w:lang w:eastAsia="hr-HR"/>
              </w:rPr>
            </w:pPr>
            <w:r>
              <w:rPr>
                <w:rFonts w:cstheme="minorHAnsi" w:eastAsia="Times New Roman"/>
                <w:color w:val="000000"/>
                <w:sz w:val="20"/>
                <w:szCs w:val="20"/>
                <w:lang w:eastAsia="hr-HR"/>
              </w:rPr>
              <w:t>4.</w:t>
            </w:r>
          </w:p>
        </w:tc>
        <w:tc>
          <w:tcPr>
            <w:tcW w:type="dxa" w:w="2644"/>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color w:val="000000"/>
                <w:sz w:val="20"/>
                <w:szCs w:val="20"/>
                <w:lang w:eastAsia="hr-HR"/>
              </w:rPr>
            </w:pPr>
            <w:r>
              <w:rPr>
                <w:rFonts w:cstheme="minorHAnsi" w:eastAsia="Times New Roman"/>
                <w:color w:val="000000"/>
                <w:sz w:val="20"/>
                <w:szCs w:val="20"/>
                <w:lang w:eastAsia="hr-HR"/>
              </w:rPr>
              <w:t>Trgovački sud Zagreb</w:t>
            </w:r>
          </w:p>
        </w:tc>
        <w:tc>
          <w:tcPr>
            <w:tcW w:type="dxa" w:w="2839"/>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color w:val="000000"/>
                <w:sz w:val="20"/>
                <w:szCs w:val="20"/>
                <w:lang w:eastAsia="hr-HR"/>
              </w:rPr>
            </w:pPr>
            <w:r>
              <w:rPr>
                <w:rFonts w:cstheme="minorHAnsi" w:eastAsia="Times New Roman"/>
                <w:color w:val="000000"/>
                <w:sz w:val="20"/>
                <w:szCs w:val="20"/>
                <w:lang w:eastAsia="hr-HR"/>
              </w:rPr>
              <w:t>Postupak osiguranja, ovršni</w:t>
            </w:r>
          </w:p>
        </w:tc>
        <w:tc>
          <w:tcPr>
            <w:tcW w:type="dxa" w:w="1857"/>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color w:val="000000"/>
                <w:sz w:val="20"/>
                <w:szCs w:val="20"/>
                <w:lang w:eastAsia="hr-HR"/>
              </w:rPr>
            </w:pPr>
            <w:r>
              <w:rPr>
                <w:rFonts w:cstheme="minorHAnsi" w:eastAsia="Times New Roman"/>
                <w:color w:val="000000"/>
                <w:sz w:val="20"/>
                <w:szCs w:val="20"/>
                <w:lang w:eastAsia="hr-HR"/>
              </w:rPr>
              <w:t>R1-176/2018</w:t>
            </w:r>
          </w:p>
        </w:tc>
        <w:tc>
          <w:tcPr>
            <w:tcW w:type="dxa" w:w="1884"/>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color w:val="000000"/>
                <w:sz w:val="20"/>
                <w:szCs w:val="20"/>
                <w:lang w:eastAsia="hr-HR"/>
              </w:rPr>
            </w:pPr>
            <w:r>
              <w:rPr>
                <w:rFonts w:cstheme="minorHAnsi" w:eastAsia="Times New Roman"/>
                <w:color w:val="000000"/>
                <w:sz w:val="20"/>
                <w:szCs w:val="20"/>
                <w:lang w:eastAsia="hr-HR"/>
              </w:rPr>
              <w:t>Radi zabrane naplate po zadužnici</w:t>
            </w:r>
          </w:p>
        </w:tc>
        <w:tc>
          <w:tcPr>
            <w:tcW w:type="dxa" w:w="2558"/>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color w:val="000000"/>
                <w:sz w:val="20"/>
                <w:szCs w:val="20"/>
                <w:lang w:eastAsia="hr-HR"/>
              </w:rPr>
            </w:pPr>
            <w:r>
              <w:rPr>
                <w:rFonts w:cstheme="minorHAnsi" w:eastAsia="Times New Roman"/>
                <w:color w:val="000000"/>
                <w:sz w:val="20"/>
                <w:szCs w:val="20"/>
                <w:lang w:eastAsia="hr-HR"/>
              </w:rPr>
              <w:t>Martin Omrčen, vl. Obrta Grafopak, OIB: 63144984624, Split, Sarajevska 23</w:t>
            </w:r>
          </w:p>
        </w:tc>
        <w:tc>
          <w:tcPr>
            <w:tcW w:type="dxa" w:w="2333"/>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color w:val="000000"/>
                <w:sz w:val="20"/>
                <w:szCs w:val="20"/>
                <w:lang w:eastAsia="hr-HR"/>
              </w:rPr>
            </w:pPr>
            <w:r>
              <w:rPr>
                <w:rFonts w:cstheme="minorHAnsi" w:eastAsia="Times New Roman"/>
                <w:color w:val="000000"/>
                <w:sz w:val="20"/>
                <w:szCs w:val="20"/>
                <w:lang w:eastAsia="hr-HR"/>
              </w:rPr>
              <w:t>Predlagatelj osiguranja / Tužitelj</w:t>
            </w:r>
          </w:p>
        </w:tc>
        <w:tc>
          <w:tcPr>
            <w:tcW w:type="dxa" w:w="1550"/>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color w:val="000000"/>
                <w:sz w:val="20"/>
                <w:szCs w:val="20"/>
                <w:lang w:eastAsia="hr-HR"/>
              </w:rPr>
            </w:pPr>
            <w:r>
              <w:rPr>
                <w:rFonts w:cstheme="minorHAnsi" w:eastAsia="Times New Roman"/>
                <w:color w:val="000000"/>
                <w:sz w:val="20"/>
                <w:szCs w:val="20"/>
                <w:lang w:eastAsia="hr-HR"/>
              </w:rPr>
              <w:t>1.820.155,14 kn</w:t>
            </w:r>
          </w:p>
        </w:tc>
      </w:tr>
      <w:tr w:rsidTr="001E3364" w:rsidR="001E3364">
        <w:trPr>
          <w:trHeight w:val="647"/>
          <w:jc w:val="center"/>
        </w:trPr>
        <w:tc>
          <w:tcPr>
            <w:tcW w:type="dxa" w:w="632"/>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color w:val="000000"/>
                <w:sz w:val="20"/>
                <w:szCs w:val="20"/>
                <w:lang w:eastAsia="hr-HR"/>
              </w:rPr>
            </w:pPr>
            <w:r>
              <w:rPr>
                <w:rFonts w:cstheme="minorHAnsi" w:eastAsia="Times New Roman"/>
                <w:color w:val="000000"/>
                <w:sz w:val="20"/>
                <w:szCs w:val="20"/>
                <w:lang w:eastAsia="hr-HR"/>
              </w:rPr>
              <w:t>5.</w:t>
            </w:r>
          </w:p>
        </w:tc>
        <w:tc>
          <w:tcPr>
            <w:tcW w:type="dxa" w:w="2644"/>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color w:val="000000"/>
                <w:sz w:val="20"/>
                <w:szCs w:val="20"/>
                <w:lang w:eastAsia="hr-HR"/>
              </w:rPr>
            </w:pPr>
            <w:r>
              <w:rPr>
                <w:rFonts w:cstheme="minorHAnsi" w:eastAsia="Times New Roman"/>
                <w:color w:val="000000"/>
                <w:sz w:val="20"/>
                <w:szCs w:val="20"/>
                <w:lang w:eastAsia="hr-HR"/>
              </w:rPr>
              <w:t>Trgovački sud Zagreb</w:t>
            </w:r>
          </w:p>
        </w:tc>
        <w:tc>
          <w:tcPr>
            <w:tcW w:type="dxa" w:w="2839"/>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color w:val="000000"/>
                <w:sz w:val="20"/>
                <w:szCs w:val="20"/>
                <w:lang w:eastAsia="hr-HR"/>
              </w:rPr>
            </w:pPr>
            <w:r>
              <w:rPr>
                <w:rFonts w:cstheme="minorHAnsi" w:eastAsia="Times New Roman"/>
                <w:color w:val="000000"/>
                <w:sz w:val="20"/>
                <w:szCs w:val="20"/>
                <w:lang w:eastAsia="hr-HR"/>
              </w:rPr>
              <w:t>Parnični</w:t>
            </w:r>
          </w:p>
        </w:tc>
        <w:tc>
          <w:tcPr>
            <w:tcW w:type="dxa" w:w="1857"/>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color w:val="000000"/>
                <w:sz w:val="20"/>
                <w:szCs w:val="20"/>
                <w:lang w:eastAsia="hr-HR"/>
              </w:rPr>
            </w:pPr>
            <w:r>
              <w:rPr>
                <w:rFonts w:cstheme="minorHAnsi" w:eastAsia="Times New Roman"/>
                <w:color w:val="000000"/>
                <w:sz w:val="20"/>
                <w:szCs w:val="20"/>
                <w:lang w:eastAsia="hr-HR"/>
              </w:rPr>
              <w:t>Povrv-3947/2017</w:t>
            </w:r>
          </w:p>
        </w:tc>
        <w:tc>
          <w:tcPr>
            <w:tcW w:type="dxa" w:w="1884"/>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color w:val="000000"/>
                <w:sz w:val="20"/>
                <w:szCs w:val="20"/>
                <w:lang w:eastAsia="hr-HR"/>
              </w:rPr>
            </w:pPr>
            <w:r>
              <w:rPr>
                <w:rFonts w:cstheme="minorHAnsi" w:eastAsia="Times New Roman"/>
                <w:color w:val="000000"/>
                <w:sz w:val="20"/>
                <w:szCs w:val="20"/>
                <w:lang w:eastAsia="hr-HR"/>
              </w:rPr>
              <w:t>Radi isplate</w:t>
            </w:r>
          </w:p>
        </w:tc>
        <w:tc>
          <w:tcPr>
            <w:tcW w:type="dxa" w:w="2558"/>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color w:val="000000"/>
                <w:sz w:val="20"/>
                <w:szCs w:val="20"/>
                <w:lang w:eastAsia="hr-HR"/>
              </w:rPr>
            </w:pPr>
            <w:r>
              <w:rPr>
                <w:rFonts w:cstheme="minorHAnsi" w:eastAsia="Times New Roman"/>
                <w:color w:val="000000"/>
                <w:sz w:val="20"/>
                <w:szCs w:val="20"/>
                <w:lang w:eastAsia="hr-HR"/>
              </w:rPr>
              <w:t>Campana trans d.o.o. OIb: 30521468877, Lesične 4, Zagreb</w:t>
            </w:r>
          </w:p>
        </w:tc>
        <w:tc>
          <w:tcPr>
            <w:tcW w:type="dxa" w:w="2333"/>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color w:val="000000"/>
                <w:sz w:val="20"/>
                <w:szCs w:val="20"/>
                <w:lang w:eastAsia="hr-HR"/>
              </w:rPr>
            </w:pPr>
            <w:r>
              <w:rPr>
                <w:rFonts w:cstheme="minorHAnsi" w:eastAsia="Times New Roman"/>
                <w:color w:val="000000"/>
                <w:sz w:val="20"/>
                <w:szCs w:val="20"/>
                <w:lang w:eastAsia="hr-HR"/>
              </w:rPr>
              <w:t>Tužitelj</w:t>
            </w:r>
          </w:p>
        </w:tc>
        <w:tc>
          <w:tcPr>
            <w:tcW w:type="dxa" w:w="1550"/>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color w:val="000000"/>
                <w:sz w:val="20"/>
                <w:szCs w:val="20"/>
                <w:lang w:eastAsia="hr-HR"/>
              </w:rPr>
            </w:pPr>
            <w:r>
              <w:rPr>
                <w:rFonts w:cstheme="minorHAnsi" w:eastAsia="Times New Roman"/>
                <w:color w:val="000000"/>
                <w:sz w:val="20"/>
                <w:szCs w:val="20"/>
                <w:lang w:eastAsia="hr-HR"/>
              </w:rPr>
              <w:t>237.024,80 km</w:t>
            </w:r>
          </w:p>
        </w:tc>
      </w:tr>
      <w:tr w:rsidTr="001E3364" w:rsidR="001E3364">
        <w:trPr>
          <w:trHeight w:val="647"/>
          <w:jc w:val="center"/>
        </w:trPr>
        <w:tc>
          <w:tcPr>
            <w:tcW w:type="dxa" w:w="632"/>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color w:val="000000"/>
                <w:sz w:val="20"/>
                <w:szCs w:val="20"/>
                <w:lang w:eastAsia="hr-HR"/>
              </w:rPr>
            </w:pPr>
            <w:r>
              <w:rPr>
                <w:rFonts w:cstheme="minorHAnsi" w:eastAsia="Times New Roman"/>
                <w:color w:val="000000"/>
                <w:sz w:val="20"/>
                <w:szCs w:val="20"/>
                <w:lang w:eastAsia="hr-HR"/>
              </w:rPr>
              <w:t>6.</w:t>
            </w:r>
          </w:p>
        </w:tc>
        <w:tc>
          <w:tcPr>
            <w:tcW w:type="dxa" w:w="2644"/>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color w:val="000000"/>
                <w:sz w:val="20"/>
                <w:szCs w:val="20"/>
                <w:lang w:eastAsia="hr-HR"/>
              </w:rPr>
            </w:pPr>
            <w:r>
              <w:rPr>
                <w:rFonts w:cstheme="minorHAnsi" w:eastAsia="Times New Roman"/>
                <w:color w:val="000000"/>
                <w:sz w:val="20"/>
                <w:szCs w:val="20"/>
                <w:lang w:eastAsia="hr-HR"/>
              </w:rPr>
              <w:t>Trgovački sud Zagreb</w:t>
            </w:r>
          </w:p>
        </w:tc>
        <w:tc>
          <w:tcPr>
            <w:tcW w:type="dxa" w:w="2839"/>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color w:val="000000"/>
                <w:sz w:val="20"/>
                <w:szCs w:val="20"/>
                <w:lang w:eastAsia="hr-HR"/>
              </w:rPr>
            </w:pPr>
            <w:r>
              <w:rPr>
                <w:rFonts w:cstheme="minorHAnsi" w:eastAsia="Times New Roman"/>
                <w:color w:val="000000"/>
                <w:sz w:val="20"/>
                <w:szCs w:val="20"/>
                <w:lang w:eastAsia="hr-HR"/>
              </w:rPr>
              <w:t>Parnični</w:t>
            </w:r>
          </w:p>
        </w:tc>
        <w:tc>
          <w:tcPr>
            <w:tcW w:type="dxa" w:w="1857"/>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color w:val="000000"/>
                <w:sz w:val="20"/>
                <w:szCs w:val="20"/>
                <w:lang w:eastAsia="hr-HR"/>
              </w:rPr>
            </w:pPr>
            <w:r>
              <w:rPr>
                <w:rFonts w:cstheme="minorHAnsi" w:eastAsia="Times New Roman"/>
                <w:color w:val="000000"/>
                <w:sz w:val="20"/>
                <w:szCs w:val="20"/>
                <w:lang w:eastAsia="hr-HR"/>
              </w:rPr>
              <w:t>Povr-2366/2018</w:t>
            </w:r>
          </w:p>
        </w:tc>
        <w:tc>
          <w:tcPr>
            <w:tcW w:type="dxa" w:w="1884"/>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color w:val="000000"/>
                <w:sz w:val="20"/>
                <w:szCs w:val="20"/>
                <w:lang w:eastAsia="hr-HR"/>
              </w:rPr>
            </w:pPr>
            <w:r>
              <w:rPr>
                <w:rFonts w:cstheme="minorHAnsi" w:eastAsia="Times New Roman"/>
                <w:color w:val="000000"/>
                <w:sz w:val="20"/>
                <w:szCs w:val="20"/>
                <w:lang w:eastAsia="hr-HR"/>
              </w:rPr>
              <w:t>Radi isplate</w:t>
            </w:r>
          </w:p>
        </w:tc>
        <w:tc>
          <w:tcPr>
            <w:tcW w:type="dxa" w:w="2558"/>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color w:val="000000"/>
                <w:sz w:val="20"/>
                <w:szCs w:val="20"/>
                <w:lang w:eastAsia="hr-HR"/>
              </w:rPr>
            </w:pPr>
            <w:r>
              <w:rPr>
                <w:rFonts w:cstheme="minorHAnsi" w:eastAsia="Times New Roman"/>
                <w:color w:val="000000"/>
                <w:sz w:val="20"/>
                <w:szCs w:val="20"/>
                <w:lang w:eastAsia="hr-HR"/>
              </w:rPr>
              <w:t xml:space="preserve">HUP-Zagreb d.d., OIB: </w:t>
            </w:r>
          </w:p>
        </w:tc>
        <w:tc>
          <w:tcPr>
            <w:tcW w:type="dxa" w:w="2333"/>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color w:val="000000"/>
                <w:sz w:val="20"/>
                <w:szCs w:val="20"/>
                <w:lang w:eastAsia="hr-HR"/>
              </w:rPr>
            </w:pPr>
            <w:r>
              <w:rPr>
                <w:rFonts w:cstheme="minorHAnsi" w:eastAsia="Times New Roman"/>
                <w:color w:val="000000"/>
                <w:sz w:val="20"/>
                <w:szCs w:val="20"/>
                <w:lang w:eastAsia="hr-HR"/>
              </w:rPr>
              <w:t>Tuženik</w:t>
            </w:r>
          </w:p>
        </w:tc>
        <w:tc>
          <w:tcPr>
            <w:tcW w:type="dxa" w:w="1550"/>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color w:val="000000"/>
                <w:sz w:val="20"/>
                <w:szCs w:val="20"/>
                <w:lang w:eastAsia="hr-HR"/>
              </w:rPr>
            </w:pPr>
            <w:r>
              <w:rPr>
                <w:rFonts w:cstheme="minorHAnsi" w:eastAsia="Times New Roman"/>
                <w:color w:val="000000"/>
                <w:sz w:val="20"/>
                <w:szCs w:val="20"/>
                <w:lang w:eastAsia="hr-HR"/>
              </w:rPr>
              <w:t>18.840,76 kn</w:t>
            </w:r>
          </w:p>
        </w:tc>
      </w:tr>
      <w:tr w:rsidTr="001E3364" w:rsidR="001E3364">
        <w:trPr>
          <w:trHeight w:val="647"/>
          <w:jc w:val="center"/>
        </w:trPr>
        <w:tc>
          <w:tcPr>
            <w:tcW w:type="dxa" w:w="632"/>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color w:val="000000"/>
                <w:sz w:val="20"/>
                <w:szCs w:val="20"/>
                <w:lang w:eastAsia="hr-HR"/>
              </w:rPr>
            </w:pPr>
            <w:r>
              <w:rPr>
                <w:rFonts w:cstheme="minorHAnsi" w:eastAsia="Times New Roman"/>
                <w:color w:val="000000"/>
                <w:sz w:val="20"/>
                <w:szCs w:val="20"/>
                <w:lang w:eastAsia="hr-HR"/>
              </w:rPr>
              <w:t>7.</w:t>
            </w:r>
          </w:p>
        </w:tc>
        <w:tc>
          <w:tcPr>
            <w:tcW w:type="dxa" w:w="2644"/>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color w:val="000000"/>
                <w:sz w:val="20"/>
                <w:szCs w:val="20"/>
                <w:lang w:eastAsia="hr-HR"/>
              </w:rPr>
            </w:pPr>
            <w:r>
              <w:rPr>
                <w:rFonts w:cstheme="minorHAnsi" w:eastAsia="Times New Roman"/>
                <w:color w:val="000000"/>
                <w:sz w:val="20"/>
                <w:szCs w:val="20"/>
                <w:lang w:eastAsia="hr-HR"/>
              </w:rPr>
              <w:t>Trgovački sud Zagreb</w:t>
            </w:r>
          </w:p>
        </w:tc>
        <w:tc>
          <w:tcPr>
            <w:tcW w:type="dxa" w:w="2839"/>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color w:val="000000"/>
                <w:sz w:val="20"/>
                <w:szCs w:val="20"/>
                <w:lang w:eastAsia="hr-HR"/>
              </w:rPr>
            </w:pPr>
            <w:r>
              <w:rPr>
                <w:rFonts w:cstheme="minorHAnsi" w:eastAsia="Times New Roman"/>
                <w:color w:val="000000"/>
                <w:sz w:val="20"/>
                <w:szCs w:val="20"/>
                <w:lang w:eastAsia="hr-HR"/>
              </w:rPr>
              <w:t>Parnični</w:t>
            </w:r>
          </w:p>
        </w:tc>
        <w:tc>
          <w:tcPr>
            <w:tcW w:type="dxa" w:w="1857"/>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color w:val="000000"/>
                <w:sz w:val="20"/>
                <w:szCs w:val="20"/>
                <w:lang w:eastAsia="hr-HR"/>
              </w:rPr>
            </w:pPr>
            <w:r>
              <w:rPr>
                <w:rFonts w:cstheme="minorHAnsi" w:eastAsia="Times New Roman"/>
                <w:color w:val="000000"/>
                <w:sz w:val="20"/>
                <w:szCs w:val="20"/>
                <w:lang w:eastAsia="hr-HR"/>
              </w:rPr>
              <w:t>Povrv-2311/2018</w:t>
            </w:r>
          </w:p>
        </w:tc>
        <w:tc>
          <w:tcPr>
            <w:tcW w:type="dxa" w:w="1884"/>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color w:val="000000"/>
                <w:sz w:val="20"/>
                <w:szCs w:val="20"/>
                <w:lang w:eastAsia="hr-HR"/>
              </w:rPr>
            </w:pPr>
            <w:r>
              <w:rPr>
                <w:rFonts w:cstheme="minorHAnsi" w:eastAsia="Times New Roman"/>
                <w:color w:val="000000"/>
                <w:sz w:val="20"/>
                <w:szCs w:val="20"/>
                <w:lang w:eastAsia="hr-HR"/>
              </w:rPr>
              <w:t>Radi isplate</w:t>
            </w:r>
          </w:p>
        </w:tc>
        <w:tc>
          <w:tcPr>
            <w:tcW w:type="dxa" w:w="2558"/>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color w:val="000000"/>
                <w:sz w:val="20"/>
                <w:szCs w:val="20"/>
                <w:lang w:eastAsia="hr-HR"/>
              </w:rPr>
            </w:pPr>
            <w:r>
              <w:rPr>
                <w:rFonts w:cstheme="minorHAnsi" w:eastAsia="Times New Roman"/>
                <w:color w:val="000000"/>
                <w:sz w:val="20"/>
                <w:szCs w:val="20"/>
                <w:lang w:eastAsia="hr-HR"/>
              </w:rPr>
              <w:t>Helios Hrvatska d.o.o.</w:t>
            </w:r>
          </w:p>
        </w:tc>
        <w:tc>
          <w:tcPr>
            <w:tcW w:type="dxa" w:w="2333"/>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color w:val="000000"/>
                <w:sz w:val="20"/>
                <w:szCs w:val="20"/>
                <w:lang w:eastAsia="hr-HR"/>
              </w:rPr>
            </w:pPr>
            <w:r>
              <w:rPr>
                <w:rFonts w:cstheme="minorHAnsi" w:eastAsia="Times New Roman"/>
                <w:color w:val="000000"/>
                <w:sz w:val="20"/>
                <w:szCs w:val="20"/>
                <w:lang w:eastAsia="hr-HR"/>
              </w:rPr>
              <w:t>tuženik</w:t>
            </w:r>
          </w:p>
        </w:tc>
        <w:tc>
          <w:tcPr>
            <w:tcW w:type="dxa" w:w="1550"/>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color w:val="000000"/>
                <w:sz w:val="20"/>
                <w:szCs w:val="20"/>
                <w:lang w:eastAsia="hr-HR"/>
              </w:rPr>
            </w:pPr>
            <w:r>
              <w:rPr>
                <w:rFonts w:cstheme="minorHAnsi" w:eastAsia="Times New Roman"/>
                <w:color w:val="000000"/>
                <w:sz w:val="20"/>
                <w:szCs w:val="20"/>
                <w:lang w:eastAsia="hr-HR"/>
              </w:rPr>
              <w:t>207.746,72 kn</w:t>
            </w:r>
          </w:p>
        </w:tc>
      </w:tr>
      <w:tr w:rsidTr="001E3364" w:rsidR="001E3364">
        <w:trPr>
          <w:trHeight w:val="647"/>
          <w:jc w:val="center"/>
        </w:trPr>
        <w:tc>
          <w:tcPr>
            <w:tcW w:type="dxa" w:w="632"/>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color w:val="000000"/>
                <w:sz w:val="20"/>
                <w:szCs w:val="20"/>
                <w:lang w:eastAsia="hr-HR"/>
              </w:rPr>
            </w:pPr>
            <w:r>
              <w:rPr>
                <w:rFonts w:cstheme="minorHAnsi" w:eastAsia="Times New Roman"/>
                <w:color w:val="000000"/>
                <w:sz w:val="20"/>
                <w:szCs w:val="20"/>
                <w:lang w:eastAsia="hr-HR"/>
              </w:rPr>
              <w:t>8.</w:t>
            </w:r>
          </w:p>
        </w:tc>
        <w:tc>
          <w:tcPr>
            <w:tcW w:type="dxa" w:w="2644"/>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color w:val="000000"/>
                <w:sz w:val="20"/>
                <w:szCs w:val="20"/>
                <w:lang w:eastAsia="hr-HR"/>
              </w:rPr>
            </w:pPr>
            <w:r>
              <w:rPr>
                <w:rFonts w:cstheme="minorHAnsi" w:eastAsia="Times New Roman"/>
                <w:color w:val="000000"/>
                <w:sz w:val="20"/>
                <w:szCs w:val="20"/>
                <w:lang w:eastAsia="hr-HR"/>
              </w:rPr>
              <w:t>Trgovački sud Zagreb</w:t>
            </w:r>
          </w:p>
        </w:tc>
        <w:tc>
          <w:tcPr>
            <w:tcW w:type="dxa" w:w="2839"/>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color w:val="000000"/>
                <w:sz w:val="20"/>
                <w:szCs w:val="20"/>
                <w:lang w:eastAsia="hr-HR"/>
              </w:rPr>
            </w:pPr>
            <w:r>
              <w:rPr>
                <w:rFonts w:cstheme="minorHAnsi" w:eastAsia="Times New Roman"/>
                <w:color w:val="000000"/>
                <w:sz w:val="20"/>
                <w:szCs w:val="20"/>
                <w:lang w:eastAsia="hr-HR"/>
              </w:rPr>
              <w:t>Parnični</w:t>
            </w:r>
          </w:p>
        </w:tc>
        <w:tc>
          <w:tcPr>
            <w:tcW w:type="dxa" w:w="1857"/>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color w:val="000000"/>
                <w:sz w:val="20"/>
                <w:szCs w:val="20"/>
                <w:lang w:eastAsia="hr-HR"/>
              </w:rPr>
            </w:pPr>
            <w:r>
              <w:rPr>
                <w:rFonts w:cstheme="minorHAnsi" w:eastAsia="Times New Roman"/>
                <w:color w:val="000000"/>
                <w:sz w:val="20"/>
                <w:szCs w:val="20"/>
                <w:lang w:eastAsia="hr-HR"/>
              </w:rPr>
              <w:t>Povrv-2292/2018</w:t>
            </w:r>
          </w:p>
        </w:tc>
        <w:tc>
          <w:tcPr>
            <w:tcW w:type="dxa" w:w="1884"/>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hideMark/>
          </w:tcPr>
          <w:p w:rsidRDefault="001E3364" w:rsidR="001E3364">
            <w:pPr>
              <w:jc w:val="center"/>
              <w:rPr>
                <w:rFonts w:cstheme="minorHAnsi"/>
                <w:sz w:val="20"/>
                <w:szCs w:val="20"/>
              </w:rPr>
            </w:pPr>
            <w:r>
              <w:rPr>
                <w:rFonts w:cstheme="minorHAnsi"/>
                <w:sz w:val="20"/>
                <w:szCs w:val="20"/>
              </w:rPr>
              <w:t>Radi isplate</w:t>
            </w:r>
          </w:p>
        </w:tc>
        <w:tc>
          <w:tcPr>
            <w:tcW w:type="dxa" w:w="2558"/>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color w:val="000000"/>
                <w:sz w:val="20"/>
                <w:szCs w:val="20"/>
                <w:lang w:eastAsia="hr-HR"/>
              </w:rPr>
            </w:pPr>
            <w:r>
              <w:rPr>
                <w:rFonts w:cstheme="minorHAnsi" w:eastAsia="Times New Roman"/>
                <w:color w:val="000000"/>
                <w:sz w:val="20"/>
                <w:szCs w:val="20"/>
                <w:lang w:eastAsia="hr-HR"/>
              </w:rPr>
              <w:t>Salesianer miettex Lotos d.o.o.</w:t>
            </w:r>
          </w:p>
        </w:tc>
        <w:tc>
          <w:tcPr>
            <w:tcW w:type="dxa" w:w="2333"/>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hideMark/>
          </w:tcPr>
          <w:p w:rsidRDefault="001E3364" w:rsidR="001E3364">
            <w:pPr>
              <w:jc w:val="center"/>
              <w:rPr>
                <w:rFonts w:cstheme="minorHAnsi"/>
                <w:sz w:val="20"/>
                <w:szCs w:val="20"/>
              </w:rPr>
            </w:pPr>
            <w:r>
              <w:rPr>
                <w:rFonts w:cstheme="minorHAnsi"/>
                <w:sz w:val="20"/>
                <w:szCs w:val="20"/>
              </w:rPr>
              <w:t>tuženik</w:t>
            </w:r>
          </w:p>
        </w:tc>
        <w:tc>
          <w:tcPr>
            <w:tcW w:type="dxa" w:w="1550"/>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color w:val="000000"/>
                <w:sz w:val="20"/>
                <w:szCs w:val="20"/>
                <w:lang w:eastAsia="hr-HR"/>
              </w:rPr>
            </w:pPr>
            <w:r>
              <w:rPr>
                <w:rFonts w:cstheme="minorHAnsi" w:eastAsia="Times New Roman"/>
                <w:color w:val="000000"/>
                <w:sz w:val="20"/>
                <w:szCs w:val="20"/>
                <w:lang w:eastAsia="hr-HR"/>
              </w:rPr>
              <w:t>39.672,79 kn</w:t>
            </w:r>
          </w:p>
        </w:tc>
      </w:tr>
      <w:tr w:rsidTr="001E3364" w:rsidR="001E3364">
        <w:trPr>
          <w:trHeight w:val="647"/>
          <w:jc w:val="center"/>
        </w:trPr>
        <w:tc>
          <w:tcPr>
            <w:tcW w:type="dxa" w:w="632"/>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color w:val="000000"/>
                <w:sz w:val="20"/>
                <w:szCs w:val="20"/>
                <w:lang w:eastAsia="hr-HR"/>
              </w:rPr>
            </w:pPr>
            <w:r>
              <w:rPr>
                <w:rFonts w:cstheme="minorHAnsi" w:eastAsia="Times New Roman"/>
                <w:color w:val="000000"/>
                <w:sz w:val="20"/>
                <w:szCs w:val="20"/>
                <w:lang w:eastAsia="hr-HR"/>
              </w:rPr>
              <w:lastRenderedPageBreak/>
              <w:t>9.</w:t>
            </w:r>
          </w:p>
        </w:tc>
        <w:tc>
          <w:tcPr>
            <w:tcW w:type="dxa" w:w="2644"/>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color w:val="000000"/>
                <w:sz w:val="20"/>
                <w:szCs w:val="20"/>
                <w:lang w:eastAsia="hr-HR"/>
              </w:rPr>
            </w:pPr>
            <w:r>
              <w:rPr>
                <w:rFonts w:cstheme="minorHAnsi" w:eastAsia="Times New Roman"/>
                <w:color w:val="000000"/>
                <w:sz w:val="20"/>
                <w:szCs w:val="20"/>
                <w:lang w:eastAsia="hr-HR"/>
              </w:rPr>
              <w:t>Trgovački sud Zagreb</w:t>
            </w:r>
          </w:p>
        </w:tc>
        <w:tc>
          <w:tcPr>
            <w:tcW w:type="dxa" w:w="2839"/>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color w:val="000000"/>
                <w:sz w:val="20"/>
                <w:szCs w:val="20"/>
                <w:lang w:eastAsia="hr-HR"/>
              </w:rPr>
            </w:pPr>
            <w:r>
              <w:rPr>
                <w:rFonts w:cstheme="minorHAnsi" w:eastAsia="Times New Roman"/>
                <w:color w:val="000000"/>
                <w:sz w:val="20"/>
                <w:szCs w:val="20"/>
                <w:lang w:eastAsia="hr-HR"/>
              </w:rPr>
              <w:t>Parnični</w:t>
            </w:r>
          </w:p>
        </w:tc>
        <w:tc>
          <w:tcPr>
            <w:tcW w:type="dxa" w:w="1857"/>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color w:val="000000"/>
                <w:sz w:val="20"/>
                <w:szCs w:val="20"/>
                <w:lang w:eastAsia="hr-HR"/>
              </w:rPr>
            </w:pPr>
            <w:r>
              <w:rPr>
                <w:rFonts w:cstheme="minorHAnsi" w:eastAsia="Times New Roman"/>
                <w:color w:val="000000"/>
                <w:sz w:val="20"/>
                <w:szCs w:val="20"/>
                <w:lang w:eastAsia="hr-HR"/>
              </w:rPr>
              <w:t>Povrv-2045/2018</w:t>
            </w:r>
          </w:p>
        </w:tc>
        <w:tc>
          <w:tcPr>
            <w:tcW w:type="dxa" w:w="1884"/>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hideMark/>
          </w:tcPr>
          <w:p w:rsidRDefault="001E3364" w:rsidR="001E3364">
            <w:pPr>
              <w:jc w:val="center"/>
              <w:rPr>
                <w:rFonts w:cstheme="minorHAnsi"/>
                <w:sz w:val="20"/>
                <w:szCs w:val="20"/>
              </w:rPr>
            </w:pPr>
            <w:r>
              <w:rPr>
                <w:rFonts w:cstheme="minorHAnsi"/>
                <w:sz w:val="20"/>
                <w:szCs w:val="20"/>
              </w:rPr>
              <w:t>Radi isplate</w:t>
            </w:r>
          </w:p>
        </w:tc>
        <w:tc>
          <w:tcPr>
            <w:tcW w:type="dxa" w:w="2558"/>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color w:val="000000"/>
                <w:sz w:val="20"/>
                <w:szCs w:val="20"/>
                <w:lang w:eastAsia="hr-HR"/>
              </w:rPr>
            </w:pPr>
            <w:r>
              <w:rPr>
                <w:rFonts w:cstheme="minorHAnsi" w:eastAsia="Times New Roman"/>
                <w:color w:val="000000"/>
                <w:sz w:val="20"/>
                <w:szCs w:val="20"/>
                <w:lang w:eastAsia="hr-HR"/>
              </w:rPr>
              <w:t>Impol d.o.o.</w:t>
            </w:r>
          </w:p>
        </w:tc>
        <w:tc>
          <w:tcPr>
            <w:tcW w:type="dxa" w:w="2333"/>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hideMark/>
          </w:tcPr>
          <w:p w:rsidRDefault="001E3364" w:rsidR="001E3364">
            <w:pPr>
              <w:jc w:val="center"/>
              <w:rPr>
                <w:rFonts w:cstheme="minorHAnsi"/>
                <w:sz w:val="20"/>
                <w:szCs w:val="20"/>
              </w:rPr>
            </w:pPr>
            <w:r>
              <w:rPr>
                <w:rFonts w:cstheme="minorHAnsi"/>
                <w:sz w:val="20"/>
                <w:szCs w:val="20"/>
              </w:rPr>
              <w:t>tuženik</w:t>
            </w:r>
          </w:p>
        </w:tc>
        <w:tc>
          <w:tcPr>
            <w:tcW w:type="dxa" w:w="1550"/>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color w:val="000000"/>
                <w:sz w:val="20"/>
                <w:szCs w:val="20"/>
                <w:lang w:eastAsia="hr-HR"/>
              </w:rPr>
            </w:pPr>
            <w:r>
              <w:rPr>
                <w:rFonts w:cstheme="minorHAnsi" w:eastAsia="Times New Roman"/>
                <w:color w:val="000000"/>
                <w:sz w:val="20"/>
                <w:szCs w:val="20"/>
                <w:lang w:eastAsia="hr-HR"/>
              </w:rPr>
              <w:t>299.868,91 kn</w:t>
            </w:r>
          </w:p>
        </w:tc>
      </w:tr>
      <w:tr w:rsidTr="001E3364" w:rsidR="001E3364">
        <w:trPr>
          <w:trHeight w:val="647"/>
          <w:jc w:val="center"/>
        </w:trPr>
        <w:tc>
          <w:tcPr>
            <w:tcW w:type="dxa" w:w="632"/>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color w:val="000000"/>
                <w:sz w:val="20"/>
                <w:szCs w:val="20"/>
                <w:lang w:eastAsia="hr-HR"/>
              </w:rPr>
            </w:pPr>
            <w:r>
              <w:rPr>
                <w:rFonts w:cstheme="minorHAnsi" w:eastAsia="Times New Roman"/>
                <w:color w:val="000000"/>
                <w:sz w:val="20"/>
                <w:szCs w:val="20"/>
                <w:lang w:eastAsia="hr-HR"/>
              </w:rPr>
              <w:t>10.</w:t>
            </w:r>
          </w:p>
        </w:tc>
        <w:tc>
          <w:tcPr>
            <w:tcW w:type="dxa" w:w="2644"/>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color w:val="000000"/>
                <w:sz w:val="20"/>
                <w:szCs w:val="20"/>
                <w:lang w:eastAsia="hr-HR"/>
              </w:rPr>
            </w:pPr>
            <w:r>
              <w:rPr>
                <w:rFonts w:cstheme="minorHAnsi" w:eastAsia="Times New Roman"/>
                <w:color w:val="000000"/>
                <w:sz w:val="20"/>
                <w:szCs w:val="20"/>
                <w:lang w:eastAsia="hr-HR"/>
              </w:rPr>
              <w:t>Trgovački sud Zagreb</w:t>
            </w:r>
          </w:p>
        </w:tc>
        <w:tc>
          <w:tcPr>
            <w:tcW w:type="dxa" w:w="2839"/>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color w:val="000000"/>
                <w:sz w:val="20"/>
                <w:szCs w:val="20"/>
                <w:lang w:eastAsia="hr-HR"/>
              </w:rPr>
            </w:pPr>
            <w:r>
              <w:rPr>
                <w:rFonts w:cstheme="minorHAnsi" w:eastAsia="Times New Roman"/>
                <w:color w:val="000000"/>
                <w:sz w:val="20"/>
                <w:szCs w:val="20"/>
                <w:lang w:eastAsia="hr-HR"/>
              </w:rPr>
              <w:t>Parnični</w:t>
            </w:r>
          </w:p>
        </w:tc>
        <w:tc>
          <w:tcPr>
            <w:tcW w:type="dxa" w:w="1857"/>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color w:val="000000"/>
                <w:sz w:val="20"/>
                <w:szCs w:val="20"/>
                <w:lang w:eastAsia="hr-HR"/>
              </w:rPr>
            </w:pPr>
            <w:r>
              <w:rPr>
                <w:rFonts w:cstheme="minorHAnsi" w:eastAsia="Times New Roman"/>
                <w:color w:val="000000"/>
                <w:sz w:val="20"/>
                <w:szCs w:val="20"/>
                <w:lang w:eastAsia="hr-HR"/>
              </w:rPr>
              <w:t>Povrv-1186/2018</w:t>
            </w:r>
          </w:p>
        </w:tc>
        <w:tc>
          <w:tcPr>
            <w:tcW w:type="dxa" w:w="1884"/>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hideMark/>
          </w:tcPr>
          <w:p w:rsidRDefault="001E3364" w:rsidR="001E3364">
            <w:pPr>
              <w:jc w:val="center"/>
              <w:rPr>
                <w:rFonts w:cstheme="minorHAnsi"/>
                <w:sz w:val="20"/>
                <w:szCs w:val="20"/>
              </w:rPr>
            </w:pPr>
            <w:r>
              <w:rPr>
                <w:rFonts w:cstheme="minorHAnsi"/>
                <w:sz w:val="20"/>
                <w:szCs w:val="20"/>
              </w:rPr>
              <w:t>Radi isplate</w:t>
            </w:r>
          </w:p>
        </w:tc>
        <w:tc>
          <w:tcPr>
            <w:tcW w:type="dxa" w:w="2558"/>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color w:val="000000"/>
                <w:sz w:val="20"/>
                <w:szCs w:val="20"/>
                <w:lang w:eastAsia="hr-HR"/>
              </w:rPr>
            </w:pPr>
            <w:r>
              <w:rPr>
                <w:rFonts w:cstheme="minorHAnsi" w:eastAsia="Times New Roman"/>
                <w:color w:val="000000"/>
                <w:sz w:val="20"/>
                <w:szCs w:val="20"/>
                <w:lang w:eastAsia="hr-HR"/>
              </w:rPr>
              <w:t>Mapa Spontex CE s.r.o.</w:t>
            </w:r>
          </w:p>
        </w:tc>
        <w:tc>
          <w:tcPr>
            <w:tcW w:type="dxa" w:w="2333"/>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hideMark/>
          </w:tcPr>
          <w:p w:rsidRDefault="001E3364" w:rsidR="001E3364">
            <w:pPr>
              <w:jc w:val="center"/>
              <w:rPr>
                <w:rFonts w:cstheme="minorHAnsi"/>
                <w:sz w:val="20"/>
                <w:szCs w:val="20"/>
              </w:rPr>
            </w:pPr>
            <w:r>
              <w:rPr>
                <w:rFonts w:cstheme="minorHAnsi"/>
                <w:sz w:val="20"/>
                <w:szCs w:val="20"/>
              </w:rPr>
              <w:t>tuženik</w:t>
            </w:r>
          </w:p>
        </w:tc>
        <w:tc>
          <w:tcPr>
            <w:tcW w:type="dxa" w:w="1550"/>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color w:val="000000"/>
                <w:sz w:val="20"/>
                <w:szCs w:val="20"/>
                <w:lang w:eastAsia="hr-HR"/>
              </w:rPr>
            </w:pPr>
            <w:r>
              <w:rPr>
                <w:rFonts w:cstheme="minorHAnsi" w:eastAsia="Times New Roman"/>
                <w:color w:val="000000"/>
                <w:sz w:val="20"/>
                <w:szCs w:val="20"/>
                <w:lang w:eastAsia="hr-HR"/>
              </w:rPr>
              <w:t>1.108.286,40 kn</w:t>
            </w:r>
          </w:p>
        </w:tc>
      </w:tr>
      <w:tr w:rsidTr="001E3364" w:rsidR="001E3364">
        <w:trPr>
          <w:trHeight w:val="647"/>
          <w:jc w:val="center"/>
        </w:trPr>
        <w:tc>
          <w:tcPr>
            <w:tcW w:type="dxa" w:w="632"/>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color w:val="000000"/>
                <w:sz w:val="20"/>
                <w:szCs w:val="20"/>
                <w:lang w:eastAsia="hr-HR"/>
              </w:rPr>
            </w:pPr>
            <w:r>
              <w:rPr>
                <w:rFonts w:cstheme="minorHAnsi" w:eastAsia="Times New Roman"/>
                <w:color w:val="000000"/>
                <w:sz w:val="20"/>
                <w:szCs w:val="20"/>
                <w:lang w:eastAsia="hr-HR"/>
              </w:rPr>
              <w:t>11.</w:t>
            </w:r>
          </w:p>
        </w:tc>
        <w:tc>
          <w:tcPr>
            <w:tcW w:type="dxa" w:w="2644"/>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color w:val="000000"/>
                <w:sz w:val="20"/>
                <w:szCs w:val="20"/>
                <w:lang w:eastAsia="hr-HR"/>
              </w:rPr>
            </w:pPr>
            <w:r>
              <w:rPr>
                <w:rFonts w:cstheme="minorHAnsi" w:eastAsia="Times New Roman"/>
                <w:color w:val="000000"/>
                <w:sz w:val="20"/>
                <w:szCs w:val="20"/>
                <w:lang w:eastAsia="hr-HR"/>
              </w:rPr>
              <w:t>Trgovački sud Zagreb</w:t>
            </w:r>
          </w:p>
        </w:tc>
        <w:tc>
          <w:tcPr>
            <w:tcW w:type="dxa" w:w="2839"/>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color w:val="000000"/>
                <w:sz w:val="20"/>
                <w:szCs w:val="20"/>
                <w:lang w:eastAsia="hr-HR"/>
              </w:rPr>
            </w:pPr>
            <w:r>
              <w:rPr>
                <w:rFonts w:cstheme="minorHAnsi" w:eastAsia="Times New Roman"/>
                <w:color w:val="000000"/>
                <w:sz w:val="20"/>
                <w:szCs w:val="20"/>
                <w:lang w:eastAsia="hr-HR"/>
              </w:rPr>
              <w:t>Parnični</w:t>
            </w:r>
          </w:p>
        </w:tc>
        <w:tc>
          <w:tcPr>
            <w:tcW w:type="dxa" w:w="1857"/>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color w:val="000000"/>
                <w:sz w:val="20"/>
                <w:szCs w:val="20"/>
                <w:lang w:eastAsia="hr-HR"/>
              </w:rPr>
            </w:pPr>
            <w:r>
              <w:rPr>
                <w:rFonts w:cstheme="minorHAnsi" w:eastAsia="Times New Roman"/>
                <w:color w:val="000000"/>
                <w:sz w:val="20"/>
                <w:szCs w:val="20"/>
                <w:lang w:eastAsia="hr-HR"/>
              </w:rPr>
              <w:t>Povrv-3769/2017</w:t>
            </w:r>
          </w:p>
        </w:tc>
        <w:tc>
          <w:tcPr>
            <w:tcW w:type="dxa" w:w="1884"/>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hideMark/>
          </w:tcPr>
          <w:p w:rsidRDefault="001E3364" w:rsidR="001E3364">
            <w:pPr>
              <w:jc w:val="center"/>
              <w:rPr>
                <w:rFonts w:cstheme="minorHAnsi"/>
                <w:sz w:val="20"/>
                <w:szCs w:val="20"/>
              </w:rPr>
            </w:pPr>
            <w:r>
              <w:rPr>
                <w:rFonts w:cstheme="minorHAnsi"/>
                <w:sz w:val="20"/>
                <w:szCs w:val="20"/>
              </w:rPr>
              <w:t>Radi isplate</w:t>
            </w:r>
          </w:p>
        </w:tc>
        <w:tc>
          <w:tcPr>
            <w:tcW w:type="dxa" w:w="2558"/>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color w:val="000000"/>
                <w:sz w:val="20"/>
                <w:szCs w:val="20"/>
                <w:lang w:eastAsia="hr-HR"/>
              </w:rPr>
            </w:pPr>
            <w:r>
              <w:rPr>
                <w:rFonts w:cstheme="minorHAnsi" w:eastAsia="Times New Roman"/>
                <w:color w:val="000000"/>
                <w:sz w:val="20"/>
                <w:szCs w:val="20"/>
                <w:lang w:eastAsia="hr-HR"/>
              </w:rPr>
              <w:t>Kibar International s.a.</w:t>
            </w:r>
          </w:p>
        </w:tc>
        <w:tc>
          <w:tcPr>
            <w:tcW w:type="dxa" w:w="2333"/>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hideMark/>
          </w:tcPr>
          <w:p w:rsidRDefault="001E3364" w:rsidR="001E3364">
            <w:pPr>
              <w:jc w:val="center"/>
              <w:rPr>
                <w:rFonts w:cstheme="minorHAnsi"/>
                <w:sz w:val="20"/>
                <w:szCs w:val="20"/>
              </w:rPr>
            </w:pPr>
            <w:r>
              <w:rPr>
                <w:rFonts w:cstheme="minorHAnsi"/>
                <w:sz w:val="20"/>
                <w:szCs w:val="20"/>
              </w:rPr>
              <w:t>tuženik</w:t>
            </w:r>
          </w:p>
        </w:tc>
        <w:tc>
          <w:tcPr>
            <w:tcW w:type="dxa" w:w="1550"/>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color w:val="000000"/>
                <w:sz w:val="20"/>
                <w:szCs w:val="20"/>
                <w:lang w:eastAsia="hr-HR"/>
              </w:rPr>
            </w:pPr>
            <w:r>
              <w:rPr>
                <w:rFonts w:cstheme="minorHAnsi" w:eastAsia="Times New Roman"/>
                <w:color w:val="000000"/>
                <w:sz w:val="20"/>
                <w:szCs w:val="20"/>
                <w:lang w:eastAsia="hr-HR"/>
              </w:rPr>
              <w:t>1.052.722,57 kn</w:t>
            </w:r>
          </w:p>
        </w:tc>
      </w:tr>
      <w:tr w:rsidTr="001E3364" w:rsidR="001E3364">
        <w:trPr>
          <w:trHeight w:val="647"/>
          <w:jc w:val="center"/>
        </w:trPr>
        <w:tc>
          <w:tcPr>
            <w:tcW w:type="dxa" w:w="632"/>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color w:val="000000"/>
                <w:sz w:val="20"/>
                <w:szCs w:val="20"/>
                <w:lang w:eastAsia="hr-HR"/>
              </w:rPr>
            </w:pPr>
            <w:r>
              <w:rPr>
                <w:rFonts w:cstheme="minorHAnsi" w:eastAsia="Times New Roman"/>
                <w:color w:val="000000"/>
                <w:sz w:val="20"/>
                <w:szCs w:val="20"/>
                <w:lang w:eastAsia="hr-HR"/>
              </w:rPr>
              <w:t>12.</w:t>
            </w:r>
          </w:p>
        </w:tc>
        <w:tc>
          <w:tcPr>
            <w:tcW w:type="dxa" w:w="2644"/>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color w:val="000000"/>
                <w:sz w:val="20"/>
                <w:szCs w:val="20"/>
                <w:lang w:eastAsia="hr-HR"/>
              </w:rPr>
            </w:pPr>
            <w:r>
              <w:rPr>
                <w:rFonts w:cstheme="minorHAnsi" w:eastAsia="Times New Roman"/>
                <w:color w:val="000000"/>
                <w:sz w:val="20"/>
                <w:szCs w:val="20"/>
                <w:lang w:eastAsia="hr-HR"/>
              </w:rPr>
              <w:t>Trgovački sud Zagreb</w:t>
            </w:r>
          </w:p>
        </w:tc>
        <w:tc>
          <w:tcPr>
            <w:tcW w:type="dxa" w:w="2839"/>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color w:val="000000"/>
                <w:sz w:val="20"/>
                <w:szCs w:val="20"/>
                <w:lang w:eastAsia="hr-HR"/>
              </w:rPr>
            </w:pPr>
            <w:r>
              <w:rPr>
                <w:rFonts w:cstheme="minorHAnsi" w:eastAsia="Times New Roman"/>
                <w:color w:val="000000"/>
                <w:sz w:val="20"/>
                <w:szCs w:val="20"/>
                <w:lang w:eastAsia="hr-HR"/>
              </w:rPr>
              <w:t>Parnični</w:t>
            </w:r>
          </w:p>
        </w:tc>
        <w:tc>
          <w:tcPr>
            <w:tcW w:type="dxa" w:w="1857"/>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color w:val="000000"/>
                <w:sz w:val="20"/>
                <w:szCs w:val="20"/>
                <w:lang w:eastAsia="hr-HR"/>
              </w:rPr>
            </w:pPr>
            <w:r>
              <w:rPr>
                <w:rFonts w:cstheme="minorHAnsi" w:eastAsia="Times New Roman"/>
                <w:color w:val="000000"/>
                <w:sz w:val="20"/>
                <w:szCs w:val="20"/>
                <w:lang w:eastAsia="hr-HR"/>
              </w:rPr>
              <w:t>Povrv-2814/2017</w:t>
            </w:r>
          </w:p>
        </w:tc>
        <w:tc>
          <w:tcPr>
            <w:tcW w:type="dxa" w:w="1884"/>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hideMark/>
          </w:tcPr>
          <w:p w:rsidRDefault="001E3364" w:rsidR="001E3364">
            <w:pPr>
              <w:jc w:val="center"/>
              <w:rPr>
                <w:rFonts w:cstheme="minorHAnsi"/>
                <w:sz w:val="20"/>
                <w:szCs w:val="20"/>
              </w:rPr>
            </w:pPr>
            <w:r>
              <w:rPr>
                <w:rFonts w:cstheme="minorHAnsi"/>
                <w:sz w:val="20"/>
                <w:szCs w:val="20"/>
              </w:rPr>
              <w:t>Radi isplate</w:t>
            </w:r>
          </w:p>
        </w:tc>
        <w:tc>
          <w:tcPr>
            <w:tcW w:type="dxa" w:w="2558"/>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color w:val="000000"/>
                <w:sz w:val="20"/>
                <w:szCs w:val="20"/>
                <w:lang w:eastAsia="hr-HR"/>
              </w:rPr>
            </w:pPr>
            <w:r>
              <w:rPr>
                <w:rFonts w:cstheme="minorHAnsi" w:eastAsia="Times New Roman"/>
                <w:color w:val="000000"/>
                <w:sz w:val="20"/>
                <w:szCs w:val="20"/>
                <w:lang w:eastAsia="hr-HR"/>
              </w:rPr>
              <w:t>Cartiera fornaci s.p.a.</w:t>
            </w:r>
          </w:p>
        </w:tc>
        <w:tc>
          <w:tcPr>
            <w:tcW w:type="dxa" w:w="2333"/>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hideMark/>
          </w:tcPr>
          <w:p w:rsidRDefault="001E3364" w:rsidR="001E3364">
            <w:pPr>
              <w:jc w:val="center"/>
              <w:rPr>
                <w:rFonts w:cstheme="minorHAnsi"/>
                <w:sz w:val="20"/>
                <w:szCs w:val="20"/>
              </w:rPr>
            </w:pPr>
            <w:r>
              <w:rPr>
                <w:rFonts w:cstheme="minorHAnsi"/>
                <w:sz w:val="20"/>
                <w:szCs w:val="20"/>
              </w:rPr>
              <w:t>tuženik</w:t>
            </w:r>
          </w:p>
        </w:tc>
        <w:tc>
          <w:tcPr>
            <w:tcW w:type="dxa" w:w="1550"/>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color w:val="000000"/>
                <w:sz w:val="20"/>
                <w:szCs w:val="20"/>
                <w:lang w:eastAsia="hr-HR"/>
              </w:rPr>
            </w:pPr>
            <w:r>
              <w:rPr>
                <w:rFonts w:cstheme="minorHAnsi" w:eastAsia="Times New Roman"/>
                <w:color w:val="000000"/>
                <w:sz w:val="20"/>
                <w:szCs w:val="20"/>
                <w:lang w:eastAsia="hr-HR"/>
              </w:rPr>
              <w:t>2.077.439,51 kn</w:t>
            </w:r>
          </w:p>
        </w:tc>
      </w:tr>
      <w:tr w:rsidTr="001E3364" w:rsidR="001E3364">
        <w:trPr>
          <w:trHeight w:val="647"/>
          <w:jc w:val="center"/>
        </w:trPr>
        <w:tc>
          <w:tcPr>
            <w:tcW w:type="dxa" w:w="632"/>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color w:val="000000"/>
                <w:sz w:val="20"/>
                <w:szCs w:val="20"/>
                <w:lang w:eastAsia="hr-HR"/>
              </w:rPr>
            </w:pPr>
            <w:r>
              <w:rPr>
                <w:rFonts w:cstheme="minorHAnsi" w:eastAsia="Times New Roman"/>
                <w:color w:val="000000"/>
                <w:sz w:val="20"/>
                <w:szCs w:val="20"/>
                <w:lang w:eastAsia="hr-HR"/>
              </w:rPr>
              <w:t>13.</w:t>
            </w:r>
          </w:p>
        </w:tc>
        <w:tc>
          <w:tcPr>
            <w:tcW w:type="dxa" w:w="2644"/>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color w:val="000000"/>
                <w:sz w:val="20"/>
                <w:szCs w:val="20"/>
                <w:lang w:eastAsia="hr-HR"/>
              </w:rPr>
            </w:pPr>
            <w:r>
              <w:rPr>
                <w:rFonts w:cstheme="minorHAnsi" w:eastAsia="Times New Roman"/>
                <w:color w:val="000000"/>
                <w:sz w:val="20"/>
                <w:szCs w:val="20"/>
                <w:lang w:eastAsia="hr-HR"/>
              </w:rPr>
              <w:t>Trgovački sud Zagreb</w:t>
            </w:r>
          </w:p>
        </w:tc>
        <w:tc>
          <w:tcPr>
            <w:tcW w:type="dxa" w:w="2839"/>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color w:val="000000"/>
                <w:sz w:val="20"/>
                <w:szCs w:val="20"/>
                <w:lang w:eastAsia="hr-HR"/>
              </w:rPr>
            </w:pPr>
            <w:r>
              <w:rPr>
                <w:rFonts w:cstheme="minorHAnsi" w:eastAsia="Times New Roman"/>
                <w:color w:val="000000"/>
                <w:sz w:val="20"/>
                <w:szCs w:val="20"/>
                <w:lang w:eastAsia="hr-HR"/>
              </w:rPr>
              <w:t>Parnični</w:t>
            </w:r>
          </w:p>
        </w:tc>
        <w:tc>
          <w:tcPr>
            <w:tcW w:type="dxa" w:w="1857"/>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color w:val="000000"/>
                <w:sz w:val="20"/>
                <w:szCs w:val="20"/>
                <w:lang w:eastAsia="hr-HR"/>
              </w:rPr>
            </w:pPr>
            <w:r>
              <w:rPr>
                <w:rFonts w:cstheme="minorHAnsi" w:eastAsia="Times New Roman"/>
                <w:color w:val="000000"/>
                <w:sz w:val="20"/>
                <w:szCs w:val="20"/>
                <w:lang w:eastAsia="hr-HR"/>
              </w:rPr>
              <w:t>Povrv-2624/2017</w:t>
            </w:r>
          </w:p>
        </w:tc>
        <w:tc>
          <w:tcPr>
            <w:tcW w:type="dxa" w:w="1884"/>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hideMark/>
          </w:tcPr>
          <w:p w:rsidRDefault="001E3364" w:rsidR="001E3364">
            <w:pPr>
              <w:jc w:val="center"/>
              <w:rPr>
                <w:rFonts w:cstheme="minorHAnsi"/>
                <w:sz w:val="20"/>
                <w:szCs w:val="20"/>
              </w:rPr>
            </w:pPr>
            <w:r>
              <w:rPr>
                <w:rFonts w:cstheme="minorHAnsi"/>
                <w:sz w:val="20"/>
                <w:szCs w:val="20"/>
              </w:rPr>
              <w:t>Radi isplate</w:t>
            </w:r>
          </w:p>
        </w:tc>
        <w:tc>
          <w:tcPr>
            <w:tcW w:type="dxa" w:w="2558"/>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color w:val="000000"/>
                <w:sz w:val="20"/>
                <w:szCs w:val="20"/>
                <w:lang w:eastAsia="hr-HR"/>
              </w:rPr>
            </w:pPr>
            <w:r>
              <w:rPr>
                <w:rFonts w:cstheme="minorHAnsi" w:eastAsia="Times New Roman"/>
                <w:color w:val="000000"/>
                <w:sz w:val="20"/>
                <w:szCs w:val="20"/>
                <w:lang w:eastAsia="hr-HR"/>
              </w:rPr>
              <w:t>Soke-Hungaria kft</w:t>
            </w:r>
          </w:p>
        </w:tc>
        <w:tc>
          <w:tcPr>
            <w:tcW w:type="dxa" w:w="2333"/>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hideMark/>
          </w:tcPr>
          <w:p w:rsidRDefault="001E3364" w:rsidR="001E3364">
            <w:pPr>
              <w:jc w:val="center"/>
              <w:rPr>
                <w:rFonts w:cstheme="minorHAnsi"/>
                <w:sz w:val="20"/>
                <w:szCs w:val="20"/>
              </w:rPr>
            </w:pPr>
            <w:r>
              <w:rPr>
                <w:rFonts w:cstheme="minorHAnsi"/>
                <w:sz w:val="20"/>
                <w:szCs w:val="20"/>
              </w:rPr>
              <w:t>tuženik</w:t>
            </w:r>
          </w:p>
        </w:tc>
        <w:tc>
          <w:tcPr>
            <w:tcW w:type="dxa" w:w="1550"/>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color w:val="000000"/>
                <w:sz w:val="20"/>
                <w:szCs w:val="20"/>
                <w:lang w:eastAsia="hr-HR"/>
              </w:rPr>
            </w:pPr>
            <w:r>
              <w:rPr>
                <w:rFonts w:cstheme="minorHAnsi" w:eastAsia="Times New Roman"/>
                <w:color w:val="000000"/>
                <w:sz w:val="20"/>
                <w:szCs w:val="20"/>
                <w:lang w:eastAsia="hr-HR"/>
              </w:rPr>
              <w:t>1.127.885,60 kn</w:t>
            </w:r>
          </w:p>
        </w:tc>
      </w:tr>
      <w:tr w:rsidTr="001E3364" w:rsidR="001E3364">
        <w:trPr>
          <w:trHeight w:val="647"/>
          <w:jc w:val="center"/>
        </w:trPr>
        <w:tc>
          <w:tcPr>
            <w:tcW w:type="dxa" w:w="632"/>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color w:val="000000"/>
                <w:sz w:val="20"/>
                <w:szCs w:val="20"/>
                <w:lang w:eastAsia="hr-HR"/>
              </w:rPr>
            </w:pPr>
            <w:r>
              <w:rPr>
                <w:rFonts w:cstheme="minorHAnsi" w:eastAsia="Times New Roman"/>
                <w:color w:val="000000"/>
                <w:sz w:val="20"/>
                <w:szCs w:val="20"/>
                <w:lang w:eastAsia="hr-HR"/>
              </w:rPr>
              <w:t>14.</w:t>
            </w:r>
          </w:p>
        </w:tc>
        <w:tc>
          <w:tcPr>
            <w:tcW w:type="dxa" w:w="2644"/>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color w:val="000000"/>
                <w:sz w:val="20"/>
                <w:szCs w:val="20"/>
                <w:lang w:eastAsia="hr-HR"/>
              </w:rPr>
            </w:pPr>
            <w:r>
              <w:rPr>
                <w:rFonts w:cstheme="minorHAnsi" w:eastAsia="Times New Roman"/>
                <w:color w:val="000000"/>
                <w:sz w:val="20"/>
                <w:szCs w:val="20"/>
                <w:lang w:eastAsia="hr-HR"/>
              </w:rPr>
              <w:t>Trgovački sud Zagreb</w:t>
            </w:r>
          </w:p>
        </w:tc>
        <w:tc>
          <w:tcPr>
            <w:tcW w:type="dxa" w:w="2839"/>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color w:val="000000"/>
                <w:sz w:val="20"/>
                <w:szCs w:val="20"/>
                <w:lang w:eastAsia="hr-HR"/>
              </w:rPr>
            </w:pPr>
            <w:r>
              <w:rPr>
                <w:rFonts w:cstheme="minorHAnsi" w:eastAsia="Times New Roman"/>
                <w:color w:val="000000"/>
                <w:sz w:val="20"/>
                <w:szCs w:val="20"/>
                <w:lang w:eastAsia="hr-HR"/>
              </w:rPr>
              <w:t>Parnični</w:t>
            </w:r>
          </w:p>
        </w:tc>
        <w:tc>
          <w:tcPr>
            <w:tcW w:type="dxa" w:w="1857"/>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color w:val="000000"/>
                <w:sz w:val="20"/>
                <w:szCs w:val="20"/>
                <w:lang w:eastAsia="hr-HR"/>
              </w:rPr>
            </w:pPr>
            <w:r>
              <w:rPr>
                <w:rFonts w:cstheme="minorHAnsi" w:eastAsia="Times New Roman"/>
                <w:color w:val="000000"/>
                <w:sz w:val="20"/>
                <w:szCs w:val="20"/>
                <w:lang w:eastAsia="hr-HR"/>
              </w:rPr>
              <w:t>Povrv-4406/2016</w:t>
            </w:r>
          </w:p>
        </w:tc>
        <w:tc>
          <w:tcPr>
            <w:tcW w:type="dxa" w:w="1884"/>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hideMark/>
          </w:tcPr>
          <w:p w:rsidRDefault="001E3364" w:rsidR="001E3364">
            <w:pPr>
              <w:jc w:val="center"/>
              <w:rPr>
                <w:rFonts w:cstheme="minorHAnsi"/>
                <w:sz w:val="20"/>
                <w:szCs w:val="20"/>
              </w:rPr>
            </w:pPr>
            <w:r>
              <w:rPr>
                <w:rFonts w:cstheme="minorHAnsi"/>
                <w:sz w:val="20"/>
                <w:szCs w:val="20"/>
              </w:rPr>
              <w:t>Radi isplate</w:t>
            </w:r>
          </w:p>
        </w:tc>
        <w:tc>
          <w:tcPr>
            <w:tcW w:type="dxa" w:w="2558"/>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color w:val="000000"/>
                <w:sz w:val="20"/>
                <w:szCs w:val="20"/>
                <w:lang w:eastAsia="hr-HR"/>
              </w:rPr>
            </w:pPr>
            <w:r>
              <w:rPr>
                <w:rFonts w:cstheme="minorHAnsi" w:eastAsia="Times New Roman"/>
                <w:color w:val="000000"/>
                <w:sz w:val="20"/>
                <w:szCs w:val="20"/>
                <w:lang w:eastAsia="hr-HR"/>
              </w:rPr>
              <w:t>Euroherc osiguranje d.d.</w:t>
            </w:r>
          </w:p>
        </w:tc>
        <w:tc>
          <w:tcPr>
            <w:tcW w:type="dxa" w:w="2333"/>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hideMark/>
          </w:tcPr>
          <w:p w:rsidRDefault="001E3364" w:rsidR="001E3364">
            <w:pPr>
              <w:jc w:val="center"/>
              <w:rPr>
                <w:rFonts w:cstheme="minorHAnsi"/>
                <w:sz w:val="20"/>
                <w:szCs w:val="20"/>
              </w:rPr>
            </w:pPr>
            <w:r>
              <w:rPr>
                <w:rFonts w:cstheme="minorHAnsi"/>
                <w:sz w:val="20"/>
                <w:szCs w:val="20"/>
              </w:rPr>
              <w:t>tuženik</w:t>
            </w:r>
          </w:p>
        </w:tc>
        <w:tc>
          <w:tcPr>
            <w:tcW w:type="dxa" w:w="1550"/>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color w:val="000000"/>
                <w:sz w:val="20"/>
                <w:szCs w:val="20"/>
                <w:lang w:eastAsia="hr-HR"/>
              </w:rPr>
            </w:pPr>
            <w:r>
              <w:rPr>
                <w:rFonts w:cstheme="minorHAnsi" w:eastAsia="Times New Roman"/>
                <w:color w:val="000000"/>
                <w:sz w:val="20"/>
                <w:szCs w:val="20"/>
                <w:lang w:eastAsia="hr-HR"/>
              </w:rPr>
              <w:t>2.651,91 kn</w:t>
            </w:r>
          </w:p>
        </w:tc>
      </w:tr>
      <w:tr w:rsidTr="001E3364" w:rsidR="001E3364">
        <w:trPr>
          <w:trHeight w:val="647"/>
          <w:jc w:val="center"/>
        </w:trPr>
        <w:tc>
          <w:tcPr>
            <w:tcW w:type="dxa" w:w="632"/>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vAlign w:val="center"/>
          </w:tcPr>
          <w:p w:rsidRDefault="001E3364" w:rsidR="001E3364">
            <w:pPr>
              <w:spacing w:lineRule="auto" w:line="240" w:after="0"/>
              <w:jc w:val="center"/>
              <w:rPr>
                <w:rFonts w:cstheme="minorHAnsi" w:eastAsia="Times New Roman"/>
                <w:color w:val="000000"/>
                <w:sz w:val="20"/>
                <w:szCs w:val="20"/>
                <w:lang w:eastAsia="hr-HR"/>
              </w:rPr>
            </w:pPr>
          </w:p>
        </w:tc>
        <w:tc>
          <w:tcPr>
            <w:tcW w:type="dxa" w:w="14115"/>
            <w:gridSpan w:val="6"/>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vAlign w:val="center"/>
            <w:hideMark/>
          </w:tcPr>
          <w:p w:rsidRDefault="001E3364" w:rsidR="001E3364">
            <w:pPr>
              <w:jc w:val="center"/>
              <w:rPr>
                <w:rFonts w:cstheme="minorHAnsi"/>
                <w:sz w:val="20"/>
                <w:szCs w:val="20"/>
              </w:rPr>
            </w:pPr>
            <w:r>
              <w:rPr>
                <w:rFonts w:cstheme="minorHAnsi"/>
                <w:b/>
                <w:sz w:val="20"/>
                <w:szCs w:val="20"/>
              </w:rPr>
              <w:t>UKUPNO</w:t>
            </w:r>
            <w:r>
              <w:rPr>
                <w:rFonts w:cstheme="minorHAnsi"/>
                <w:sz w:val="20"/>
                <w:szCs w:val="20"/>
              </w:rPr>
              <w:t>:</w:t>
            </w:r>
          </w:p>
        </w:tc>
        <w:tc>
          <w:tcPr>
            <w:tcW w:type="dxa" w:w="1550"/>
            <w:tcBorders>
              <w:top w:space="0" w:sz="4" w:color="000000" w:val="single"/>
              <w:left w:space="0" w:sz="4" w:color="000000" w:val="single"/>
              <w:bottom w:space="0" w:sz="4" w:color="000000" w:val="single"/>
              <w:right w:space="0" w:sz="4" w:color="000000" w:val="single"/>
            </w:tcBorders>
            <w:tcMar>
              <w:top w:type="dxa" w:w="15"/>
              <w:left w:type="dxa" w:w="108"/>
              <w:bottom w:type="dxa" w:w="15"/>
              <w:right w:type="dxa" w:w="108"/>
            </w:tcMar>
            <w:vAlign w:val="center"/>
            <w:hideMark/>
          </w:tcPr>
          <w:p w:rsidRDefault="001E3364" w:rsidR="001E3364">
            <w:pPr>
              <w:spacing w:lineRule="auto" w:line="240" w:after="0"/>
              <w:jc w:val="center"/>
              <w:rPr>
                <w:rFonts w:cstheme="minorHAnsi" w:eastAsia="Times New Roman"/>
                <w:b/>
                <w:color w:val="000000"/>
                <w:sz w:val="20"/>
                <w:szCs w:val="20"/>
                <w:lang w:eastAsia="hr-HR"/>
              </w:rPr>
            </w:pPr>
            <w:r>
              <w:rPr>
                <w:rFonts w:cstheme="minorHAnsi" w:eastAsia="Times New Roman"/>
                <w:b/>
                <w:color w:val="000000"/>
                <w:sz w:val="20"/>
                <w:szCs w:val="20"/>
                <w:lang w:eastAsia="hr-HR"/>
              </w:rPr>
              <w:t>8.044.302,48</w:t>
            </w:r>
          </w:p>
        </w:tc>
      </w:tr>
    </w:tbl>
    <w:p w:rsidRDefault="001E3364" w:rsidP="001E3364" w:rsidR="001E3364">
      <w:pPr>
        <w:jc w:val="both"/>
        <w:rPr>
          <w:rFonts w:cs="Times New Roman" w:eastAsia="Times New Roman"/>
          <w:color w:val="000000"/>
          <w:sz w:val="24"/>
          <w:szCs w:val="24"/>
          <w:lang w:eastAsia="hr-HR"/>
        </w:rPr>
      </w:pPr>
    </w:p>
    <w:p w:rsidRDefault="001E3364" w:rsidP="001E3364" w:rsidR="001E3364">
      <w:pPr>
        <w:rPr>
          <w:rFonts w:cs="Times New Roman" w:eastAsia="Times New Roman"/>
          <w:color w:val="000000"/>
          <w:sz w:val="24"/>
          <w:szCs w:val="24"/>
          <w:u w:val="single"/>
          <w:lang w:eastAsia="hr-HR"/>
        </w:rPr>
      </w:pPr>
    </w:p>
    <w:p w:rsidRDefault="001E3364" w:rsidP="001E3364" w:rsidR="001E3364">
      <w:pPr>
        <w:spacing w:after="0"/>
        <w:rPr>
          <w:rFonts w:cs="Times New Roman" w:eastAsia="Times New Roman"/>
          <w:color w:val="000000"/>
          <w:sz w:val="24"/>
          <w:szCs w:val="24"/>
          <w:u w:val="single"/>
          <w:lang w:eastAsia="hr-HR"/>
        </w:rPr>
        <w:sectPr w:rsidR="001E3364">
          <w:pgSz w:orient="landscape" w:h="11906" w:w="16838"/>
          <w:pgMar w:gutter="0" w:footer="709" w:header="709" w:left="1418" w:bottom="1418" w:right="1418" w:top="1304"/>
          <w:cols w:space="720"/>
        </w:sectPr>
      </w:pPr>
    </w:p>
    <w:p w:rsidRDefault="001E3364" w:rsidP="001E3364" w:rsidR="001E3364">
      <w:pPr>
        <w:jc w:val="both"/>
        <w:rPr>
          <w:rFonts w:cs="Times New Roman" w:eastAsia="Times New Roman"/>
          <w:sz w:val="24"/>
          <w:szCs w:val="24"/>
          <w:u w:val="single"/>
          <w:lang w:eastAsia="hr-HR"/>
        </w:rPr>
      </w:pPr>
      <w:r>
        <w:rPr>
          <w:rFonts w:cs="Times New Roman" w:eastAsia="Times New Roman"/>
          <w:sz w:val="24"/>
          <w:szCs w:val="24"/>
          <w:u w:val="single"/>
          <w:lang w:eastAsia="hr-HR"/>
        </w:rPr>
        <w:lastRenderedPageBreak/>
        <w:t>Račun dobiti i gubitka</w:t>
      </w:r>
    </w:p>
    <w:p w:rsidRDefault="001E3364" w:rsidP="001E3364" w:rsidR="001E3364">
      <w:pPr>
        <w:jc w:val="both"/>
        <w:rPr>
          <w:rFonts w:cs="Times New Roman" w:eastAsia="Times New Roman"/>
          <w:sz w:val="24"/>
          <w:szCs w:val="24"/>
          <w:lang w:eastAsia="hr-HR"/>
        </w:rPr>
      </w:pPr>
      <w:r>
        <w:rPr>
          <w:rFonts w:cs="Times New Roman" w:eastAsia="Times New Roman"/>
          <w:sz w:val="24"/>
          <w:szCs w:val="24"/>
          <w:lang w:eastAsia="hr-HR"/>
        </w:rPr>
        <w:t>Planirani prihodi Društva sastoje se od:</w:t>
      </w:r>
    </w:p>
    <w:p w:rsidRDefault="001E3364" w:rsidP="001E3364" w:rsidR="001E3364">
      <w:pPr>
        <w:pStyle w:val="Odlomakpopisa"/>
        <w:numPr>
          <w:ilvl w:val="0"/>
          <w:numId w:val="20"/>
        </w:numPr>
        <w:jc w:val="both"/>
        <w:rPr>
          <w:rFonts w:cs="Times New Roman" w:eastAsia="Times New Roman"/>
          <w:sz w:val="24"/>
          <w:szCs w:val="24"/>
          <w:lang w:eastAsia="hr-HR"/>
        </w:rPr>
      </w:pPr>
      <w:r>
        <w:rPr>
          <w:rFonts w:cs="Times New Roman" w:eastAsia="Times New Roman"/>
          <w:sz w:val="24"/>
          <w:szCs w:val="24"/>
          <w:lang w:eastAsia="hr-HR"/>
        </w:rPr>
        <w:t xml:space="preserve">prihoda od prodaje proizvoda- iz asortimana ALUPACK </w:t>
      </w:r>
    </w:p>
    <w:p w:rsidRDefault="001E3364" w:rsidP="001E3364" w:rsidR="001E3364">
      <w:pPr>
        <w:pStyle w:val="Odlomakpopisa"/>
        <w:numPr>
          <w:ilvl w:val="0"/>
          <w:numId w:val="20"/>
        </w:numPr>
        <w:jc w:val="both"/>
        <w:rPr>
          <w:rFonts w:cs="Times New Roman" w:eastAsia="Times New Roman"/>
          <w:sz w:val="24"/>
          <w:szCs w:val="24"/>
          <w:lang w:eastAsia="hr-HR"/>
        </w:rPr>
      </w:pPr>
      <w:r>
        <w:rPr>
          <w:rFonts w:cs="Times New Roman" w:eastAsia="Times New Roman"/>
          <w:sz w:val="24"/>
          <w:szCs w:val="24"/>
          <w:lang w:eastAsia="hr-HR"/>
        </w:rPr>
        <w:t>prihoda od prodaje proizvoda TSA</w:t>
      </w:r>
    </w:p>
    <w:p w:rsidRDefault="001E3364" w:rsidP="001E3364" w:rsidR="001E3364">
      <w:pPr>
        <w:pStyle w:val="Odlomakpopisa"/>
        <w:numPr>
          <w:ilvl w:val="0"/>
          <w:numId w:val="20"/>
        </w:numPr>
        <w:jc w:val="both"/>
        <w:rPr>
          <w:rFonts w:cs="Times New Roman" w:eastAsia="Times New Roman"/>
          <w:sz w:val="24"/>
          <w:szCs w:val="24"/>
          <w:lang w:eastAsia="hr-HR"/>
        </w:rPr>
      </w:pPr>
      <w:r>
        <w:rPr>
          <w:rFonts w:cs="Times New Roman" w:eastAsia="Times New Roman"/>
          <w:sz w:val="24"/>
          <w:szCs w:val="24"/>
          <w:lang w:eastAsia="hr-HR"/>
        </w:rPr>
        <w:t>prihoda od prodaje neprihodujuće dugotrajne imovine</w:t>
      </w:r>
    </w:p>
    <w:p w:rsidRDefault="001E3364" w:rsidP="001E3364" w:rsidR="001E3364">
      <w:pPr>
        <w:jc w:val="both"/>
        <w:rPr>
          <w:rFonts w:cs="Times New Roman" w:eastAsia="Times New Roman"/>
          <w:sz w:val="24"/>
          <w:szCs w:val="24"/>
          <w:lang w:eastAsia="hr-HR"/>
        </w:rPr>
      </w:pPr>
      <w:r>
        <w:rPr>
          <w:rFonts w:cs="Times New Roman" w:eastAsia="Times New Roman"/>
          <w:sz w:val="24"/>
          <w:szCs w:val="24"/>
          <w:lang w:eastAsia="hr-HR"/>
        </w:rPr>
        <w:t>S obzirom na prirodu djelatnosti Društva i činjenicu da je isto registrirano za proizvodnju i prodaju proizvoda za kućanstva troškovi poslovanja sastoje se od materijalnih troškova, troškova osoblja, amortizacije te vanjskih troškova, uglavnom administrativnih troškova upravljanja Društvom.</w:t>
      </w:r>
    </w:p>
    <w:p w:rsidRDefault="001E3364" w:rsidP="001E3364" w:rsidR="001E3364">
      <w:pPr>
        <w:jc w:val="both"/>
        <w:rPr>
          <w:rFonts w:cs="Times New Roman" w:eastAsia="Times New Roman"/>
          <w:color w:val="000000"/>
          <w:sz w:val="24"/>
          <w:szCs w:val="24"/>
          <w:lang w:eastAsia="hr-HR"/>
        </w:rPr>
      </w:pPr>
      <w:r>
        <w:rPr>
          <w:rFonts w:cs="Times New Roman" w:eastAsia="Times New Roman"/>
          <w:color w:val="000000"/>
          <w:sz w:val="24"/>
          <w:szCs w:val="24"/>
          <w:lang w:eastAsia="hr-HR"/>
        </w:rPr>
        <w:t>S obzirom na ostvarene gubitke u 2016., 2017. i 2018. godini, te projekcije realizacije dobiti u narednim godinama, Društvo će u potpunosti iskoristiti "porezni štit" zbog prenesenih poreznih gubitaka te ne očekuje plaćanje poreza na dobit prije 2022. godine.</w:t>
      </w:r>
    </w:p>
    <w:p w:rsidRDefault="001E3364" w:rsidP="001E3364" w:rsidR="001E3364">
      <w:pPr>
        <w:jc w:val="both"/>
        <w:rPr>
          <w:rFonts w:cs="Times New Roman" w:eastAsia="Times New Roman"/>
          <w:color w:val="000000"/>
          <w:sz w:val="24"/>
          <w:szCs w:val="24"/>
          <w:lang w:eastAsia="hr-HR"/>
        </w:rPr>
      </w:pPr>
      <w:r>
        <w:rPr>
          <w:rFonts w:cs="Times New Roman" w:eastAsia="Times New Roman"/>
          <w:color w:val="000000"/>
          <w:sz w:val="24"/>
          <w:szCs w:val="24"/>
          <w:lang w:eastAsia="hr-HR"/>
        </w:rPr>
        <w:t>U skladu s navedenim, planirani financijski izvještaji Društva za razdoblje od 2018. do 2024. su navedeni u nastavku:</w:t>
      </w:r>
    </w:p>
    <w:p w:rsidRDefault="001E3364" w:rsidP="001E3364" w:rsidR="001E3364">
      <w:pPr>
        <w:spacing w:after="0"/>
        <w:rPr>
          <w:rFonts w:cs="Times New Roman" w:eastAsia="Times New Roman"/>
          <w:b/>
          <w:color w:val="000000"/>
          <w:sz w:val="24"/>
          <w:szCs w:val="24"/>
          <w:lang w:eastAsia="hr-HR"/>
        </w:rPr>
        <w:sectPr w:rsidR="001E3364">
          <w:pgSz w:h="16838" w:w="11906"/>
          <w:pgMar w:gutter="0" w:footer="708" w:header="708" w:left="1417" w:bottom="1417" w:right="1417" w:top="1417"/>
          <w:cols w:space="720"/>
        </w:sectPr>
      </w:pPr>
    </w:p>
    <w:p w:rsidRDefault="001E3364" w:rsidP="001E3364" w:rsidR="001E3364">
      <w:pPr>
        <w:spacing w:after="0"/>
        <w:ind w:right="-709"/>
        <w:rPr>
          <w:rFonts w:cs="Times New Roman" w:eastAsia="Times New Roman"/>
          <w:b/>
          <w:color w:val="000000"/>
          <w:sz w:val="24"/>
          <w:szCs w:val="24"/>
          <w:lang w:eastAsia="hr-HR"/>
        </w:rPr>
      </w:pPr>
      <w:r>
        <w:rPr>
          <w:rFonts w:cs="Times New Roman" w:eastAsia="Times New Roman"/>
          <w:b/>
          <w:color w:val="000000"/>
          <w:sz w:val="24"/>
          <w:szCs w:val="24"/>
          <w:lang w:eastAsia="hr-HR"/>
        </w:rPr>
        <w:lastRenderedPageBreak/>
        <w:t>Bilanca</w:t>
      </w:r>
    </w:p>
    <w:tbl>
      <w:tblPr>
        <w:tblW w:type="pct" w:w="5371"/>
        <w:tblInd w:type="dxa" w:w="-431"/>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195"/>
        <w:gridCol w:w="1261"/>
        <w:gridCol w:w="1262"/>
        <w:gridCol w:w="1518"/>
        <w:gridCol w:w="1262"/>
        <w:gridCol w:w="1262"/>
        <w:gridCol w:w="1262"/>
        <w:gridCol w:w="1253"/>
      </w:tblGrid>
      <w:tr w:rsidTr="001E3364" w:rsidR="001E3364">
        <w:trPr>
          <w:trHeight w:val="20"/>
          <w:tblHeader/>
        </w:trPr>
        <w:tc>
          <w:tcPr>
            <w:tcW w:type="pct" w:w="2028"/>
            <w:tcBorders>
              <w:top w:space="0" w:sz="4" w:color="auto" w:val="single"/>
              <w:left w:space="0" w:sz="4" w:color="auto" w:val="single"/>
              <w:bottom w:space="0" w:sz="4" w:color="auto" w:val="single"/>
              <w:right w:space="0" w:sz="4" w:color="auto" w:val="single"/>
            </w:tcBorders>
            <w:shd w:fill="969696" w:color="auto" w:val="clear"/>
            <w:vAlign w:val="center"/>
            <w:hideMark/>
          </w:tcPr>
          <w:p w:rsidRDefault="001E3364" w:rsidR="001E3364">
            <w:pPr>
              <w:spacing w:lineRule="auto" w:line="240" w:after="0"/>
              <w:jc w:val="center"/>
              <w:rPr>
                <w:rFonts w:cs="Calibri" w:eastAsia="Times New Roman" w:hAnsi="Calibri" w:ascii="Calibri"/>
                <w:b/>
                <w:bCs/>
                <w:color w:val="FFFFFF"/>
                <w:sz w:val="16"/>
                <w:szCs w:val="16"/>
                <w:lang w:eastAsia="hr-HR"/>
              </w:rPr>
            </w:pPr>
            <w:r>
              <w:rPr>
                <w:rFonts w:cs="Calibri" w:eastAsia="Times New Roman" w:hAnsi="Calibri" w:ascii="Calibri"/>
                <w:b/>
                <w:bCs/>
                <w:color w:val="FFFFFF"/>
                <w:sz w:val="16"/>
                <w:szCs w:val="16"/>
                <w:lang w:eastAsia="hr-HR"/>
              </w:rPr>
              <w:t>Naziv pozicije</w:t>
            </w:r>
          </w:p>
        </w:tc>
        <w:tc>
          <w:tcPr>
            <w:tcW w:type="pct" w:w="413"/>
            <w:tcBorders>
              <w:top w:space="0" w:sz="4" w:color="auto" w:val="single"/>
              <w:left w:space="0" w:sz="4" w:color="auto" w:val="single"/>
              <w:bottom w:space="0" w:sz="4" w:color="auto" w:val="single"/>
              <w:right w:space="0" w:sz="4" w:color="auto" w:val="single"/>
            </w:tcBorders>
            <w:shd w:fill="969696" w:color="auto" w:val="clear"/>
            <w:vAlign w:val="center"/>
            <w:hideMark/>
          </w:tcPr>
          <w:p w:rsidRDefault="001E3364" w:rsidR="001E3364">
            <w:pPr>
              <w:spacing w:lineRule="auto" w:line="240" w:after="0"/>
              <w:jc w:val="center"/>
              <w:rPr>
                <w:rFonts w:cs="Calibri" w:eastAsia="Times New Roman" w:hAnsi="Calibri" w:ascii="Calibri"/>
                <w:b/>
                <w:bCs/>
                <w:color w:val="FFFFFF"/>
                <w:sz w:val="16"/>
                <w:szCs w:val="16"/>
                <w:lang w:eastAsia="hr-HR"/>
              </w:rPr>
            </w:pPr>
            <w:r>
              <w:rPr>
                <w:rFonts w:cs="Calibri" w:eastAsia="Times New Roman" w:hAnsi="Calibri" w:ascii="Calibri"/>
                <w:b/>
                <w:bCs/>
                <w:color w:val="FFFFFF"/>
                <w:sz w:val="16"/>
                <w:szCs w:val="16"/>
                <w:lang w:eastAsia="hr-HR"/>
              </w:rPr>
              <w:t>31.12.2018.</w:t>
            </w:r>
          </w:p>
        </w:tc>
        <w:tc>
          <w:tcPr>
            <w:tcW w:type="pct" w:w="413"/>
            <w:tcBorders>
              <w:top w:space="0" w:sz="4" w:color="auto" w:val="single"/>
              <w:left w:space="0" w:sz="4" w:color="auto" w:val="single"/>
              <w:bottom w:space="0" w:sz="4" w:color="auto" w:val="single"/>
              <w:right w:space="0" w:sz="4" w:color="auto" w:val="single"/>
            </w:tcBorders>
            <w:shd w:fill="969696" w:color="auto" w:val="clear"/>
            <w:vAlign w:val="center"/>
            <w:hideMark/>
          </w:tcPr>
          <w:p w:rsidRDefault="001E3364" w:rsidR="001E3364">
            <w:pPr>
              <w:spacing w:lineRule="auto" w:line="240" w:after="0"/>
              <w:jc w:val="center"/>
              <w:rPr>
                <w:rFonts w:cs="Calibri" w:eastAsia="Times New Roman" w:hAnsi="Calibri" w:ascii="Calibri"/>
                <w:b/>
                <w:bCs/>
                <w:color w:val="FFFFFF"/>
                <w:sz w:val="16"/>
                <w:szCs w:val="16"/>
                <w:lang w:eastAsia="hr-HR"/>
              </w:rPr>
            </w:pPr>
            <w:r>
              <w:rPr>
                <w:rFonts w:cs="Calibri" w:eastAsia="Times New Roman" w:hAnsi="Calibri" w:ascii="Calibri"/>
                <w:b/>
                <w:bCs/>
                <w:color w:val="FFFFFF"/>
                <w:sz w:val="16"/>
                <w:szCs w:val="16"/>
                <w:lang w:eastAsia="hr-HR"/>
              </w:rPr>
              <w:t>31.12.2019.</w:t>
            </w:r>
          </w:p>
        </w:tc>
        <w:tc>
          <w:tcPr>
            <w:tcW w:type="pct" w:w="497"/>
            <w:tcBorders>
              <w:top w:space="0" w:sz="4" w:color="auto" w:val="single"/>
              <w:left w:space="0" w:sz="4" w:color="auto" w:val="single"/>
              <w:bottom w:space="0" w:sz="4" w:color="auto" w:val="single"/>
              <w:right w:space="0" w:sz="4" w:color="auto" w:val="single"/>
            </w:tcBorders>
            <w:shd w:fill="969696" w:color="auto" w:val="clear"/>
            <w:vAlign w:val="center"/>
            <w:hideMark/>
          </w:tcPr>
          <w:p w:rsidRDefault="001E3364" w:rsidR="001E3364">
            <w:pPr>
              <w:spacing w:lineRule="auto" w:line="240" w:after="0"/>
              <w:jc w:val="center"/>
              <w:rPr>
                <w:rFonts w:cs="Calibri" w:eastAsia="Times New Roman" w:hAnsi="Calibri" w:ascii="Calibri"/>
                <w:b/>
                <w:bCs/>
                <w:color w:val="FFFFFF"/>
                <w:sz w:val="16"/>
                <w:szCs w:val="16"/>
                <w:lang w:eastAsia="hr-HR"/>
              </w:rPr>
            </w:pPr>
            <w:r>
              <w:rPr>
                <w:rFonts w:cs="Calibri" w:eastAsia="Times New Roman" w:hAnsi="Calibri" w:ascii="Calibri"/>
                <w:b/>
                <w:bCs/>
                <w:color w:val="FFFFFF"/>
                <w:sz w:val="16"/>
                <w:szCs w:val="16"/>
                <w:lang w:eastAsia="hr-HR"/>
              </w:rPr>
              <w:t>31.12.2020.</w:t>
            </w:r>
          </w:p>
        </w:tc>
        <w:tc>
          <w:tcPr>
            <w:tcW w:type="pct" w:w="413"/>
            <w:tcBorders>
              <w:top w:space="0" w:sz="4" w:color="auto" w:val="single"/>
              <w:left w:space="0" w:sz="4" w:color="auto" w:val="single"/>
              <w:bottom w:space="0" w:sz="4" w:color="auto" w:val="single"/>
              <w:right w:space="0" w:sz="4" w:color="auto" w:val="single"/>
            </w:tcBorders>
            <w:shd w:fill="969696" w:color="auto" w:val="clear"/>
            <w:vAlign w:val="center"/>
            <w:hideMark/>
          </w:tcPr>
          <w:p w:rsidRDefault="001E3364" w:rsidR="001E3364">
            <w:pPr>
              <w:spacing w:lineRule="auto" w:line="240" w:after="0"/>
              <w:jc w:val="center"/>
              <w:rPr>
                <w:rFonts w:cs="Calibri" w:eastAsia="Times New Roman" w:hAnsi="Calibri" w:ascii="Calibri"/>
                <w:b/>
                <w:bCs/>
                <w:color w:val="FFFFFF"/>
                <w:sz w:val="16"/>
                <w:szCs w:val="16"/>
                <w:lang w:eastAsia="hr-HR"/>
              </w:rPr>
            </w:pPr>
            <w:r>
              <w:rPr>
                <w:rFonts w:cs="Calibri" w:eastAsia="Times New Roman" w:hAnsi="Calibri" w:ascii="Calibri"/>
                <w:b/>
                <w:bCs/>
                <w:color w:val="FFFFFF"/>
                <w:sz w:val="16"/>
                <w:szCs w:val="16"/>
                <w:lang w:eastAsia="hr-HR"/>
              </w:rPr>
              <w:t>31.12.2021.</w:t>
            </w:r>
          </w:p>
        </w:tc>
        <w:tc>
          <w:tcPr>
            <w:tcW w:type="pct" w:w="413"/>
            <w:tcBorders>
              <w:top w:space="0" w:sz="4" w:color="auto" w:val="single"/>
              <w:left w:space="0" w:sz="4" w:color="auto" w:val="single"/>
              <w:bottom w:space="0" w:sz="4" w:color="auto" w:val="single"/>
              <w:right w:space="0" w:sz="4" w:color="auto" w:val="single"/>
            </w:tcBorders>
            <w:shd w:fill="969696" w:color="auto" w:val="clear"/>
            <w:vAlign w:val="center"/>
            <w:hideMark/>
          </w:tcPr>
          <w:p w:rsidRDefault="001E3364" w:rsidR="001E3364">
            <w:pPr>
              <w:spacing w:lineRule="auto" w:line="240" w:after="0"/>
              <w:jc w:val="center"/>
              <w:rPr>
                <w:rFonts w:cs="Calibri" w:eastAsia="Times New Roman" w:hAnsi="Calibri" w:ascii="Calibri"/>
                <w:b/>
                <w:bCs/>
                <w:color w:val="FFFFFF"/>
                <w:sz w:val="16"/>
                <w:szCs w:val="16"/>
                <w:lang w:eastAsia="hr-HR"/>
              </w:rPr>
            </w:pPr>
            <w:r>
              <w:rPr>
                <w:rFonts w:cs="Calibri" w:eastAsia="Times New Roman" w:hAnsi="Calibri" w:ascii="Calibri"/>
                <w:b/>
                <w:bCs/>
                <w:color w:val="FFFFFF"/>
                <w:sz w:val="16"/>
                <w:szCs w:val="16"/>
                <w:lang w:eastAsia="hr-HR"/>
              </w:rPr>
              <w:t>31.12.2022.</w:t>
            </w:r>
          </w:p>
        </w:tc>
        <w:tc>
          <w:tcPr>
            <w:tcW w:type="pct" w:w="413"/>
            <w:tcBorders>
              <w:top w:space="0" w:sz="4" w:color="auto" w:val="single"/>
              <w:left w:space="0" w:sz="4" w:color="auto" w:val="single"/>
              <w:bottom w:space="0" w:sz="4" w:color="auto" w:val="single"/>
              <w:right w:space="0" w:sz="4" w:color="auto" w:val="single"/>
            </w:tcBorders>
            <w:shd w:fill="969696" w:color="auto" w:val="clear"/>
            <w:vAlign w:val="center"/>
            <w:hideMark/>
          </w:tcPr>
          <w:p w:rsidRDefault="001E3364" w:rsidR="001E3364">
            <w:pPr>
              <w:spacing w:lineRule="auto" w:line="240" w:after="0"/>
              <w:jc w:val="center"/>
              <w:rPr>
                <w:rFonts w:cs="Calibri" w:eastAsia="Times New Roman" w:hAnsi="Calibri" w:ascii="Calibri"/>
                <w:b/>
                <w:bCs/>
                <w:color w:val="FFFFFF"/>
                <w:sz w:val="16"/>
                <w:szCs w:val="16"/>
                <w:lang w:eastAsia="hr-HR"/>
              </w:rPr>
            </w:pPr>
            <w:r>
              <w:rPr>
                <w:rFonts w:cs="Calibri" w:eastAsia="Times New Roman" w:hAnsi="Calibri" w:ascii="Calibri"/>
                <w:b/>
                <w:bCs/>
                <w:color w:val="FFFFFF"/>
                <w:sz w:val="16"/>
                <w:szCs w:val="16"/>
                <w:lang w:eastAsia="hr-HR"/>
              </w:rPr>
              <w:t>31.12.2023.</w:t>
            </w:r>
          </w:p>
        </w:tc>
        <w:tc>
          <w:tcPr>
            <w:tcW w:type="pct" w:w="410"/>
            <w:tcBorders>
              <w:top w:space="0" w:sz="4" w:color="auto" w:val="single"/>
              <w:left w:space="0" w:sz="4" w:color="auto" w:val="single"/>
              <w:bottom w:space="0" w:sz="4" w:color="auto" w:val="single"/>
              <w:right w:space="0" w:sz="4" w:color="auto" w:val="single"/>
            </w:tcBorders>
            <w:shd w:fill="969696" w:color="auto" w:val="clear"/>
            <w:vAlign w:val="center"/>
            <w:hideMark/>
          </w:tcPr>
          <w:p w:rsidRDefault="001E3364" w:rsidR="001E3364">
            <w:pPr>
              <w:spacing w:lineRule="auto" w:line="240" w:after="0"/>
              <w:jc w:val="center"/>
              <w:rPr>
                <w:rFonts w:cs="Calibri" w:eastAsia="Times New Roman" w:hAnsi="Calibri" w:ascii="Calibri"/>
                <w:b/>
                <w:bCs/>
                <w:color w:val="FFFFFF"/>
                <w:sz w:val="16"/>
                <w:szCs w:val="16"/>
                <w:lang w:eastAsia="hr-HR"/>
              </w:rPr>
            </w:pPr>
            <w:r>
              <w:rPr>
                <w:rFonts w:cs="Calibri" w:eastAsia="Times New Roman" w:hAnsi="Calibri" w:ascii="Calibri"/>
                <w:b/>
                <w:bCs/>
                <w:color w:val="FFFFFF"/>
                <w:sz w:val="16"/>
                <w:szCs w:val="16"/>
                <w:lang w:eastAsia="hr-HR"/>
              </w:rPr>
              <w:t>31.12.2024.</w:t>
            </w:r>
          </w:p>
        </w:tc>
      </w:tr>
      <w:tr w:rsidTr="001E3364" w:rsidR="001E3364">
        <w:trPr>
          <w:trHeight w:val="20"/>
        </w:trPr>
        <w:tc>
          <w:tcPr>
            <w:tcW w:type="pct" w:w="2028"/>
            <w:tcBorders>
              <w:top w:space="0" w:sz="4" w:color="auto" w:val="single"/>
              <w:left w:space="0" w:sz="4" w:color="auto" w:val="single"/>
              <w:bottom w:space="0" w:sz="4" w:color="auto" w:val="single"/>
              <w:right w:space="0" w:sz="4" w:color="auto" w:val="single"/>
            </w:tcBorders>
            <w:shd w:fill="DCE6F1" w:color="auto" w:val="clear"/>
            <w:vAlign w:val="center"/>
            <w:hideMark/>
          </w:tcPr>
          <w:p w:rsidRDefault="001E3364" w:rsidR="001E3364">
            <w:pPr>
              <w:spacing w:lineRule="auto" w:line="240" w:after="0"/>
              <w:rPr>
                <w:rFonts w:cs="Calibri" w:eastAsia="Times New Roman" w:hAnsi="Calibri" w:ascii="Calibri"/>
                <w:b/>
                <w:bCs/>
                <w:color w:val="000080"/>
                <w:sz w:val="16"/>
                <w:szCs w:val="16"/>
                <w:lang w:eastAsia="hr-HR"/>
              </w:rPr>
            </w:pPr>
            <w:r>
              <w:rPr>
                <w:rFonts w:cs="Calibri" w:eastAsia="Times New Roman" w:hAnsi="Calibri" w:ascii="Calibri"/>
                <w:b/>
                <w:bCs/>
                <w:color w:val="000080"/>
                <w:sz w:val="16"/>
                <w:szCs w:val="16"/>
                <w:lang w:eastAsia="hr-HR"/>
              </w:rPr>
              <w:t>BILANCA</w:t>
            </w:r>
          </w:p>
        </w:tc>
        <w:tc>
          <w:tcPr>
            <w:tcW w:type="pct" w:w="413"/>
            <w:tcBorders>
              <w:top w:space="0" w:sz="4" w:color="auto" w:val="single"/>
              <w:left w:space="0" w:sz="4" w:color="auto" w:val="single"/>
              <w:bottom w:space="0" w:sz="4" w:color="auto" w:val="single"/>
              <w:right w:space="0" w:sz="4" w:color="auto" w:val="single"/>
            </w:tcBorders>
            <w:shd w:fill="DCE6F1" w:color="auto" w:val="clear"/>
            <w:noWrap/>
            <w:vAlign w:val="bottom"/>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w:t>
            </w:r>
          </w:p>
        </w:tc>
        <w:tc>
          <w:tcPr>
            <w:tcW w:type="pct" w:w="413"/>
            <w:tcBorders>
              <w:top w:space="0" w:sz="4" w:color="auto" w:val="single"/>
              <w:left w:space="0" w:sz="4" w:color="auto" w:val="single"/>
              <w:bottom w:space="0" w:sz="4" w:color="auto" w:val="single"/>
              <w:right w:space="0" w:sz="4" w:color="auto" w:val="single"/>
            </w:tcBorders>
            <w:shd w:fill="DCE6F1" w:color="auto" w:val="clear"/>
            <w:noWrap/>
            <w:vAlign w:val="bottom"/>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w:t>
            </w:r>
          </w:p>
        </w:tc>
        <w:tc>
          <w:tcPr>
            <w:tcW w:type="pct" w:w="497"/>
            <w:tcBorders>
              <w:top w:space="0" w:sz="4" w:color="auto" w:val="single"/>
              <w:left w:space="0" w:sz="4" w:color="auto" w:val="single"/>
              <w:bottom w:space="0" w:sz="4" w:color="auto" w:val="single"/>
              <w:right w:space="0" w:sz="4" w:color="auto" w:val="single"/>
            </w:tcBorders>
            <w:shd w:fill="DCE6F1" w:color="auto" w:val="clear"/>
            <w:noWrap/>
            <w:vAlign w:val="bottom"/>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w:t>
            </w:r>
          </w:p>
        </w:tc>
        <w:tc>
          <w:tcPr>
            <w:tcW w:type="pct" w:w="413"/>
            <w:tcBorders>
              <w:top w:space="0" w:sz="4" w:color="auto" w:val="single"/>
              <w:left w:space="0" w:sz="4" w:color="auto" w:val="single"/>
              <w:bottom w:space="0" w:sz="4" w:color="auto" w:val="single"/>
              <w:right w:space="0" w:sz="4" w:color="auto" w:val="single"/>
            </w:tcBorders>
            <w:shd w:fill="DCE6F1" w:color="auto" w:val="clear"/>
            <w:noWrap/>
            <w:vAlign w:val="bottom"/>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w:t>
            </w:r>
          </w:p>
        </w:tc>
        <w:tc>
          <w:tcPr>
            <w:tcW w:type="pct" w:w="413"/>
            <w:tcBorders>
              <w:top w:space="0" w:sz="4" w:color="auto" w:val="single"/>
              <w:left w:space="0" w:sz="4" w:color="auto" w:val="single"/>
              <w:bottom w:space="0" w:sz="4" w:color="auto" w:val="single"/>
              <w:right w:space="0" w:sz="4" w:color="auto" w:val="single"/>
            </w:tcBorders>
            <w:shd w:fill="DCE6F1" w:color="auto" w:val="clear"/>
            <w:noWrap/>
            <w:vAlign w:val="bottom"/>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w:t>
            </w:r>
          </w:p>
        </w:tc>
        <w:tc>
          <w:tcPr>
            <w:tcW w:type="pct" w:w="413"/>
            <w:tcBorders>
              <w:top w:space="0" w:sz="4" w:color="auto" w:val="single"/>
              <w:left w:space="0" w:sz="4" w:color="auto" w:val="single"/>
              <w:bottom w:space="0" w:sz="4" w:color="auto" w:val="single"/>
              <w:right w:space="0" w:sz="4" w:color="auto" w:val="single"/>
            </w:tcBorders>
            <w:shd w:fill="DCE6F1" w:color="auto" w:val="clear"/>
            <w:noWrap/>
            <w:vAlign w:val="bottom"/>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w:t>
            </w:r>
          </w:p>
        </w:tc>
        <w:tc>
          <w:tcPr>
            <w:tcW w:type="pct" w:w="410"/>
            <w:tcBorders>
              <w:top w:space="0" w:sz="4" w:color="auto" w:val="single"/>
              <w:left w:space="0" w:sz="4" w:color="auto" w:val="single"/>
              <w:bottom w:space="0" w:sz="4" w:color="auto" w:val="single"/>
              <w:right w:space="0" w:sz="4" w:color="auto" w:val="single"/>
            </w:tcBorders>
            <w:shd w:fill="DCE6F1" w:color="auto" w:val="clear"/>
            <w:noWrap/>
            <w:vAlign w:val="bottom"/>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w:t>
            </w:r>
          </w:p>
        </w:tc>
      </w:tr>
      <w:tr w:rsidTr="001E3364" w:rsidR="001E3364">
        <w:trPr>
          <w:trHeight w:val="20"/>
        </w:trPr>
        <w:tc>
          <w:tcPr>
            <w:tcW w:type="pct" w:w="2028"/>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b/>
                <w:bCs/>
                <w:color w:val="000080"/>
                <w:sz w:val="16"/>
                <w:szCs w:val="16"/>
                <w:lang w:eastAsia="hr-HR"/>
              </w:rPr>
            </w:pPr>
            <w:r>
              <w:rPr>
                <w:rFonts w:cs="Calibri" w:eastAsia="Times New Roman" w:hAnsi="Calibri" w:ascii="Calibri"/>
                <w:b/>
                <w:bCs/>
                <w:color w:val="000080"/>
                <w:sz w:val="16"/>
                <w:szCs w:val="16"/>
                <w:lang w:eastAsia="hr-HR"/>
              </w:rPr>
              <w:t>AKTIVA</w:t>
            </w:r>
          </w:p>
        </w:tc>
        <w:tc>
          <w:tcPr>
            <w:tcW w:type="pct" w:w="413"/>
            <w:tcBorders>
              <w:top w:space="0" w:sz="4" w:color="auto" w:val="single"/>
              <w:left w:space="0" w:sz="4" w:color="auto" w:val="single"/>
              <w:bottom w:space="0" w:sz="4" w:color="auto" w:val="single"/>
              <w:right w:space="0" w:sz="4" w:color="auto" w:val="single"/>
            </w:tcBorders>
            <w:noWrap/>
            <w:vAlign w:val="bottom"/>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w:t>
            </w:r>
          </w:p>
        </w:tc>
        <w:tc>
          <w:tcPr>
            <w:tcW w:type="pct" w:w="413"/>
            <w:tcBorders>
              <w:top w:space="0" w:sz="4" w:color="auto" w:val="single"/>
              <w:left w:space="0" w:sz="4" w:color="auto" w:val="single"/>
              <w:bottom w:space="0" w:sz="4" w:color="auto" w:val="single"/>
              <w:right w:space="0" w:sz="4" w:color="auto" w:val="single"/>
            </w:tcBorders>
            <w:noWrap/>
            <w:vAlign w:val="bottom"/>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w:t>
            </w:r>
          </w:p>
        </w:tc>
        <w:tc>
          <w:tcPr>
            <w:tcW w:type="pct" w:w="497"/>
            <w:tcBorders>
              <w:top w:space="0" w:sz="4" w:color="auto" w:val="single"/>
              <w:left w:space="0" w:sz="4" w:color="auto" w:val="single"/>
              <w:bottom w:space="0" w:sz="4" w:color="auto" w:val="single"/>
              <w:right w:space="0" w:sz="4" w:color="auto" w:val="single"/>
            </w:tcBorders>
            <w:noWrap/>
            <w:vAlign w:val="bottom"/>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w:t>
            </w:r>
          </w:p>
        </w:tc>
        <w:tc>
          <w:tcPr>
            <w:tcW w:type="pct" w:w="413"/>
            <w:tcBorders>
              <w:top w:space="0" w:sz="4" w:color="auto" w:val="single"/>
              <w:left w:space="0" w:sz="4" w:color="auto" w:val="single"/>
              <w:bottom w:space="0" w:sz="4" w:color="auto" w:val="single"/>
              <w:right w:space="0" w:sz="4" w:color="auto" w:val="single"/>
            </w:tcBorders>
            <w:noWrap/>
            <w:vAlign w:val="bottom"/>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w:t>
            </w:r>
          </w:p>
        </w:tc>
        <w:tc>
          <w:tcPr>
            <w:tcW w:type="pct" w:w="413"/>
            <w:tcBorders>
              <w:top w:space="0" w:sz="4" w:color="auto" w:val="single"/>
              <w:left w:space="0" w:sz="4" w:color="auto" w:val="single"/>
              <w:bottom w:space="0" w:sz="4" w:color="auto" w:val="single"/>
              <w:right w:space="0" w:sz="4" w:color="auto" w:val="single"/>
            </w:tcBorders>
            <w:noWrap/>
            <w:vAlign w:val="bottom"/>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w:t>
            </w:r>
          </w:p>
        </w:tc>
        <w:tc>
          <w:tcPr>
            <w:tcW w:type="pct" w:w="413"/>
            <w:tcBorders>
              <w:top w:space="0" w:sz="4" w:color="auto" w:val="single"/>
              <w:left w:space="0" w:sz="4" w:color="auto" w:val="single"/>
              <w:bottom w:space="0" w:sz="4" w:color="auto" w:val="single"/>
              <w:right w:space="0" w:sz="4" w:color="auto" w:val="single"/>
            </w:tcBorders>
            <w:noWrap/>
            <w:vAlign w:val="bottom"/>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w:t>
            </w:r>
          </w:p>
        </w:tc>
        <w:tc>
          <w:tcPr>
            <w:tcW w:type="pct" w:w="410"/>
            <w:tcBorders>
              <w:top w:space="0" w:sz="4" w:color="auto" w:val="single"/>
              <w:left w:space="0" w:sz="4" w:color="auto" w:val="single"/>
              <w:bottom w:space="0" w:sz="4" w:color="auto" w:val="single"/>
              <w:right w:space="0" w:sz="4" w:color="auto" w:val="single"/>
            </w:tcBorders>
            <w:noWrap/>
            <w:vAlign w:val="bottom"/>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w:t>
            </w:r>
          </w:p>
        </w:tc>
      </w:tr>
      <w:tr w:rsidTr="001E3364" w:rsidR="001E3364">
        <w:trPr>
          <w:trHeight w:val="70"/>
        </w:trPr>
        <w:tc>
          <w:tcPr>
            <w:tcW w:type="pct" w:w="2028"/>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Arial" w:eastAsia="Times New Roman" w:hAnsi="Arial" w:ascii="Arial"/>
                <w:b/>
                <w:bCs/>
                <w:color w:val="333399"/>
                <w:sz w:val="16"/>
                <w:szCs w:val="16"/>
                <w:lang w:eastAsia="hr-HR"/>
              </w:rPr>
            </w:pPr>
            <w:r>
              <w:rPr>
                <w:rFonts w:cs="Arial" w:eastAsia="Times New Roman" w:hAnsi="Arial" w:ascii="Arial"/>
                <w:b/>
                <w:bCs/>
                <w:color w:val="333399"/>
                <w:sz w:val="16"/>
                <w:szCs w:val="16"/>
                <w:lang w:eastAsia="hr-HR"/>
              </w:rPr>
              <w:t>A)  POTRAŽIVANJA ZA UPISANI A NEUPLAĆENI KAPITAL</w:t>
            </w:r>
          </w:p>
        </w:tc>
        <w:tc>
          <w:tcPr>
            <w:tcW w:type="pct" w:w="413"/>
            <w:tcBorders>
              <w:top w:space="0" w:sz="4" w:color="auto" w:val="single"/>
              <w:left w:space="0" w:sz="4" w:color="auto" w:val="single"/>
              <w:bottom w:space="0" w:sz="4" w:color="auto" w:val="single"/>
              <w:right w:space="0" w:sz="4" w:color="auto" w:val="single"/>
            </w:tcBorders>
            <w:noWrap/>
            <w:vAlign w:val="bottom"/>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w:t>
            </w:r>
          </w:p>
        </w:tc>
        <w:tc>
          <w:tcPr>
            <w:tcW w:type="pct" w:w="413"/>
            <w:tcBorders>
              <w:top w:space="0" w:sz="4" w:color="auto" w:val="single"/>
              <w:left w:space="0" w:sz="4" w:color="auto" w:val="single"/>
              <w:bottom w:space="0" w:sz="4" w:color="auto" w:val="single"/>
              <w:right w:space="0" w:sz="4" w:color="auto" w:val="single"/>
            </w:tcBorders>
            <w:noWrap/>
            <w:vAlign w:val="bottom"/>
            <w:hideMark/>
          </w:tcPr>
          <w:p w:rsidRDefault="001E3364" w:rsidR="001E3364">
            <w:pPr>
              <w:spacing w:after="0"/>
              <w:rPr>
                <w:rFonts w:cs="Times New Roman"/>
              </w:rPr>
            </w:pPr>
          </w:p>
        </w:tc>
        <w:tc>
          <w:tcPr>
            <w:tcW w:type="pct" w:w="497"/>
            <w:tcBorders>
              <w:top w:space="0" w:sz="4" w:color="auto" w:val="single"/>
              <w:left w:space="0" w:sz="4" w:color="auto" w:val="single"/>
              <w:bottom w:space="0" w:sz="4" w:color="auto" w:val="single"/>
              <w:right w:space="0" w:sz="4" w:color="auto" w:val="single"/>
            </w:tcBorders>
            <w:noWrap/>
            <w:vAlign w:val="bottom"/>
            <w:hideMark/>
          </w:tcPr>
          <w:p w:rsidRDefault="001E3364" w:rsidR="001E3364">
            <w:pPr>
              <w:spacing w:after="0"/>
              <w:rPr>
                <w:rFonts w:cs="Times New Roman"/>
              </w:rPr>
            </w:pPr>
          </w:p>
        </w:tc>
        <w:tc>
          <w:tcPr>
            <w:tcW w:type="pct" w:w="413"/>
            <w:tcBorders>
              <w:top w:space="0" w:sz="4" w:color="auto" w:val="single"/>
              <w:left w:space="0" w:sz="4" w:color="auto" w:val="single"/>
              <w:bottom w:space="0" w:sz="4" w:color="auto" w:val="single"/>
              <w:right w:space="0" w:sz="4" w:color="auto" w:val="single"/>
            </w:tcBorders>
            <w:noWrap/>
            <w:vAlign w:val="bottom"/>
            <w:hideMark/>
          </w:tcPr>
          <w:p w:rsidRDefault="001E3364" w:rsidR="001E3364">
            <w:pPr>
              <w:spacing w:after="0"/>
              <w:rPr>
                <w:rFonts w:cs="Times New Roman"/>
              </w:rPr>
            </w:pPr>
          </w:p>
        </w:tc>
        <w:tc>
          <w:tcPr>
            <w:tcW w:type="pct" w:w="413"/>
            <w:tcBorders>
              <w:top w:space="0" w:sz="4" w:color="auto" w:val="single"/>
              <w:left w:space="0" w:sz="4" w:color="auto" w:val="single"/>
              <w:bottom w:space="0" w:sz="4" w:color="auto" w:val="single"/>
              <w:right w:space="0" w:sz="4" w:color="auto" w:val="single"/>
            </w:tcBorders>
            <w:noWrap/>
            <w:vAlign w:val="bottom"/>
            <w:hideMark/>
          </w:tcPr>
          <w:p w:rsidRDefault="001E3364" w:rsidR="001E3364">
            <w:pPr>
              <w:spacing w:after="0"/>
              <w:rPr>
                <w:rFonts w:cs="Times New Roman"/>
              </w:rPr>
            </w:pPr>
          </w:p>
        </w:tc>
        <w:tc>
          <w:tcPr>
            <w:tcW w:type="pct" w:w="413"/>
            <w:tcBorders>
              <w:top w:space="0" w:sz="4" w:color="auto" w:val="single"/>
              <w:left w:space="0" w:sz="4" w:color="auto" w:val="single"/>
              <w:bottom w:space="0" w:sz="4" w:color="auto" w:val="single"/>
              <w:right w:space="0" w:sz="4" w:color="auto" w:val="single"/>
            </w:tcBorders>
            <w:noWrap/>
            <w:vAlign w:val="bottom"/>
            <w:hideMark/>
          </w:tcPr>
          <w:p w:rsidRDefault="001E3364" w:rsidR="001E3364">
            <w:pPr>
              <w:spacing w:after="0"/>
              <w:rPr>
                <w:rFonts w:cs="Times New Roman"/>
              </w:rPr>
            </w:pPr>
          </w:p>
        </w:tc>
        <w:tc>
          <w:tcPr>
            <w:tcW w:type="pct" w:w="410"/>
            <w:tcBorders>
              <w:top w:space="0" w:sz="4" w:color="auto" w:val="single"/>
              <w:left w:space="0" w:sz="4" w:color="auto" w:val="single"/>
              <w:bottom w:space="0" w:sz="4" w:color="auto" w:val="single"/>
              <w:right w:space="0" w:sz="4" w:color="auto" w:val="single"/>
            </w:tcBorders>
            <w:noWrap/>
            <w:vAlign w:val="bottom"/>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w:t>
            </w:r>
          </w:p>
        </w:tc>
      </w:tr>
      <w:tr w:rsidTr="001E3364" w:rsidR="001E3364">
        <w:trPr>
          <w:trHeight w:val="20"/>
        </w:trPr>
        <w:tc>
          <w:tcPr>
            <w:tcW w:type="pct" w:w="2028"/>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Arial" w:eastAsia="Times New Roman" w:hAnsi="Arial" w:ascii="Arial"/>
                <w:b/>
                <w:bCs/>
                <w:color w:val="333399"/>
                <w:sz w:val="16"/>
                <w:szCs w:val="16"/>
                <w:lang w:eastAsia="hr-HR"/>
              </w:rPr>
            </w:pPr>
            <w:r>
              <w:rPr>
                <w:rFonts w:cs="Arial" w:eastAsia="Times New Roman" w:hAnsi="Arial" w:ascii="Arial"/>
                <w:b/>
                <w:bCs/>
                <w:color w:val="333399"/>
                <w:sz w:val="16"/>
                <w:szCs w:val="16"/>
                <w:lang w:eastAsia="hr-HR"/>
              </w:rPr>
              <w:t>B)  DUGOTRAJNA IMOVINA</w:t>
            </w:r>
          </w:p>
        </w:tc>
        <w:tc>
          <w:tcPr>
            <w:tcW w:type="pct" w:w="413"/>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87.919.776</w:t>
            </w:r>
          </w:p>
        </w:tc>
        <w:tc>
          <w:tcPr>
            <w:tcW w:type="pct" w:w="413"/>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85.890.276</w:t>
            </w:r>
          </w:p>
        </w:tc>
        <w:tc>
          <w:tcPr>
            <w:tcW w:type="pct" w:w="497"/>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68.533.941</w:t>
            </w:r>
          </w:p>
        </w:tc>
        <w:tc>
          <w:tcPr>
            <w:tcW w:type="pct" w:w="413"/>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58.572.498</w:t>
            </w:r>
          </w:p>
        </w:tc>
        <w:tc>
          <w:tcPr>
            <w:tcW w:type="pct" w:w="413"/>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45.002.647</w:t>
            </w:r>
          </w:p>
        </w:tc>
        <w:tc>
          <w:tcPr>
            <w:tcW w:type="pct" w:w="413"/>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37.632.797</w:t>
            </w:r>
          </w:p>
        </w:tc>
        <w:tc>
          <w:tcPr>
            <w:tcW w:type="pct" w:w="410"/>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30.434.854</w:t>
            </w:r>
          </w:p>
        </w:tc>
      </w:tr>
      <w:tr w:rsidTr="001E3364" w:rsidR="001E3364">
        <w:trPr>
          <w:trHeight w:val="20"/>
        </w:trPr>
        <w:tc>
          <w:tcPr>
            <w:tcW w:type="pct" w:w="2028"/>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Arial" w:eastAsia="Times New Roman" w:hAnsi="Arial" w:ascii="Arial"/>
                <w:color w:val="0000FF"/>
                <w:sz w:val="16"/>
                <w:szCs w:val="16"/>
                <w:lang w:eastAsia="hr-HR"/>
              </w:rPr>
            </w:pPr>
            <w:r>
              <w:rPr>
                <w:rFonts w:cs="Arial" w:eastAsia="Times New Roman" w:hAnsi="Arial" w:ascii="Arial"/>
                <w:color w:val="0000FF"/>
                <w:sz w:val="16"/>
                <w:szCs w:val="16"/>
                <w:lang w:eastAsia="hr-HR"/>
              </w:rPr>
              <w:t>I. NEMATERIJALNA IMOVINA</w:t>
            </w:r>
          </w:p>
        </w:tc>
        <w:tc>
          <w:tcPr>
            <w:tcW w:type="pct" w:w="413"/>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13"/>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97"/>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13"/>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13"/>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13"/>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10"/>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r>
      <w:tr w:rsidTr="001E3364" w:rsidR="001E3364">
        <w:trPr>
          <w:trHeight w:val="20"/>
        </w:trPr>
        <w:tc>
          <w:tcPr>
            <w:tcW w:type="pct" w:w="2028"/>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1. Izdaci za razvoj</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97"/>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0"/>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2028"/>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2. Koncesije, patenti, licencije, robne i uslužne marke, softver</w:t>
            </w:r>
            <w:r>
              <w:rPr>
                <w:rFonts w:cs="Arial" w:eastAsia="Times New Roman" w:hAnsi="Arial" w:ascii="Arial"/>
                <w:sz w:val="16"/>
                <w:szCs w:val="16"/>
                <w:lang w:eastAsia="hr-HR"/>
              </w:rPr>
              <w:br/>
              <w:t xml:space="preserve">        i ostala prava</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97"/>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0"/>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2028"/>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3. Goodwill</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97"/>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0"/>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2028"/>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4. Predujmovi za nabavu nematerijalne imovine</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97"/>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0"/>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2028"/>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5. Nematerijalna imovina u pripremi</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97"/>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0"/>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2028"/>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6. Ostala nematerijalna imovina</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97"/>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0"/>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2028"/>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Arial" w:eastAsia="Times New Roman" w:hAnsi="Arial" w:ascii="Arial"/>
                <w:color w:val="0000FF"/>
                <w:sz w:val="16"/>
                <w:szCs w:val="16"/>
                <w:lang w:eastAsia="hr-HR"/>
              </w:rPr>
            </w:pPr>
            <w:r>
              <w:rPr>
                <w:rFonts w:cs="Arial" w:eastAsia="Times New Roman" w:hAnsi="Arial" w:ascii="Arial"/>
                <w:color w:val="0000FF"/>
                <w:sz w:val="16"/>
                <w:szCs w:val="16"/>
                <w:lang w:eastAsia="hr-HR"/>
              </w:rPr>
              <w:t>II. MATERIJALNA IMOVINA</w:t>
            </w:r>
          </w:p>
        </w:tc>
        <w:tc>
          <w:tcPr>
            <w:tcW w:type="pct" w:w="413"/>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87.919.776</w:t>
            </w:r>
          </w:p>
        </w:tc>
        <w:tc>
          <w:tcPr>
            <w:tcW w:type="pct" w:w="413"/>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85.890.276</w:t>
            </w:r>
          </w:p>
        </w:tc>
        <w:tc>
          <w:tcPr>
            <w:tcW w:type="pct" w:w="497"/>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68.533.941</w:t>
            </w:r>
          </w:p>
        </w:tc>
        <w:tc>
          <w:tcPr>
            <w:tcW w:type="pct" w:w="413"/>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58.572.498</w:t>
            </w:r>
          </w:p>
        </w:tc>
        <w:tc>
          <w:tcPr>
            <w:tcW w:type="pct" w:w="413"/>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45.002.647</w:t>
            </w:r>
          </w:p>
        </w:tc>
        <w:tc>
          <w:tcPr>
            <w:tcW w:type="pct" w:w="413"/>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37.632.797</w:t>
            </w:r>
          </w:p>
        </w:tc>
        <w:tc>
          <w:tcPr>
            <w:tcW w:type="pct" w:w="410"/>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30.434.854</w:t>
            </w:r>
          </w:p>
        </w:tc>
      </w:tr>
      <w:tr w:rsidTr="001E3364" w:rsidR="001E3364">
        <w:trPr>
          <w:trHeight w:val="20"/>
        </w:trPr>
        <w:tc>
          <w:tcPr>
            <w:tcW w:type="pct" w:w="2028"/>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1. Zemljište</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23.165.506</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23.165.506</w:t>
            </w:r>
          </w:p>
        </w:tc>
        <w:tc>
          <w:tcPr>
            <w:tcW w:type="pct" w:w="497"/>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23.165.506</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19.073.914</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9.573.914</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9.573.914</w:t>
            </w:r>
          </w:p>
        </w:tc>
        <w:tc>
          <w:tcPr>
            <w:tcW w:type="pct" w:w="410"/>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9.573.914</w:t>
            </w:r>
          </w:p>
        </w:tc>
      </w:tr>
      <w:tr w:rsidTr="001E3364" w:rsidR="001E3364">
        <w:trPr>
          <w:trHeight w:val="20"/>
        </w:trPr>
        <w:tc>
          <w:tcPr>
            <w:tcW w:type="pct" w:w="2028"/>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2. Građevinski objekti</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55.486.485</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54.557.985</w:t>
            </w:r>
          </w:p>
        </w:tc>
        <w:tc>
          <w:tcPr>
            <w:tcW w:type="pct" w:w="497"/>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39.071.500</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33.071.500</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29.071.500</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23.071.500</w:t>
            </w:r>
          </w:p>
        </w:tc>
        <w:tc>
          <w:tcPr>
            <w:tcW w:type="pct" w:w="410"/>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17.071.500</w:t>
            </w:r>
          </w:p>
        </w:tc>
      </w:tr>
      <w:tr w:rsidTr="001E3364" w:rsidR="001E3364">
        <w:trPr>
          <w:trHeight w:val="20"/>
        </w:trPr>
        <w:tc>
          <w:tcPr>
            <w:tcW w:type="pct" w:w="2028"/>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3. Postrojenja i oprema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3.573.841</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5.922.345</w:t>
            </w:r>
          </w:p>
        </w:tc>
        <w:tc>
          <w:tcPr>
            <w:tcW w:type="pct" w:w="497"/>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4.743.495</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4.564.644</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4.185.794</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3.006.943</w:t>
            </w:r>
          </w:p>
        </w:tc>
        <w:tc>
          <w:tcPr>
            <w:tcW w:type="pct" w:w="410"/>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2.000.000</w:t>
            </w:r>
          </w:p>
        </w:tc>
      </w:tr>
      <w:tr w:rsidTr="001E3364" w:rsidR="001E3364">
        <w:trPr>
          <w:trHeight w:val="20"/>
        </w:trPr>
        <w:tc>
          <w:tcPr>
            <w:tcW w:type="pct" w:w="2028"/>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4. Alati, pogonski inventar i transportna imovina</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2.435.440</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2.244.440</w:t>
            </w:r>
          </w:p>
        </w:tc>
        <w:tc>
          <w:tcPr>
            <w:tcW w:type="pct" w:w="497"/>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1.553.440</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1.862.440</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2.171.440</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1.980.440</w:t>
            </w:r>
          </w:p>
        </w:tc>
        <w:tc>
          <w:tcPr>
            <w:tcW w:type="pct" w:w="410"/>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1.789.440</w:t>
            </w:r>
          </w:p>
        </w:tc>
      </w:tr>
      <w:tr w:rsidTr="001E3364" w:rsidR="001E3364">
        <w:trPr>
          <w:trHeight w:val="20"/>
        </w:trPr>
        <w:tc>
          <w:tcPr>
            <w:tcW w:type="pct" w:w="2028"/>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5. Biološka imovina</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97"/>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0"/>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2028"/>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6. Predujmovi za materijalnu imovinu</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2.800.371</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97"/>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0"/>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2028"/>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7. Materijalna imovina u pripremi</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458.133</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97"/>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0"/>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2028"/>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8. Ostala materijalna imovina</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97"/>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0"/>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2028"/>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9. Ulaganje u nekretnine</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97"/>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0"/>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2028"/>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Arial" w:eastAsia="Times New Roman" w:hAnsi="Arial" w:ascii="Arial"/>
                <w:color w:val="0000FF"/>
                <w:sz w:val="16"/>
                <w:szCs w:val="16"/>
                <w:lang w:eastAsia="hr-HR"/>
              </w:rPr>
            </w:pPr>
            <w:r>
              <w:rPr>
                <w:rFonts w:cs="Arial" w:eastAsia="Times New Roman" w:hAnsi="Arial" w:ascii="Arial"/>
                <w:color w:val="0000FF"/>
                <w:sz w:val="16"/>
                <w:szCs w:val="16"/>
                <w:lang w:eastAsia="hr-HR"/>
              </w:rPr>
              <w:t>III. DUGOTRAJNA FINANCIJSKA IMOVINA</w:t>
            </w:r>
          </w:p>
        </w:tc>
        <w:tc>
          <w:tcPr>
            <w:tcW w:type="pct" w:w="413"/>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13"/>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97"/>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13"/>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13"/>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13"/>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10"/>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r>
      <w:tr w:rsidTr="001E3364" w:rsidR="001E3364">
        <w:trPr>
          <w:trHeight w:val="20"/>
        </w:trPr>
        <w:tc>
          <w:tcPr>
            <w:tcW w:type="pct" w:w="2028"/>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1. Ulaganja u udjele (dionice) poduzetnika unutar grupe</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97"/>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0"/>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2028"/>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2. Ulaganja u ostale vrijednosne papire poduzetnika unutar grupe</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97"/>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0"/>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2028"/>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3. Dani zajmovi, depoziti i slično poduzetnicima unutar grupe</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97"/>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0"/>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2028"/>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4.Ulaganja u udjele (dionice) društava povezanih sudjelujućim  interesom</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97"/>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0"/>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2028"/>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5. Ulaganja u ostale vrijednosne papire društava povezanih sudjelujućim interesom</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97"/>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0"/>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2028"/>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6. Dani zajmovi, depoziti i slično društvima povezanim</w:t>
            </w:r>
            <w:r>
              <w:rPr>
                <w:rFonts w:cs="Arial" w:eastAsia="Times New Roman" w:hAnsi="Arial" w:ascii="Arial"/>
                <w:sz w:val="16"/>
                <w:szCs w:val="16"/>
                <w:lang w:eastAsia="hr-HR"/>
              </w:rPr>
              <w:br/>
              <w:t xml:space="preserve">         sudjelujućim interesom</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97"/>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0"/>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2028"/>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7. Ulaganja u vrijednosne papire</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97"/>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0"/>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2028"/>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8. Dani zajmovi, depoziti i slično</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97"/>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0"/>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2028"/>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9. Ostala ulaganja koja se obračunavaju metodom udjela</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97"/>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0"/>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2028"/>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10.  Ostala dugotrajna financijska imovina</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97"/>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0"/>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2028"/>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Arial" w:eastAsia="Times New Roman" w:hAnsi="Arial" w:ascii="Arial"/>
                <w:color w:val="0000FF"/>
                <w:sz w:val="16"/>
                <w:szCs w:val="16"/>
                <w:lang w:eastAsia="hr-HR"/>
              </w:rPr>
            </w:pPr>
            <w:r>
              <w:rPr>
                <w:rFonts w:cs="Arial" w:eastAsia="Times New Roman" w:hAnsi="Arial" w:ascii="Arial"/>
                <w:color w:val="0000FF"/>
                <w:sz w:val="16"/>
                <w:szCs w:val="16"/>
                <w:lang w:eastAsia="hr-HR"/>
              </w:rPr>
              <w:t>IV. POTRAŽIVANJA</w:t>
            </w:r>
          </w:p>
        </w:tc>
        <w:tc>
          <w:tcPr>
            <w:tcW w:type="pct" w:w="413"/>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13"/>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97"/>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13"/>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13"/>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13"/>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10"/>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r>
      <w:tr w:rsidTr="001E3364" w:rsidR="001E3364">
        <w:trPr>
          <w:trHeight w:val="20"/>
        </w:trPr>
        <w:tc>
          <w:tcPr>
            <w:tcW w:type="pct" w:w="2028"/>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1. Potraživanja od poduzetnika unutar grupe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97"/>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0"/>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2028"/>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lastRenderedPageBreak/>
              <w:t xml:space="preserve">     2. Potraživanja od društava povezanih sudjelujućim interesom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97"/>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0"/>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2028"/>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3. Potraživanja od kupaca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97"/>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0"/>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2028"/>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4. Ostala potraživanja</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97"/>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0"/>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2028"/>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Arial" w:eastAsia="Times New Roman" w:hAnsi="Arial" w:ascii="Arial"/>
                <w:color w:val="0000FF"/>
                <w:sz w:val="16"/>
                <w:szCs w:val="16"/>
                <w:lang w:eastAsia="hr-HR"/>
              </w:rPr>
            </w:pPr>
            <w:r>
              <w:rPr>
                <w:rFonts w:cs="Arial" w:eastAsia="Times New Roman" w:hAnsi="Arial" w:ascii="Arial"/>
                <w:color w:val="0000FF"/>
                <w:sz w:val="16"/>
                <w:szCs w:val="16"/>
                <w:lang w:eastAsia="hr-HR"/>
              </w:rPr>
              <w:t>V. ODGOĐENA POREZNA IMOVINA</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97"/>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0"/>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2028"/>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Arial" w:eastAsia="Times New Roman" w:hAnsi="Arial" w:ascii="Arial"/>
                <w:color w:val="0000FF"/>
                <w:sz w:val="16"/>
                <w:szCs w:val="16"/>
                <w:lang w:eastAsia="hr-HR"/>
              </w:rPr>
            </w:pPr>
            <w:r>
              <w:rPr>
                <w:rFonts w:cs="Arial" w:eastAsia="Times New Roman" w:hAnsi="Arial" w:ascii="Arial"/>
                <w:color w:val="0000FF"/>
                <w:sz w:val="16"/>
                <w:szCs w:val="16"/>
                <w:lang w:eastAsia="hr-HR"/>
              </w:rPr>
              <w:t>C)  KRATKOTRAJNA IMOVINA</w:t>
            </w:r>
          </w:p>
        </w:tc>
        <w:tc>
          <w:tcPr>
            <w:tcW w:type="pct" w:w="413"/>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31.712.038</w:t>
            </w:r>
          </w:p>
        </w:tc>
        <w:tc>
          <w:tcPr>
            <w:tcW w:type="pct" w:w="413"/>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35.009.635</w:t>
            </w:r>
          </w:p>
        </w:tc>
        <w:tc>
          <w:tcPr>
            <w:tcW w:type="pct" w:w="497"/>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45.250.000</w:t>
            </w:r>
          </w:p>
        </w:tc>
        <w:tc>
          <w:tcPr>
            <w:tcW w:type="pct" w:w="413"/>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37.250.000</w:t>
            </w:r>
          </w:p>
        </w:tc>
        <w:tc>
          <w:tcPr>
            <w:tcW w:type="pct" w:w="413"/>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38.250.000</w:t>
            </w:r>
          </w:p>
        </w:tc>
        <w:tc>
          <w:tcPr>
            <w:tcW w:type="pct" w:w="413"/>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37.750.000</w:t>
            </w:r>
          </w:p>
        </w:tc>
        <w:tc>
          <w:tcPr>
            <w:tcW w:type="pct" w:w="410"/>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37.250.000</w:t>
            </w:r>
          </w:p>
        </w:tc>
      </w:tr>
      <w:tr w:rsidTr="001E3364" w:rsidR="001E3364">
        <w:trPr>
          <w:trHeight w:val="20"/>
        </w:trPr>
        <w:tc>
          <w:tcPr>
            <w:tcW w:type="pct" w:w="2028"/>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Arial" w:eastAsia="Times New Roman" w:hAnsi="Arial" w:ascii="Arial"/>
                <w:color w:val="0000FF"/>
                <w:sz w:val="16"/>
                <w:szCs w:val="16"/>
                <w:lang w:eastAsia="hr-HR"/>
              </w:rPr>
            </w:pPr>
            <w:r>
              <w:rPr>
                <w:rFonts w:cs="Arial" w:eastAsia="Times New Roman" w:hAnsi="Arial" w:ascii="Arial"/>
                <w:color w:val="0000FF"/>
                <w:sz w:val="16"/>
                <w:szCs w:val="16"/>
                <w:lang w:eastAsia="hr-HR"/>
              </w:rPr>
              <w:t>I. ZALIHE</w:t>
            </w:r>
          </w:p>
        </w:tc>
        <w:tc>
          <w:tcPr>
            <w:tcW w:type="pct" w:w="413"/>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20.258.321</w:t>
            </w:r>
          </w:p>
        </w:tc>
        <w:tc>
          <w:tcPr>
            <w:tcW w:type="pct" w:w="413"/>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21.058.321</w:t>
            </w:r>
          </w:p>
        </w:tc>
        <w:tc>
          <w:tcPr>
            <w:tcW w:type="pct" w:w="497"/>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22.650.000</w:t>
            </w:r>
          </w:p>
        </w:tc>
        <w:tc>
          <w:tcPr>
            <w:tcW w:type="pct" w:w="413"/>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22.150.000</w:t>
            </w:r>
          </w:p>
        </w:tc>
        <w:tc>
          <w:tcPr>
            <w:tcW w:type="pct" w:w="413"/>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24.150.000</w:t>
            </w:r>
          </w:p>
        </w:tc>
        <w:tc>
          <w:tcPr>
            <w:tcW w:type="pct" w:w="413"/>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23.150.000</w:t>
            </w:r>
          </w:p>
        </w:tc>
        <w:tc>
          <w:tcPr>
            <w:tcW w:type="pct" w:w="410"/>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22.650.000</w:t>
            </w:r>
          </w:p>
        </w:tc>
      </w:tr>
      <w:tr w:rsidTr="001E3364" w:rsidR="001E3364">
        <w:trPr>
          <w:trHeight w:val="20"/>
        </w:trPr>
        <w:tc>
          <w:tcPr>
            <w:tcW w:type="pct" w:w="2028"/>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1. Sirovine i materijal</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12.000.000</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13.500.000</w:t>
            </w:r>
          </w:p>
        </w:tc>
        <w:tc>
          <w:tcPr>
            <w:tcW w:type="pct" w:w="497"/>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14.000.000</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14.000.000</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15.000.000</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15.000.000</w:t>
            </w:r>
          </w:p>
        </w:tc>
        <w:tc>
          <w:tcPr>
            <w:tcW w:type="pct" w:w="410"/>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15.000.000</w:t>
            </w:r>
          </w:p>
        </w:tc>
      </w:tr>
      <w:tr w:rsidTr="001E3364" w:rsidR="001E3364">
        <w:trPr>
          <w:trHeight w:val="20"/>
        </w:trPr>
        <w:tc>
          <w:tcPr>
            <w:tcW w:type="pct" w:w="2028"/>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2. Proizvodnja u tijeku</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300.000</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300.000</w:t>
            </w:r>
          </w:p>
        </w:tc>
        <w:tc>
          <w:tcPr>
            <w:tcW w:type="pct" w:w="497"/>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350.000</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350.000</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350.000</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350.000</w:t>
            </w:r>
          </w:p>
        </w:tc>
        <w:tc>
          <w:tcPr>
            <w:tcW w:type="pct" w:w="410"/>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350.000</w:t>
            </w:r>
          </w:p>
        </w:tc>
      </w:tr>
      <w:tr w:rsidTr="001E3364" w:rsidR="001E3364">
        <w:trPr>
          <w:trHeight w:val="20"/>
        </w:trPr>
        <w:tc>
          <w:tcPr>
            <w:tcW w:type="pct" w:w="2028"/>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3. Gotovi proizvodi</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2.000.000</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2.500.000</w:t>
            </w:r>
          </w:p>
        </w:tc>
        <w:tc>
          <w:tcPr>
            <w:tcW w:type="pct" w:w="497"/>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3.000.000</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3.500.000</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4.500.000</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4.500.000</w:t>
            </w:r>
          </w:p>
        </w:tc>
        <w:tc>
          <w:tcPr>
            <w:tcW w:type="pct" w:w="410"/>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4.500.000</w:t>
            </w:r>
          </w:p>
        </w:tc>
      </w:tr>
      <w:tr w:rsidTr="001E3364" w:rsidR="001E3364">
        <w:trPr>
          <w:trHeight w:val="20"/>
        </w:trPr>
        <w:tc>
          <w:tcPr>
            <w:tcW w:type="pct" w:w="2028"/>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4. Trgovačka roba</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4.958.321</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3.958.321</w:t>
            </w:r>
          </w:p>
        </w:tc>
        <w:tc>
          <w:tcPr>
            <w:tcW w:type="pct" w:w="497"/>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4.500.000</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3.500.000</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3.500.000</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2.500.000</w:t>
            </w:r>
          </w:p>
        </w:tc>
        <w:tc>
          <w:tcPr>
            <w:tcW w:type="pct" w:w="410"/>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2.000.000</w:t>
            </w:r>
          </w:p>
        </w:tc>
      </w:tr>
      <w:tr w:rsidTr="001E3364" w:rsidR="001E3364">
        <w:trPr>
          <w:trHeight w:val="20"/>
        </w:trPr>
        <w:tc>
          <w:tcPr>
            <w:tcW w:type="pct" w:w="2028"/>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5. Predujmovi za zalihe</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1.000.000</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800.000</w:t>
            </w:r>
          </w:p>
        </w:tc>
        <w:tc>
          <w:tcPr>
            <w:tcW w:type="pct" w:w="497"/>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800.000</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800.000</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800.000</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800.000</w:t>
            </w:r>
          </w:p>
        </w:tc>
        <w:tc>
          <w:tcPr>
            <w:tcW w:type="pct" w:w="410"/>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800.000</w:t>
            </w:r>
          </w:p>
        </w:tc>
      </w:tr>
      <w:tr w:rsidTr="001E3364" w:rsidR="001E3364">
        <w:trPr>
          <w:trHeight w:val="20"/>
        </w:trPr>
        <w:tc>
          <w:tcPr>
            <w:tcW w:type="pct" w:w="2028"/>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6. Dugotrajna imovina namijenjena prodaji</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97"/>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0"/>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2028"/>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7. Biološka imovina</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97"/>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0"/>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2028"/>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Arial" w:eastAsia="Times New Roman" w:hAnsi="Arial" w:ascii="Arial"/>
                <w:color w:val="0000FF"/>
                <w:sz w:val="16"/>
                <w:szCs w:val="16"/>
                <w:lang w:eastAsia="hr-HR"/>
              </w:rPr>
            </w:pPr>
            <w:r>
              <w:rPr>
                <w:rFonts w:cs="Arial" w:eastAsia="Times New Roman" w:hAnsi="Arial" w:ascii="Arial"/>
                <w:color w:val="0000FF"/>
                <w:sz w:val="16"/>
                <w:szCs w:val="16"/>
                <w:lang w:eastAsia="hr-HR"/>
              </w:rPr>
              <w:t>II. POTRAŽIVANJA</w:t>
            </w:r>
          </w:p>
        </w:tc>
        <w:tc>
          <w:tcPr>
            <w:tcW w:type="pct" w:w="413"/>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11.100.000</w:t>
            </w:r>
          </w:p>
        </w:tc>
        <w:tc>
          <w:tcPr>
            <w:tcW w:type="pct" w:w="413"/>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13.100.000</w:t>
            </w:r>
          </w:p>
        </w:tc>
        <w:tc>
          <w:tcPr>
            <w:tcW w:type="pct" w:w="497"/>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18.600.000</w:t>
            </w:r>
          </w:p>
        </w:tc>
        <w:tc>
          <w:tcPr>
            <w:tcW w:type="pct" w:w="413"/>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14.100.000</w:t>
            </w:r>
          </w:p>
        </w:tc>
        <w:tc>
          <w:tcPr>
            <w:tcW w:type="pct" w:w="413"/>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13.100.000</w:t>
            </w:r>
          </w:p>
        </w:tc>
        <w:tc>
          <w:tcPr>
            <w:tcW w:type="pct" w:w="413"/>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13.100.000</w:t>
            </w:r>
          </w:p>
        </w:tc>
        <w:tc>
          <w:tcPr>
            <w:tcW w:type="pct" w:w="410"/>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13.100.000</w:t>
            </w:r>
          </w:p>
        </w:tc>
      </w:tr>
      <w:tr w:rsidTr="001E3364" w:rsidR="001E3364">
        <w:trPr>
          <w:trHeight w:val="20"/>
        </w:trPr>
        <w:tc>
          <w:tcPr>
            <w:tcW w:type="pct" w:w="2028"/>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1. Potraživanja od poduzetnika unutar grupe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97"/>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0"/>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2028"/>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2. Potraživanja od društava povezanih sudjelujućim interesom</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97"/>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0"/>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2028"/>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3. Potraživanja od kupaca</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8.000.000</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10.000.000</w:t>
            </w:r>
          </w:p>
        </w:tc>
        <w:tc>
          <w:tcPr>
            <w:tcW w:type="pct" w:w="497"/>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12.000.000</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12.000.000</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13.000.000</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13.000.000</w:t>
            </w:r>
          </w:p>
        </w:tc>
        <w:tc>
          <w:tcPr>
            <w:tcW w:type="pct" w:w="410"/>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13.000.000</w:t>
            </w:r>
          </w:p>
        </w:tc>
      </w:tr>
      <w:tr w:rsidTr="001E3364" w:rsidR="001E3364">
        <w:trPr>
          <w:trHeight w:val="20"/>
        </w:trPr>
        <w:tc>
          <w:tcPr>
            <w:tcW w:type="pct" w:w="2028"/>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4. Potraživanja od zaposlenika i članova poduzetnika</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97"/>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0"/>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2028"/>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5. Potraživanja od države i drugih institucija</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100.000</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100.000</w:t>
            </w:r>
          </w:p>
        </w:tc>
        <w:tc>
          <w:tcPr>
            <w:tcW w:type="pct" w:w="497"/>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100.000</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100.000</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100.000</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100.000</w:t>
            </w:r>
          </w:p>
        </w:tc>
        <w:tc>
          <w:tcPr>
            <w:tcW w:type="pct" w:w="410"/>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100.000</w:t>
            </w:r>
          </w:p>
        </w:tc>
      </w:tr>
      <w:tr w:rsidTr="001E3364" w:rsidR="001E3364">
        <w:trPr>
          <w:trHeight w:val="20"/>
        </w:trPr>
        <w:tc>
          <w:tcPr>
            <w:tcW w:type="pct" w:w="2028"/>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6. Ostala potraživanja</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3.000.000</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3.000.000</w:t>
            </w:r>
          </w:p>
        </w:tc>
        <w:tc>
          <w:tcPr>
            <w:tcW w:type="pct" w:w="497"/>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6.500.000</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2.000.000</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0"/>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2028"/>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Arial" w:eastAsia="Times New Roman" w:hAnsi="Arial" w:ascii="Arial"/>
                <w:color w:val="0000FF"/>
                <w:sz w:val="16"/>
                <w:szCs w:val="16"/>
                <w:lang w:eastAsia="hr-HR"/>
              </w:rPr>
            </w:pPr>
            <w:r>
              <w:rPr>
                <w:rFonts w:cs="Arial" w:eastAsia="Times New Roman" w:hAnsi="Arial" w:ascii="Arial"/>
                <w:color w:val="0000FF"/>
                <w:sz w:val="16"/>
                <w:szCs w:val="16"/>
                <w:lang w:eastAsia="hr-HR"/>
              </w:rPr>
              <w:t>III. KRATKOTRAJNA FINANCIJSKA IMOVINA</w:t>
            </w:r>
          </w:p>
        </w:tc>
        <w:tc>
          <w:tcPr>
            <w:tcW w:type="pct" w:w="413"/>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13"/>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97"/>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13"/>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13"/>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13"/>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10"/>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r>
      <w:tr w:rsidTr="001E3364" w:rsidR="001E3364">
        <w:trPr>
          <w:trHeight w:val="20"/>
        </w:trPr>
        <w:tc>
          <w:tcPr>
            <w:tcW w:type="pct" w:w="2028"/>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1. Ulaganja u udjele (dionice) poduzetnika unutar grupe</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97"/>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0"/>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2028"/>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2. Ulaganja u ostale vrijednosne papire poduzetnika unutar grupe</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97"/>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0"/>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2028"/>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3. Dani zajmovi, depoziti i slično poduzetnicima unutar grupe</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97"/>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0"/>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2028"/>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4. Ulaganja u udjele (dionice) društava povezanih</w:t>
            </w:r>
            <w:r>
              <w:rPr>
                <w:rFonts w:cs="Calibri" w:eastAsia="Times New Roman" w:hAnsi="Calibri" w:ascii="Calibri"/>
                <w:sz w:val="16"/>
                <w:szCs w:val="16"/>
                <w:lang w:eastAsia="hr-HR"/>
              </w:rPr>
              <w:br/>
              <w:t xml:space="preserve">         sudjelujućim interesom</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97"/>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0"/>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2028"/>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5. Ulaganja u ostale vrijednosne papire društava povezanih</w:t>
            </w:r>
            <w:r>
              <w:rPr>
                <w:rFonts w:cs="Calibri" w:eastAsia="Times New Roman" w:hAnsi="Calibri" w:ascii="Calibri"/>
                <w:sz w:val="16"/>
                <w:szCs w:val="16"/>
                <w:lang w:eastAsia="hr-HR"/>
              </w:rPr>
              <w:br/>
              <w:t xml:space="preserve">         sudjelujućim interesom</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97"/>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0"/>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2028"/>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6. Dani zajmovi, depoziti i slično društvima povezanim</w:t>
            </w:r>
            <w:r>
              <w:rPr>
                <w:rFonts w:cs="Calibri" w:eastAsia="Times New Roman" w:hAnsi="Calibri" w:ascii="Calibri"/>
                <w:sz w:val="16"/>
                <w:szCs w:val="16"/>
                <w:lang w:eastAsia="hr-HR"/>
              </w:rPr>
              <w:br/>
              <w:t xml:space="preserve">         sudjelujućim interesom</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97"/>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0"/>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2028"/>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7. Ulaganja u vrijednosne papire</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97"/>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0"/>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2028"/>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8. Dani zajmovi, depoziti i slično</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97"/>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0"/>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2028"/>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9. Ostala financijska imovina</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97"/>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0"/>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2028"/>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Arial" w:eastAsia="Times New Roman" w:hAnsi="Arial" w:ascii="Arial"/>
                <w:color w:val="0000FF"/>
                <w:sz w:val="16"/>
                <w:szCs w:val="16"/>
                <w:lang w:eastAsia="hr-HR"/>
              </w:rPr>
            </w:pPr>
            <w:r>
              <w:rPr>
                <w:rFonts w:cs="Arial" w:eastAsia="Times New Roman" w:hAnsi="Arial" w:ascii="Arial"/>
                <w:color w:val="0000FF"/>
                <w:sz w:val="16"/>
                <w:szCs w:val="16"/>
                <w:lang w:eastAsia="hr-HR"/>
              </w:rPr>
              <w:t>IV. NOVAC U BANCI I BLAGAJNI</w:t>
            </w:r>
          </w:p>
        </w:tc>
        <w:tc>
          <w:tcPr>
            <w:tcW w:type="pct" w:w="413"/>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353.717</w:t>
            </w:r>
          </w:p>
        </w:tc>
        <w:tc>
          <w:tcPr>
            <w:tcW w:type="pct" w:w="413"/>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851.314</w:t>
            </w:r>
          </w:p>
        </w:tc>
        <w:tc>
          <w:tcPr>
            <w:tcW w:type="pct" w:w="497"/>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4.000.000</w:t>
            </w:r>
          </w:p>
        </w:tc>
        <w:tc>
          <w:tcPr>
            <w:tcW w:type="pct" w:w="413"/>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1.000.000</w:t>
            </w:r>
          </w:p>
        </w:tc>
        <w:tc>
          <w:tcPr>
            <w:tcW w:type="pct" w:w="413"/>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1.000.000</w:t>
            </w:r>
          </w:p>
        </w:tc>
        <w:tc>
          <w:tcPr>
            <w:tcW w:type="pct" w:w="413"/>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1.500.000</w:t>
            </w:r>
          </w:p>
        </w:tc>
        <w:tc>
          <w:tcPr>
            <w:tcW w:type="pct" w:w="410"/>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1.500.000</w:t>
            </w:r>
          </w:p>
        </w:tc>
      </w:tr>
      <w:tr w:rsidTr="001E3364" w:rsidR="001E3364">
        <w:trPr>
          <w:trHeight w:val="20"/>
        </w:trPr>
        <w:tc>
          <w:tcPr>
            <w:tcW w:type="pct" w:w="2028"/>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Arial" w:eastAsia="Times New Roman" w:hAnsi="Arial" w:ascii="Arial"/>
                <w:color w:val="0000FF"/>
                <w:sz w:val="16"/>
                <w:szCs w:val="16"/>
                <w:lang w:eastAsia="hr-HR"/>
              </w:rPr>
            </w:pPr>
            <w:r>
              <w:rPr>
                <w:rFonts w:cs="Arial" w:eastAsia="Times New Roman" w:hAnsi="Arial" w:ascii="Arial"/>
                <w:color w:val="0000FF"/>
                <w:sz w:val="16"/>
                <w:szCs w:val="16"/>
                <w:lang w:eastAsia="hr-HR"/>
              </w:rPr>
              <w:t>D)  PLAĆENI TROŠKOVI BUDUĆEG RAZDOBLJA I OBRAČUNATI PRIHODI</w:t>
            </w:r>
          </w:p>
        </w:tc>
        <w:tc>
          <w:tcPr>
            <w:tcW w:type="pct" w:w="413"/>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13"/>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97"/>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13"/>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13"/>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13"/>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10"/>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r>
      <w:tr w:rsidTr="001E3364" w:rsidR="001E3364">
        <w:trPr>
          <w:trHeight w:val="20"/>
        </w:trPr>
        <w:tc>
          <w:tcPr>
            <w:tcW w:type="pct" w:w="2028"/>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Arial" w:eastAsia="Times New Roman" w:hAnsi="Arial" w:ascii="Arial"/>
                <w:color w:val="0000FF"/>
                <w:sz w:val="16"/>
                <w:szCs w:val="16"/>
                <w:lang w:eastAsia="hr-HR"/>
              </w:rPr>
            </w:pPr>
            <w:r>
              <w:rPr>
                <w:rFonts w:cs="Arial" w:eastAsia="Times New Roman" w:hAnsi="Arial" w:ascii="Arial"/>
                <w:color w:val="0000FF"/>
                <w:sz w:val="16"/>
                <w:szCs w:val="16"/>
                <w:lang w:eastAsia="hr-HR"/>
              </w:rPr>
              <w:t>E)  UKUPNO AKTIVA</w:t>
            </w:r>
          </w:p>
        </w:tc>
        <w:tc>
          <w:tcPr>
            <w:tcW w:type="pct" w:w="413"/>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119.631.814</w:t>
            </w:r>
          </w:p>
        </w:tc>
        <w:tc>
          <w:tcPr>
            <w:tcW w:type="pct" w:w="413"/>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120.899.911</w:t>
            </w:r>
          </w:p>
        </w:tc>
        <w:tc>
          <w:tcPr>
            <w:tcW w:type="pct" w:w="497"/>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113.783.941</w:t>
            </w:r>
          </w:p>
        </w:tc>
        <w:tc>
          <w:tcPr>
            <w:tcW w:type="pct" w:w="413"/>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95.822.498</w:t>
            </w:r>
          </w:p>
        </w:tc>
        <w:tc>
          <w:tcPr>
            <w:tcW w:type="pct" w:w="413"/>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83.252.647</w:t>
            </w:r>
          </w:p>
        </w:tc>
        <w:tc>
          <w:tcPr>
            <w:tcW w:type="pct" w:w="413"/>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75.382.797</w:t>
            </w:r>
          </w:p>
        </w:tc>
        <w:tc>
          <w:tcPr>
            <w:tcW w:type="pct" w:w="410"/>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67.684.854</w:t>
            </w:r>
          </w:p>
        </w:tc>
      </w:tr>
      <w:tr w:rsidTr="001E3364" w:rsidR="001E3364">
        <w:trPr>
          <w:trHeight w:val="20"/>
        </w:trPr>
        <w:tc>
          <w:tcPr>
            <w:tcW w:type="pct" w:w="2028"/>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Arial" w:eastAsia="Times New Roman" w:hAnsi="Arial" w:ascii="Arial"/>
                <w:color w:val="0000FF"/>
                <w:sz w:val="16"/>
                <w:szCs w:val="16"/>
                <w:lang w:eastAsia="hr-HR"/>
              </w:rPr>
            </w:pPr>
            <w:r>
              <w:rPr>
                <w:rFonts w:cs="Arial" w:eastAsia="Times New Roman" w:hAnsi="Arial" w:ascii="Arial"/>
                <w:color w:val="0000FF"/>
                <w:sz w:val="16"/>
                <w:szCs w:val="16"/>
                <w:lang w:eastAsia="hr-HR"/>
              </w:rPr>
              <w:t>F)  IZVANBILANČNI ZAPISI</w:t>
            </w:r>
          </w:p>
        </w:tc>
        <w:tc>
          <w:tcPr>
            <w:tcW w:type="pct" w:w="413"/>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w:t>
            </w:r>
          </w:p>
        </w:tc>
        <w:tc>
          <w:tcPr>
            <w:tcW w:type="pct" w:w="413"/>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w:t>
            </w:r>
          </w:p>
        </w:tc>
        <w:tc>
          <w:tcPr>
            <w:tcW w:type="pct" w:w="497"/>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w:t>
            </w:r>
          </w:p>
        </w:tc>
        <w:tc>
          <w:tcPr>
            <w:tcW w:type="pct" w:w="413"/>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w:t>
            </w:r>
          </w:p>
        </w:tc>
        <w:tc>
          <w:tcPr>
            <w:tcW w:type="pct" w:w="413"/>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w:t>
            </w:r>
          </w:p>
        </w:tc>
        <w:tc>
          <w:tcPr>
            <w:tcW w:type="pct" w:w="413"/>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w:t>
            </w:r>
          </w:p>
        </w:tc>
        <w:tc>
          <w:tcPr>
            <w:tcW w:type="pct" w:w="410"/>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w:t>
            </w:r>
          </w:p>
        </w:tc>
      </w:tr>
    </w:tbl>
    <w:p w:rsidRDefault="001E3364" w:rsidP="001E3364" w:rsidR="001E3364">
      <w:pPr>
        <w:rPr>
          <w:sz w:val="24"/>
          <w:szCs w:val="24"/>
        </w:rPr>
      </w:pPr>
    </w:p>
    <w:tbl>
      <w:tblPr>
        <w:tblW w:type="pct" w:w="5370"/>
        <w:tblInd w:type="dxa" w:w="-431"/>
        <w:tblLook w:val="04A0" w:noVBand="1" w:noHBand="0" w:lastColumn="0" w:firstColumn="1" w:lastRow="0" w:firstRow="1"/>
      </w:tblPr>
      <w:tblGrid>
        <w:gridCol w:w="6192"/>
        <w:gridCol w:w="1262"/>
        <w:gridCol w:w="1262"/>
        <w:gridCol w:w="1521"/>
        <w:gridCol w:w="1261"/>
        <w:gridCol w:w="1258"/>
        <w:gridCol w:w="1258"/>
        <w:gridCol w:w="1258"/>
      </w:tblGrid>
      <w:tr w:rsidTr="001E3364" w:rsidR="001E3364">
        <w:trPr>
          <w:trHeight w:val="20"/>
          <w:tblHeader/>
        </w:trPr>
        <w:tc>
          <w:tcPr>
            <w:tcW w:type="pct" w:w="2027"/>
            <w:tcBorders>
              <w:top w:space="0" w:sz="4" w:color="auto" w:val="single"/>
              <w:left w:space="0" w:sz="4" w:color="auto" w:val="single"/>
              <w:bottom w:val="nil"/>
              <w:right w:val="nil"/>
            </w:tcBorders>
            <w:shd w:fill="969696" w:color="auto" w:val="clear"/>
            <w:vAlign w:val="center"/>
            <w:hideMark/>
          </w:tcPr>
          <w:p w:rsidRDefault="001E3364" w:rsidR="001E3364">
            <w:pPr>
              <w:spacing w:lineRule="auto" w:line="240" w:after="0"/>
              <w:jc w:val="center"/>
              <w:rPr>
                <w:rFonts w:cs="Calibri" w:eastAsia="Times New Roman" w:hAnsi="Calibri" w:ascii="Calibri"/>
                <w:b/>
                <w:bCs/>
                <w:color w:val="FFFFFF"/>
                <w:sz w:val="16"/>
                <w:szCs w:val="16"/>
                <w:lang w:eastAsia="hr-HR"/>
              </w:rPr>
            </w:pPr>
            <w:r>
              <w:rPr>
                <w:rFonts w:cs="Calibri" w:eastAsia="Times New Roman" w:hAnsi="Calibri" w:ascii="Calibri"/>
                <w:b/>
                <w:bCs/>
                <w:color w:val="FFFFFF"/>
                <w:sz w:val="16"/>
                <w:szCs w:val="16"/>
                <w:lang w:eastAsia="hr-HR"/>
              </w:rPr>
              <w:lastRenderedPageBreak/>
              <w:t>Naziv pozicije</w:t>
            </w:r>
          </w:p>
        </w:tc>
        <w:tc>
          <w:tcPr>
            <w:tcW w:type="pct" w:w="413"/>
            <w:tcBorders>
              <w:top w:space="0" w:sz="4" w:color="auto" w:val="single"/>
              <w:left w:val="nil"/>
              <w:bottom w:val="nil"/>
              <w:right w:val="nil"/>
            </w:tcBorders>
            <w:shd w:fill="969696" w:color="auto" w:val="clear"/>
            <w:vAlign w:val="center"/>
            <w:hideMark/>
          </w:tcPr>
          <w:p w:rsidRDefault="001E3364" w:rsidR="001E3364">
            <w:pPr>
              <w:spacing w:lineRule="auto" w:line="240" w:after="0"/>
              <w:jc w:val="center"/>
              <w:rPr>
                <w:rFonts w:cs="Calibri" w:eastAsia="Times New Roman" w:hAnsi="Calibri" w:ascii="Calibri"/>
                <w:b/>
                <w:bCs/>
                <w:color w:val="FFFFFF"/>
                <w:sz w:val="16"/>
                <w:szCs w:val="16"/>
                <w:lang w:eastAsia="hr-HR"/>
              </w:rPr>
            </w:pPr>
            <w:r>
              <w:rPr>
                <w:rFonts w:cs="Calibri" w:eastAsia="Times New Roman" w:hAnsi="Calibri" w:ascii="Calibri"/>
                <w:b/>
                <w:bCs/>
                <w:color w:val="FFFFFF"/>
                <w:sz w:val="16"/>
                <w:szCs w:val="16"/>
                <w:lang w:eastAsia="hr-HR"/>
              </w:rPr>
              <w:t>31.12.2018.</w:t>
            </w:r>
          </w:p>
        </w:tc>
        <w:tc>
          <w:tcPr>
            <w:tcW w:type="pct" w:w="413"/>
            <w:tcBorders>
              <w:top w:space="0" w:sz="4" w:color="auto" w:val="single"/>
              <w:left w:space="0" w:sz="4" w:color="auto" w:val="single"/>
              <w:bottom w:val="nil"/>
              <w:right w:val="nil"/>
            </w:tcBorders>
            <w:shd w:fill="969696" w:color="auto" w:val="clear"/>
            <w:vAlign w:val="center"/>
            <w:hideMark/>
          </w:tcPr>
          <w:p w:rsidRDefault="001E3364" w:rsidR="001E3364">
            <w:pPr>
              <w:spacing w:lineRule="auto" w:line="240" w:after="0"/>
              <w:jc w:val="center"/>
              <w:rPr>
                <w:rFonts w:cs="Calibri" w:eastAsia="Times New Roman" w:hAnsi="Calibri" w:ascii="Calibri"/>
                <w:b/>
                <w:bCs/>
                <w:color w:val="FFFFFF"/>
                <w:sz w:val="16"/>
                <w:szCs w:val="16"/>
                <w:lang w:eastAsia="hr-HR"/>
              </w:rPr>
            </w:pPr>
            <w:r>
              <w:rPr>
                <w:rFonts w:cs="Calibri" w:eastAsia="Times New Roman" w:hAnsi="Calibri" w:ascii="Calibri"/>
                <w:b/>
                <w:bCs/>
                <w:color w:val="FFFFFF"/>
                <w:sz w:val="16"/>
                <w:szCs w:val="16"/>
                <w:lang w:eastAsia="hr-HR"/>
              </w:rPr>
              <w:t>31.12.2019.</w:t>
            </w:r>
          </w:p>
        </w:tc>
        <w:tc>
          <w:tcPr>
            <w:tcW w:type="pct" w:w="498"/>
            <w:tcBorders>
              <w:top w:space="0" w:sz="4" w:color="auto" w:val="single"/>
              <w:left w:space="0" w:sz="4" w:color="auto" w:val="single"/>
              <w:bottom w:val="nil"/>
              <w:right w:val="nil"/>
            </w:tcBorders>
            <w:shd w:fill="969696" w:color="auto" w:val="clear"/>
            <w:vAlign w:val="center"/>
            <w:hideMark/>
          </w:tcPr>
          <w:p w:rsidRDefault="001E3364" w:rsidR="001E3364">
            <w:pPr>
              <w:spacing w:lineRule="auto" w:line="240" w:after="0"/>
              <w:jc w:val="center"/>
              <w:rPr>
                <w:rFonts w:cs="Calibri" w:eastAsia="Times New Roman" w:hAnsi="Calibri" w:ascii="Calibri"/>
                <w:b/>
                <w:bCs/>
                <w:color w:val="FFFFFF"/>
                <w:sz w:val="16"/>
                <w:szCs w:val="16"/>
                <w:lang w:eastAsia="hr-HR"/>
              </w:rPr>
            </w:pPr>
            <w:r>
              <w:rPr>
                <w:rFonts w:cs="Calibri" w:eastAsia="Times New Roman" w:hAnsi="Calibri" w:ascii="Calibri"/>
                <w:b/>
                <w:bCs/>
                <w:color w:val="FFFFFF"/>
                <w:sz w:val="16"/>
                <w:szCs w:val="16"/>
                <w:lang w:eastAsia="hr-HR"/>
              </w:rPr>
              <w:t>31.12.2020.</w:t>
            </w:r>
          </w:p>
        </w:tc>
        <w:tc>
          <w:tcPr>
            <w:tcW w:type="pct" w:w="413"/>
            <w:tcBorders>
              <w:top w:space="0" w:sz="4" w:color="auto" w:val="single"/>
              <w:left w:space="0" w:sz="4" w:color="auto" w:val="single"/>
              <w:bottom w:val="nil"/>
              <w:right w:val="nil"/>
            </w:tcBorders>
            <w:shd w:fill="969696" w:color="auto" w:val="clear"/>
            <w:vAlign w:val="center"/>
            <w:hideMark/>
          </w:tcPr>
          <w:p w:rsidRDefault="001E3364" w:rsidR="001E3364">
            <w:pPr>
              <w:spacing w:lineRule="auto" w:line="240" w:after="0"/>
              <w:jc w:val="center"/>
              <w:rPr>
                <w:rFonts w:cs="Calibri" w:eastAsia="Times New Roman" w:hAnsi="Calibri" w:ascii="Calibri"/>
                <w:b/>
                <w:bCs/>
                <w:color w:val="FFFFFF"/>
                <w:sz w:val="16"/>
                <w:szCs w:val="16"/>
                <w:lang w:eastAsia="hr-HR"/>
              </w:rPr>
            </w:pPr>
            <w:r>
              <w:rPr>
                <w:rFonts w:cs="Calibri" w:eastAsia="Times New Roman" w:hAnsi="Calibri" w:ascii="Calibri"/>
                <w:b/>
                <w:bCs/>
                <w:color w:val="FFFFFF"/>
                <w:sz w:val="16"/>
                <w:szCs w:val="16"/>
                <w:lang w:eastAsia="hr-HR"/>
              </w:rPr>
              <w:t>31.12.2021.</w:t>
            </w:r>
          </w:p>
        </w:tc>
        <w:tc>
          <w:tcPr>
            <w:tcW w:type="pct" w:w="412"/>
            <w:tcBorders>
              <w:top w:space="0" w:sz="4" w:color="auto" w:val="single"/>
              <w:left w:space="0" w:sz="4" w:color="auto" w:val="single"/>
              <w:bottom w:val="nil"/>
              <w:right w:val="nil"/>
            </w:tcBorders>
            <w:shd w:fill="969696" w:color="auto" w:val="clear"/>
            <w:vAlign w:val="center"/>
            <w:hideMark/>
          </w:tcPr>
          <w:p w:rsidRDefault="001E3364" w:rsidR="001E3364">
            <w:pPr>
              <w:spacing w:lineRule="auto" w:line="240" w:after="0"/>
              <w:jc w:val="center"/>
              <w:rPr>
                <w:rFonts w:cs="Calibri" w:eastAsia="Times New Roman" w:hAnsi="Calibri" w:ascii="Calibri"/>
                <w:b/>
                <w:bCs/>
                <w:color w:val="FFFFFF"/>
                <w:sz w:val="16"/>
                <w:szCs w:val="16"/>
                <w:lang w:eastAsia="hr-HR"/>
              </w:rPr>
            </w:pPr>
            <w:r>
              <w:rPr>
                <w:rFonts w:cs="Calibri" w:eastAsia="Times New Roman" w:hAnsi="Calibri" w:ascii="Calibri"/>
                <w:b/>
                <w:bCs/>
                <w:color w:val="FFFFFF"/>
                <w:sz w:val="16"/>
                <w:szCs w:val="16"/>
                <w:lang w:eastAsia="hr-HR"/>
              </w:rPr>
              <w:t>31.12.2022.</w:t>
            </w:r>
          </w:p>
        </w:tc>
        <w:tc>
          <w:tcPr>
            <w:tcW w:type="pct" w:w="412"/>
            <w:tcBorders>
              <w:top w:space="0" w:sz="4" w:color="auto" w:val="single"/>
              <w:left w:space="0" w:sz="4" w:color="auto" w:val="single"/>
              <w:bottom w:val="nil"/>
              <w:right w:val="nil"/>
            </w:tcBorders>
            <w:shd w:fill="969696" w:color="auto" w:val="clear"/>
            <w:vAlign w:val="center"/>
            <w:hideMark/>
          </w:tcPr>
          <w:p w:rsidRDefault="001E3364" w:rsidR="001E3364">
            <w:pPr>
              <w:spacing w:lineRule="auto" w:line="240" w:after="0"/>
              <w:jc w:val="center"/>
              <w:rPr>
                <w:rFonts w:cs="Calibri" w:eastAsia="Times New Roman" w:hAnsi="Calibri" w:ascii="Calibri"/>
                <w:b/>
                <w:bCs/>
                <w:color w:val="FFFFFF"/>
                <w:sz w:val="16"/>
                <w:szCs w:val="16"/>
                <w:lang w:eastAsia="hr-HR"/>
              </w:rPr>
            </w:pPr>
            <w:r>
              <w:rPr>
                <w:rFonts w:cs="Calibri" w:eastAsia="Times New Roman" w:hAnsi="Calibri" w:ascii="Calibri"/>
                <w:b/>
                <w:bCs/>
                <w:color w:val="FFFFFF"/>
                <w:sz w:val="16"/>
                <w:szCs w:val="16"/>
                <w:lang w:eastAsia="hr-HR"/>
              </w:rPr>
              <w:t>31.12.2023.</w:t>
            </w:r>
          </w:p>
        </w:tc>
        <w:tc>
          <w:tcPr>
            <w:tcW w:type="pct" w:w="412"/>
            <w:tcBorders>
              <w:top w:space="0" w:sz="4" w:color="auto" w:val="single"/>
              <w:left w:space="0" w:sz="4" w:color="auto" w:val="single"/>
              <w:bottom w:val="nil"/>
              <w:right w:val="nil"/>
            </w:tcBorders>
            <w:shd w:fill="969696" w:color="auto" w:val="clear"/>
            <w:vAlign w:val="center"/>
            <w:hideMark/>
          </w:tcPr>
          <w:p w:rsidRDefault="001E3364" w:rsidR="001E3364">
            <w:pPr>
              <w:spacing w:lineRule="auto" w:line="240" w:after="0"/>
              <w:jc w:val="center"/>
              <w:rPr>
                <w:rFonts w:cs="Calibri" w:eastAsia="Times New Roman" w:hAnsi="Calibri" w:ascii="Calibri"/>
                <w:b/>
                <w:bCs/>
                <w:color w:val="FFFFFF"/>
                <w:sz w:val="16"/>
                <w:szCs w:val="16"/>
                <w:lang w:eastAsia="hr-HR"/>
              </w:rPr>
            </w:pPr>
            <w:r>
              <w:rPr>
                <w:rFonts w:cs="Calibri" w:eastAsia="Times New Roman" w:hAnsi="Calibri" w:ascii="Calibri"/>
                <w:b/>
                <w:bCs/>
                <w:color w:val="FFFFFF"/>
                <w:sz w:val="16"/>
                <w:szCs w:val="16"/>
                <w:lang w:eastAsia="hr-HR"/>
              </w:rPr>
              <w:t>31.12.2024.</w:t>
            </w:r>
          </w:p>
        </w:tc>
      </w:tr>
      <w:tr w:rsidTr="001E3364" w:rsidR="001E3364">
        <w:trPr>
          <w:trHeight w:val="20"/>
        </w:trPr>
        <w:tc>
          <w:tcPr>
            <w:tcW w:type="pct" w:w="2027"/>
            <w:tcBorders>
              <w:top w:val="nil"/>
              <w:left w:space="0" w:sz="4" w:color="auto" w:val="single"/>
              <w:bottom w:space="0" w:sz="4" w:color="auto" w:val="single"/>
              <w:right w:val="nil"/>
            </w:tcBorders>
            <w:vAlign w:val="center"/>
            <w:hideMark/>
          </w:tcPr>
          <w:p w:rsidRDefault="001E3364" w:rsidR="001E3364">
            <w:pPr>
              <w:spacing w:lineRule="auto" w:line="240" w:after="0"/>
              <w:rPr>
                <w:rFonts w:cs="Calibri" w:eastAsia="Times New Roman" w:hAnsi="Calibri" w:ascii="Calibri"/>
                <w:b/>
                <w:bCs/>
                <w:color w:val="000080"/>
                <w:sz w:val="16"/>
                <w:szCs w:val="16"/>
                <w:lang w:eastAsia="hr-HR"/>
              </w:rPr>
            </w:pPr>
            <w:r>
              <w:rPr>
                <w:rFonts w:cs="Calibri" w:eastAsia="Times New Roman" w:hAnsi="Calibri" w:ascii="Calibri"/>
                <w:b/>
                <w:bCs/>
                <w:color w:val="000080"/>
                <w:sz w:val="16"/>
                <w:szCs w:val="16"/>
                <w:lang w:eastAsia="hr-HR"/>
              </w:rPr>
              <w:t>PASIVA</w:t>
            </w:r>
          </w:p>
        </w:tc>
        <w:tc>
          <w:tcPr>
            <w:tcW w:type="pct" w:w="413"/>
            <w:tcBorders>
              <w:top w:val="nil"/>
              <w:left w:val="nil"/>
              <w:bottom w:space="0" w:sz="4" w:color="auto" w:val="single"/>
              <w:right w:val="nil"/>
            </w:tcBorders>
            <w:noWrap/>
            <w:vAlign w:val="bottom"/>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w:t>
            </w:r>
          </w:p>
        </w:tc>
        <w:tc>
          <w:tcPr>
            <w:tcW w:type="pct" w:w="413"/>
            <w:tcBorders>
              <w:top w:val="nil"/>
              <w:left w:val="nil"/>
              <w:bottom w:space="0" w:sz="4" w:color="auto" w:val="single"/>
              <w:right w:val="nil"/>
            </w:tcBorders>
            <w:noWrap/>
            <w:vAlign w:val="bottom"/>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w:t>
            </w:r>
          </w:p>
        </w:tc>
        <w:tc>
          <w:tcPr>
            <w:tcW w:type="pct" w:w="498"/>
            <w:tcBorders>
              <w:top w:val="nil"/>
              <w:left w:val="nil"/>
              <w:bottom w:space="0" w:sz="4" w:color="auto" w:val="single"/>
              <w:right w:val="nil"/>
            </w:tcBorders>
            <w:noWrap/>
            <w:vAlign w:val="bottom"/>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w:t>
            </w:r>
          </w:p>
        </w:tc>
        <w:tc>
          <w:tcPr>
            <w:tcW w:type="pct" w:w="413"/>
            <w:tcBorders>
              <w:top w:val="nil"/>
              <w:left w:val="nil"/>
              <w:bottom w:space="0" w:sz="4" w:color="auto" w:val="single"/>
              <w:right w:val="nil"/>
            </w:tcBorders>
            <w:noWrap/>
            <w:vAlign w:val="bottom"/>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w:t>
            </w:r>
          </w:p>
        </w:tc>
        <w:tc>
          <w:tcPr>
            <w:tcW w:type="pct" w:w="412"/>
            <w:tcBorders>
              <w:top w:val="nil"/>
              <w:left w:val="nil"/>
              <w:bottom w:space="0" w:sz="4" w:color="auto" w:val="single"/>
              <w:right w:val="nil"/>
            </w:tcBorders>
            <w:noWrap/>
            <w:vAlign w:val="bottom"/>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w:t>
            </w:r>
          </w:p>
        </w:tc>
        <w:tc>
          <w:tcPr>
            <w:tcW w:type="pct" w:w="412"/>
            <w:tcBorders>
              <w:top w:val="nil"/>
              <w:left w:val="nil"/>
              <w:bottom w:space="0" w:sz="4" w:color="auto" w:val="single"/>
              <w:right w:val="nil"/>
            </w:tcBorders>
            <w:noWrap/>
            <w:vAlign w:val="bottom"/>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w:t>
            </w:r>
          </w:p>
        </w:tc>
        <w:tc>
          <w:tcPr>
            <w:tcW w:type="pct" w:w="412"/>
            <w:tcBorders>
              <w:top w:val="nil"/>
              <w:left w:val="nil"/>
              <w:bottom w:space="0" w:sz="4" w:color="auto" w:val="single"/>
              <w:right w:space="0" w:sz="4" w:color="auto" w:val="single"/>
            </w:tcBorders>
            <w:noWrap/>
            <w:vAlign w:val="bottom"/>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w:t>
            </w:r>
          </w:p>
        </w:tc>
      </w:tr>
      <w:tr w:rsidTr="001E3364" w:rsidR="001E3364">
        <w:trPr>
          <w:trHeight w:val="20"/>
        </w:trPr>
        <w:tc>
          <w:tcPr>
            <w:tcW w:type="pct" w:w="202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b/>
                <w:bCs/>
                <w:sz w:val="16"/>
                <w:szCs w:val="16"/>
                <w:lang w:eastAsia="hr-HR"/>
              </w:rPr>
            </w:pPr>
            <w:r>
              <w:rPr>
                <w:rFonts w:cs="Calibri" w:eastAsia="Times New Roman" w:hAnsi="Calibri" w:ascii="Calibri"/>
                <w:b/>
                <w:bCs/>
                <w:sz w:val="16"/>
                <w:szCs w:val="16"/>
                <w:lang w:eastAsia="hr-HR"/>
              </w:rPr>
              <w:t xml:space="preserve">A)  KAPITAL I REZERVE </w:t>
            </w:r>
          </w:p>
        </w:tc>
        <w:tc>
          <w:tcPr>
            <w:tcW w:type="pct" w:w="413"/>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11.734.161</w:t>
            </w:r>
          </w:p>
        </w:tc>
        <w:tc>
          <w:tcPr>
            <w:tcW w:type="pct" w:w="413"/>
            <w:tcBorders>
              <w:top w:val="nil"/>
              <w:left w:val="nil"/>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13.230.516</w:t>
            </w:r>
          </w:p>
        </w:tc>
        <w:tc>
          <w:tcPr>
            <w:tcW w:type="pct" w:w="498"/>
            <w:tcBorders>
              <w:top w:val="nil"/>
              <w:left w:val="nil"/>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9.156.291</w:t>
            </w:r>
          </w:p>
        </w:tc>
        <w:tc>
          <w:tcPr>
            <w:tcW w:type="pct" w:w="413"/>
            <w:tcBorders>
              <w:top w:val="nil"/>
              <w:left w:val="nil"/>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11.161.102</w:t>
            </w:r>
          </w:p>
        </w:tc>
        <w:tc>
          <w:tcPr>
            <w:tcW w:type="pct" w:w="412"/>
            <w:tcBorders>
              <w:top w:val="nil"/>
              <w:left w:val="nil"/>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14.426.496</w:t>
            </w:r>
          </w:p>
        </w:tc>
        <w:tc>
          <w:tcPr>
            <w:tcW w:type="pct" w:w="412"/>
            <w:tcBorders>
              <w:top w:val="nil"/>
              <w:left w:val="nil"/>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20.057.685</w:t>
            </w:r>
          </w:p>
        </w:tc>
        <w:tc>
          <w:tcPr>
            <w:tcW w:type="pct" w:w="412"/>
            <w:tcBorders>
              <w:top w:val="nil"/>
              <w:left w:val="nil"/>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28.236.699</w:t>
            </w:r>
          </w:p>
        </w:tc>
      </w:tr>
      <w:tr w:rsidTr="001E3364" w:rsidR="001E3364">
        <w:trPr>
          <w:trHeight w:val="20"/>
        </w:trPr>
        <w:tc>
          <w:tcPr>
            <w:tcW w:type="pct" w:w="202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FF"/>
                <w:sz w:val="16"/>
                <w:szCs w:val="16"/>
                <w:lang w:eastAsia="hr-HR"/>
              </w:rPr>
            </w:pPr>
            <w:r>
              <w:rPr>
                <w:rFonts w:cs="Calibri" w:eastAsia="Times New Roman" w:hAnsi="Calibri" w:ascii="Calibri"/>
                <w:color w:val="0000FF"/>
                <w:sz w:val="16"/>
                <w:szCs w:val="16"/>
                <w:lang w:eastAsia="hr-HR"/>
              </w:rPr>
              <w:t>I. TEMELJNI (UPISANI) KAPITAL</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10.424.900</w:t>
            </w:r>
          </w:p>
        </w:tc>
        <w:tc>
          <w:tcPr>
            <w:tcW w:type="pct" w:w="41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10.424.900</w:t>
            </w:r>
          </w:p>
        </w:tc>
        <w:tc>
          <w:tcPr>
            <w:tcW w:type="pct" w:w="498"/>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10.424.900</w:t>
            </w:r>
          </w:p>
        </w:tc>
        <w:tc>
          <w:tcPr>
            <w:tcW w:type="pct" w:w="41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10.424.900</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10.424.900</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10.424.900</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10.424.900</w:t>
            </w:r>
          </w:p>
        </w:tc>
      </w:tr>
      <w:tr w:rsidTr="001E3364" w:rsidR="001E3364">
        <w:trPr>
          <w:trHeight w:val="20"/>
        </w:trPr>
        <w:tc>
          <w:tcPr>
            <w:tcW w:type="pct" w:w="202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FF"/>
                <w:sz w:val="16"/>
                <w:szCs w:val="16"/>
                <w:lang w:eastAsia="hr-HR"/>
              </w:rPr>
            </w:pPr>
            <w:r>
              <w:rPr>
                <w:rFonts w:cs="Calibri" w:eastAsia="Times New Roman" w:hAnsi="Calibri" w:ascii="Calibri"/>
                <w:color w:val="0000FF"/>
                <w:sz w:val="16"/>
                <w:szCs w:val="16"/>
                <w:lang w:eastAsia="hr-HR"/>
              </w:rPr>
              <w:t>II. KAPITALNE REZERVE</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98"/>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202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FF"/>
                <w:sz w:val="16"/>
                <w:szCs w:val="16"/>
                <w:lang w:eastAsia="hr-HR"/>
              </w:rPr>
            </w:pPr>
            <w:r>
              <w:rPr>
                <w:rFonts w:cs="Calibri" w:eastAsia="Times New Roman" w:hAnsi="Calibri" w:ascii="Calibri"/>
                <w:color w:val="0000FF"/>
                <w:sz w:val="16"/>
                <w:szCs w:val="16"/>
                <w:lang w:eastAsia="hr-HR"/>
              </w:rPr>
              <w:t>III. REZERVE IZ DOBITI</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1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98"/>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1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r>
      <w:tr w:rsidTr="001E3364" w:rsidR="001E3364">
        <w:trPr>
          <w:trHeight w:val="20"/>
        </w:trPr>
        <w:tc>
          <w:tcPr>
            <w:tcW w:type="pct" w:w="202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1. Zakonske rezerve</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98"/>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202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2. Rezerve za vlastite dionice</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98"/>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202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3. Vlastite dionice i udjeli (odbitna stavka)</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98"/>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202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4. Statutarne rezerve</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98"/>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202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5. Ostale rezerve</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98"/>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202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FF"/>
                <w:sz w:val="16"/>
                <w:szCs w:val="16"/>
                <w:lang w:eastAsia="hr-HR"/>
              </w:rPr>
            </w:pPr>
            <w:r>
              <w:rPr>
                <w:rFonts w:cs="Calibri" w:eastAsia="Times New Roman" w:hAnsi="Calibri" w:ascii="Calibri"/>
                <w:color w:val="0000FF"/>
                <w:sz w:val="16"/>
                <w:szCs w:val="16"/>
                <w:lang w:eastAsia="hr-HR"/>
              </w:rPr>
              <w:t>IV. REVALORIZACIJSKE REZERVE</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21.238.063</w:t>
            </w:r>
          </w:p>
        </w:tc>
        <w:tc>
          <w:tcPr>
            <w:tcW w:type="pct" w:w="41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20.538.798</w:t>
            </w:r>
          </w:p>
        </w:tc>
        <w:tc>
          <w:tcPr>
            <w:tcW w:type="pct" w:w="498"/>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9.839.533</w:t>
            </w:r>
          </w:p>
        </w:tc>
        <w:tc>
          <w:tcPr>
            <w:tcW w:type="pct" w:w="41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4.140.268</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1.441.003</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202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FF"/>
                <w:sz w:val="16"/>
                <w:szCs w:val="16"/>
                <w:lang w:eastAsia="hr-HR"/>
              </w:rPr>
            </w:pPr>
            <w:r>
              <w:rPr>
                <w:rFonts w:cs="Calibri" w:eastAsia="Times New Roman" w:hAnsi="Calibri" w:ascii="Calibri"/>
                <w:color w:val="0000FF"/>
                <w:sz w:val="16"/>
                <w:szCs w:val="16"/>
                <w:lang w:eastAsia="hr-HR"/>
              </w:rPr>
              <w:t>V. REZERVE FER VRIJEDNOSTI</w:t>
            </w:r>
          </w:p>
        </w:tc>
        <w:tc>
          <w:tcPr>
            <w:tcW w:type="pct" w:w="413"/>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13"/>
            <w:tcBorders>
              <w:top w:val="nil"/>
              <w:left w:val="nil"/>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98"/>
            <w:tcBorders>
              <w:top w:val="nil"/>
              <w:left w:val="nil"/>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13"/>
            <w:tcBorders>
              <w:top w:val="nil"/>
              <w:left w:val="nil"/>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12"/>
            <w:tcBorders>
              <w:top w:val="nil"/>
              <w:left w:val="nil"/>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12"/>
            <w:tcBorders>
              <w:top w:val="nil"/>
              <w:left w:val="nil"/>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12"/>
            <w:tcBorders>
              <w:top w:val="nil"/>
              <w:left w:val="nil"/>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r>
      <w:tr w:rsidTr="001E3364" w:rsidR="001E3364">
        <w:trPr>
          <w:trHeight w:val="20"/>
        </w:trPr>
        <w:tc>
          <w:tcPr>
            <w:tcW w:type="pct" w:w="202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1. Fer vrijednost financijske imovine raspoložive za prodaju</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98"/>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202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2. Učinkoviti dio zaštite novčanih tokova</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98"/>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202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3. Učinkoviti dio zaštite neto ulaganja u inozemstvu</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98"/>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202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FF"/>
                <w:sz w:val="16"/>
                <w:szCs w:val="16"/>
                <w:lang w:eastAsia="hr-HR"/>
              </w:rPr>
            </w:pPr>
            <w:r>
              <w:rPr>
                <w:rFonts w:cs="Calibri" w:eastAsia="Times New Roman" w:hAnsi="Calibri" w:ascii="Calibri"/>
                <w:color w:val="0000FF"/>
                <w:sz w:val="16"/>
                <w:szCs w:val="16"/>
                <w:lang w:eastAsia="hr-HR"/>
              </w:rPr>
              <w:t>VI. ZADRŽANA DOBIT ILI PRENESENI GUBITAK</w:t>
            </w:r>
          </w:p>
        </w:tc>
        <w:tc>
          <w:tcPr>
            <w:tcW w:type="pct" w:w="413"/>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-10.077.788</w:t>
            </w:r>
          </w:p>
        </w:tc>
        <w:tc>
          <w:tcPr>
            <w:tcW w:type="pct" w:w="413"/>
            <w:tcBorders>
              <w:top w:val="nil"/>
              <w:left w:val="nil"/>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-19.229.537</w:t>
            </w:r>
          </w:p>
        </w:tc>
        <w:tc>
          <w:tcPr>
            <w:tcW w:type="pct" w:w="498"/>
            <w:tcBorders>
              <w:top w:val="nil"/>
              <w:left w:val="nil"/>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-17.033.917</w:t>
            </w:r>
          </w:p>
        </w:tc>
        <w:tc>
          <w:tcPr>
            <w:tcW w:type="pct" w:w="413"/>
            <w:tcBorders>
              <w:top w:val="nil"/>
              <w:left w:val="nil"/>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-10.408.877</w:t>
            </w:r>
          </w:p>
        </w:tc>
        <w:tc>
          <w:tcPr>
            <w:tcW w:type="pct" w:w="412"/>
            <w:tcBorders>
              <w:top w:val="nil"/>
              <w:left w:val="nil"/>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-3.404.066</w:t>
            </w:r>
          </w:p>
        </w:tc>
        <w:tc>
          <w:tcPr>
            <w:tcW w:type="pct" w:w="412"/>
            <w:tcBorders>
              <w:top w:val="nil"/>
              <w:left w:val="nil"/>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2.560.593</w:t>
            </w:r>
          </w:p>
        </w:tc>
        <w:tc>
          <w:tcPr>
            <w:tcW w:type="pct" w:w="412"/>
            <w:tcBorders>
              <w:top w:val="nil"/>
              <w:left w:val="nil"/>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9.632.785</w:t>
            </w:r>
          </w:p>
        </w:tc>
      </w:tr>
      <w:tr w:rsidTr="001E3364" w:rsidR="001E3364">
        <w:trPr>
          <w:trHeight w:val="20"/>
        </w:trPr>
        <w:tc>
          <w:tcPr>
            <w:tcW w:type="pct" w:w="202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1. Zadržana dobit</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-10.077.788</w:t>
            </w:r>
          </w:p>
        </w:tc>
        <w:tc>
          <w:tcPr>
            <w:tcW w:type="pct" w:w="41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-19.229.537</w:t>
            </w:r>
          </w:p>
        </w:tc>
        <w:tc>
          <w:tcPr>
            <w:tcW w:type="pct" w:w="498"/>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-17.033.917</w:t>
            </w:r>
          </w:p>
        </w:tc>
        <w:tc>
          <w:tcPr>
            <w:tcW w:type="pct" w:w="41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-10.408.877</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-3.404.066</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2.560.593</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9.632.785</w:t>
            </w:r>
          </w:p>
        </w:tc>
      </w:tr>
      <w:tr w:rsidTr="001E3364" w:rsidR="001E3364">
        <w:trPr>
          <w:trHeight w:val="20"/>
        </w:trPr>
        <w:tc>
          <w:tcPr>
            <w:tcW w:type="pct" w:w="202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2. Preneseni gubitak</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98"/>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202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FF"/>
                <w:sz w:val="16"/>
                <w:szCs w:val="16"/>
                <w:lang w:eastAsia="hr-HR"/>
              </w:rPr>
            </w:pPr>
            <w:r>
              <w:rPr>
                <w:rFonts w:cs="Calibri" w:eastAsia="Times New Roman" w:hAnsi="Calibri" w:ascii="Calibri"/>
                <w:color w:val="0000FF"/>
                <w:sz w:val="16"/>
                <w:szCs w:val="16"/>
                <w:lang w:eastAsia="hr-HR"/>
              </w:rPr>
              <w:t>VII. DOBIT ILI GUBITAK POSLOVNE GODINE</w:t>
            </w:r>
          </w:p>
        </w:tc>
        <w:tc>
          <w:tcPr>
            <w:tcW w:type="pct" w:w="413"/>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-9.851.014</w:t>
            </w:r>
          </w:p>
        </w:tc>
        <w:tc>
          <w:tcPr>
            <w:tcW w:type="pct" w:w="413"/>
            <w:tcBorders>
              <w:top w:val="nil"/>
              <w:left w:val="nil"/>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1.496.356</w:t>
            </w:r>
          </w:p>
        </w:tc>
        <w:tc>
          <w:tcPr>
            <w:tcW w:type="pct" w:w="498"/>
            <w:tcBorders>
              <w:top w:val="nil"/>
              <w:left w:val="nil"/>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5.925.775</w:t>
            </w:r>
          </w:p>
        </w:tc>
        <w:tc>
          <w:tcPr>
            <w:tcW w:type="pct" w:w="413"/>
            <w:tcBorders>
              <w:top w:val="nil"/>
              <w:left w:val="nil"/>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7.004.811</w:t>
            </w:r>
          </w:p>
        </w:tc>
        <w:tc>
          <w:tcPr>
            <w:tcW w:type="pct" w:w="412"/>
            <w:tcBorders>
              <w:top w:val="nil"/>
              <w:left w:val="nil"/>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5.964.659</w:t>
            </w:r>
          </w:p>
        </w:tc>
        <w:tc>
          <w:tcPr>
            <w:tcW w:type="pct" w:w="412"/>
            <w:tcBorders>
              <w:top w:val="nil"/>
              <w:left w:val="nil"/>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7.072.191</w:t>
            </w:r>
          </w:p>
        </w:tc>
        <w:tc>
          <w:tcPr>
            <w:tcW w:type="pct" w:w="412"/>
            <w:tcBorders>
              <w:top w:val="nil"/>
              <w:left w:val="nil"/>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8.179.014</w:t>
            </w:r>
          </w:p>
        </w:tc>
      </w:tr>
      <w:tr w:rsidTr="001E3364" w:rsidR="001E3364">
        <w:trPr>
          <w:trHeight w:val="20"/>
        </w:trPr>
        <w:tc>
          <w:tcPr>
            <w:tcW w:type="pct" w:w="202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1. Dobit poslovne godine</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-9.851.014</w:t>
            </w:r>
          </w:p>
        </w:tc>
        <w:tc>
          <w:tcPr>
            <w:tcW w:type="pct" w:w="41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1.496.356</w:t>
            </w:r>
          </w:p>
        </w:tc>
        <w:tc>
          <w:tcPr>
            <w:tcW w:type="pct" w:w="498"/>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5.925.775</w:t>
            </w:r>
          </w:p>
        </w:tc>
        <w:tc>
          <w:tcPr>
            <w:tcW w:type="pct" w:w="41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7.004.811</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5.964.659</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7.072.191</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8.179.014</w:t>
            </w:r>
          </w:p>
        </w:tc>
      </w:tr>
      <w:tr w:rsidTr="001E3364" w:rsidR="001E3364">
        <w:trPr>
          <w:trHeight w:val="20"/>
        </w:trPr>
        <w:tc>
          <w:tcPr>
            <w:tcW w:type="pct" w:w="202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2. Gubitak poslovne godine</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98"/>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202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FF"/>
                <w:sz w:val="16"/>
                <w:szCs w:val="16"/>
                <w:lang w:eastAsia="hr-HR"/>
              </w:rPr>
            </w:pPr>
            <w:r>
              <w:rPr>
                <w:rFonts w:cs="Calibri" w:eastAsia="Times New Roman" w:hAnsi="Calibri" w:ascii="Calibri"/>
                <w:color w:val="0000FF"/>
                <w:sz w:val="16"/>
                <w:szCs w:val="16"/>
                <w:lang w:eastAsia="hr-HR"/>
              </w:rPr>
              <w:t>VIII. MANJINSKI (NEKONTROLIRAJUĆI) INTERES</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98"/>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202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FF"/>
                <w:sz w:val="16"/>
                <w:szCs w:val="16"/>
                <w:lang w:eastAsia="hr-HR"/>
              </w:rPr>
            </w:pPr>
            <w:r>
              <w:rPr>
                <w:rFonts w:cs="Calibri" w:eastAsia="Times New Roman" w:hAnsi="Calibri" w:ascii="Calibri"/>
                <w:color w:val="0000FF"/>
                <w:sz w:val="16"/>
                <w:szCs w:val="16"/>
                <w:lang w:eastAsia="hr-HR"/>
              </w:rPr>
              <w:t>B)  REZERVIRANJA</w:t>
            </w:r>
          </w:p>
        </w:tc>
        <w:tc>
          <w:tcPr>
            <w:tcW w:type="pct" w:w="413"/>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13"/>
            <w:tcBorders>
              <w:top w:val="nil"/>
              <w:left w:val="nil"/>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98"/>
            <w:tcBorders>
              <w:top w:val="nil"/>
              <w:left w:val="nil"/>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13"/>
            <w:tcBorders>
              <w:top w:val="nil"/>
              <w:left w:val="nil"/>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12"/>
            <w:tcBorders>
              <w:top w:val="nil"/>
              <w:left w:val="nil"/>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12"/>
            <w:tcBorders>
              <w:top w:val="nil"/>
              <w:left w:val="nil"/>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12"/>
            <w:tcBorders>
              <w:top w:val="nil"/>
              <w:left w:val="nil"/>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r>
      <w:tr w:rsidTr="001E3364" w:rsidR="001E3364">
        <w:trPr>
          <w:trHeight w:val="20"/>
        </w:trPr>
        <w:tc>
          <w:tcPr>
            <w:tcW w:type="pct" w:w="202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1. Rezerviranja za mirovine, otpremnine i slične obveze</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98"/>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202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2. Rezerviranja za porezne obveze</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98"/>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202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3. Rezerviranja za započete sudske sporove</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98"/>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202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4. Rezerviranja za troškove obnavljanja prirodnih bogatstava</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98"/>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202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5. Rezerviranja za troškove u jamstvenim rokovima</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98"/>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202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6. Druga rezerviranja</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98"/>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202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FF"/>
                <w:sz w:val="16"/>
                <w:szCs w:val="16"/>
                <w:lang w:eastAsia="hr-HR"/>
              </w:rPr>
            </w:pPr>
            <w:r>
              <w:rPr>
                <w:rFonts w:cs="Calibri" w:eastAsia="Times New Roman" w:hAnsi="Calibri" w:ascii="Calibri"/>
                <w:color w:val="0000FF"/>
                <w:sz w:val="16"/>
                <w:szCs w:val="16"/>
                <w:lang w:eastAsia="hr-HR"/>
              </w:rPr>
              <w:t>C)  DUGOROČNE OBVEZE</w:t>
            </w:r>
          </w:p>
        </w:tc>
        <w:tc>
          <w:tcPr>
            <w:tcW w:type="pct" w:w="413"/>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103.844.841</w:t>
            </w:r>
          </w:p>
        </w:tc>
        <w:tc>
          <w:tcPr>
            <w:tcW w:type="pct" w:w="413"/>
            <w:tcBorders>
              <w:top w:val="nil"/>
              <w:left w:val="nil"/>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103.691.344</w:t>
            </w:r>
          </w:p>
        </w:tc>
        <w:tc>
          <w:tcPr>
            <w:tcW w:type="pct" w:w="498"/>
            <w:tcBorders>
              <w:top w:val="nil"/>
              <w:left w:val="nil"/>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81.409.008</w:t>
            </w:r>
          </w:p>
        </w:tc>
        <w:tc>
          <w:tcPr>
            <w:tcW w:type="pct" w:w="413"/>
            <w:tcBorders>
              <w:top w:val="nil"/>
              <w:left w:val="nil"/>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60.224.232</w:t>
            </w:r>
          </w:p>
        </w:tc>
        <w:tc>
          <w:tcPr>
            <w:tcW w:type="pct" w:w="412"/>
            <w:tcBorders>
              <w:top w:val="nil"/>
              <w:left w:val="nil"/>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39.697.993</w:t>
            </w:r>
          </w:p>
        </w:tc>
        <w:tc>
          <w:tcPr>
            <w:tcW w:type="pct" w:w="412"/>
            <w:tcBorders>
              <w:top w:val="nil"/>
              <w:left w:val="nil"/>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29.536.257</w:t>
            </w:r>
          </w:p>
        </w:tc>
        <w:tc>
          <w:tcPr>
            <w:tcW w:type="pct" w:w="412"/>
            <w:tcBorders>
              <w:top w:val="nil"/>
              <w:left w:val="nil"/>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19.690.838</w:t>
            </w:r>
          </w:p>
        </w:tc>
      </w:tr>
      <w:tr w:rsidTr="001E3364" w:rsidR="001E3364">
        <w:trPr>
          <w:trHeight w:val="20"/>
        </w:trPr>
        <w:tc>
          <w:tcPr>
            <w:tcW w:type="pct" w:w="202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1. Obveze prema poduzetnicima unutar grupe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98"/>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202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2. Obveze za zajmove, depozite i slično poduzetnika unutar grupe</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98"/>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202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3. Obveze prema društvima povezanim sudjelujućim interesom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98"/>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202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4. Obveze za zajmove, depozite i slično društava povezanih</w:t>
            </w:r>
            <w:r>
              <w:rPr>
                <w:rFonts w:cs="Calibri" w:eastAsia="Times New Roman" w:hAnsi="Calibri" w:ascii="Calibri"/>
                <w:sz w:val="16"/>
                <w:szCs w:val="16"/>
                <w:lang w:eastAsia="hr-HR"/>
              </w:rPr>
              <w:br/>
              <w:t xml:space="preserve">         sudjelujućim interesom</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98"/>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202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5. Obveze za zajmove, depozite i slično</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41.854.972</w:t>
            </w:r>
          </w:p>
        </w:tc>
        <w:tc>
          <w:tcPr>
            <w:tcW w:type="pct" w:w="41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41.854.972</w:t>
            </w:r>
          </w:p>
        </w:tc>
        <w:tc>
          <w:tcPr>
            <w:tcW w:type="pct" w:w="498"/>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32.424.611</w:t>
            </w:r>
          </w:p>
        </w:tc>
        <w:tc>
          <w:tcPr>
            <w:tcW w:type="pct" w:w="41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22.994.250</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13.563.888</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10.172.916</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6.781.944</w:t>
            </w:r>
          </w:p>
        </w:tc>
      </w:tr>
      <w:tr w:rsidTr="001E3364" w:rsidR="001E3364">
        <w:trPr>
          <w:trHeight w:val="20"/>
        </w:trPr>
        <w:tc>
          <w:tcPr>
            <w:tcW w:type="pct" w:w="202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6. Obveze prema bankama i drugim financijskim institucijama</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45.181.128</w:t>
            </w:r>
          </w:p>
        </w:tc>
        <w:tc>
          <w:tcPr>
            <w:tcW w:type="pct" w:w="41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45.181.128</w:t>
            </w:r>
          </w:p>
        </w:tc>
        <w:tc>
          <w:tcPr>
            <w:tcW w:type="pct" w:w="498"/>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38.726.681</w:t>
            </w:r>
          </w:p>
        </w:tc>
        <w:tc>
          <w:tcPr>
            <w:tcW w:type="pct" w:w="41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32.272.234</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25.817.788</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19.363.341</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12.908.894</w:t>
            </w:r>
          </w:p>
        </w:tc>
      </w:tr>
      <w:tr w:rsidTr="001E3364" w:rsidR="001E3364">
        <w:trPr>
          <w:trHeight w:val="20"/>
        </w:trPr>
        <w:tc>
          <w:tcPr>
            <w:tcW w:type="pct" w:w="202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7. Obveze za predujmove</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98"/>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202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lastRenderedPageBreak/>
              <w:t xml:space="preserve">     8. Obveze prema dobavljačima</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98"/>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202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9. Obveze po vrijednosnim papirima</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98"/>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202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10. Ostale dugoročne obveze</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12.146.727</w:t>
            </w:r>
          </w:p>
        </w:tc>
        <w:tc>
          <w:tcPr>
            <w:tcW w:type="pct" w:w="41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12.146.727</w:t>
            </w:r>
          </w:p>
        </w:tc>
        <w:tc>
          <w:tcPr>
            <w:tcW w:type="pct" w:w="498"/>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8.097.818</w:t>
            </w:r>
          </w:p>
        </w:tc>
        <w:tc>
          <w:tcPr>
            <w:tcW w:type="pct" w:w="41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4.048.909</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202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11. Odgođena porezna obveza</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4.662.014</w:t>
            </w:r>
          </w:p>
        </w:tc>
        <w:tc>
          <w:tcPr>
            <w:tcW w:type="pct" w:w="41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4.508.517</w:t>
            </w:r>
          </w:p>
        </w:tc>
        <w:tc>
          <w:tcPr>
            <w:tcW w:type="pct" w:w="498"/>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2.159.897</w:t>
            </w:r>
          </w:p>
        </w:tc>
        <w:tc>
          <w:tcPr>
            <w:tcW w:type="pct" w:w="41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908.839</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316.318</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r>
      <w:tr w:rsidTr="001E3364" w:rsidR="001E3364">
        <w:trPr>
          <w:trHeight w:val="20"/>
        </w:trPr>
        <w:tc>
          <w:tcPr>
            <w:tcW w:type="pct" w:w="202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FF"/>
                <w:sz w:val="16"/>
                <w:szCs w:val="16"/>
                <w:lang w:eastAsia="hr-HR"/>
              </w:rPr>
            </w:pPr>
            <w:r>
              <w:rPr>
                <w:rFonts w:cs="Calibri" w:eastAsia="Times New Roman" w:hAnsi="Calibri" w:ascii="Calibri"/>
                <w:color w:val="0000FF"/>
                <w:sz w:val="16"/>
                <w:szCs w:val="16"/>
                <w:lang w:eastAsia="hr-HR"/>
              </w:rPr>
              <w:t>D)  KRATKOROČNE OBVEZE</w:t>
            </w:r>
          </w:p>
        </w:tc>
        <w:tc>
          <w:tcPr>
            <w:tcW w:type="pct" w:w="413"/>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4.052.812</w:t>
            </w:r>
          </w:p>
        </w:tc>
        <w:tc>
          <w:tcPr>
            <w:tcW w:type="pct" w:w="413"/>
            <w:tcBorders>
              <w:top w:val="nil"/>
              <w:left w:val="nil"/>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3.978.051</w:t>
            </w:r>
          </w:p>
        </w:tc>
        <w:tc>
          <w:tcPr>
            <w:tcW w:type="pct" w:w="498"/>
            <w:tcBorders>
              <w:top w:val="nil"/>
              <w:left w:val="nil"/>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23.218.642</w:t>
            </w:r>
          </w:p>
        </w:tc>
        <w:tc>
          <w:tcPr>
            <w:tcW w:type="pct" w:w="413"/>
            <w:tcBorders>
              <w:top w:val="nil"/>
              <w:left w:val="nil"/>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24.437.164</w:t>
            </w:r>
          </w:p>
        </w:tc>
        <w:tc>
          <w:tcPr>
            <w:tcW w:type="pct" w:w="412"/>
            <w:tcBorders>
              <w:top w:val="nil"/>
              <w:left w:val="nil"/>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29.128.158</w:t>
            </w:r>
          </w:p>
        </w:tc>
        <w:tc>
          <w:tcPr>
            <w:tcW w:type="pct" w:w="412"/>
            <w:tcBorders>
              <w:top w:val="nil"/>
              <w:left w:val="nil"/>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25.788.855</w:t>
            </w:r>
          </w:p>
        </w:tc>
        <w:tc>
          <w:tcPr>
            <w:tcW w:type="pct" w:w="412"/>
            <w:tcBorders>
              <w:top w:val="nil"/>
              <w:left w:val="nil"/>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19.757.317</w:t>
            </w:r>
          </w:p>
        </w:tc>
      </w:tr>
      <w:tr w:rsidTr="001E3364" w:rsidR="001E3364">
        <w:trPr>
          <w:trHeight w:val="20"/>
        </w:trPr>
        <w:tc>
          <w:tcPr>
            <w:tcW w:type="pct" w:w="202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1. Obveze prema poduzetnicima unutar grupe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98"/>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202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2. Obveze za zajmove, depozite i slično poduzetnika unutar grupe</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98"/>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202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3. Obveze prema društvima povezanim sudjelujućim interesom </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98"/>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202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4. Obveze za zajmove, depozite i slično društava povezanih</w:t>
            </w:r>
            <w:r>
              <w:rPr>
                <w:rFonts w:cs="Calibri" w:eastAsia="Times New Roman" w:hAnsi="Calibri" w:ascii="Calibri"/>
                <w:sz w:val="16"/>
                <w:szCs w:val="16"/>
                <w:lang w:eastAsia="hr-HR"/>
              </w:rPr>
              <w:br/>
              <w:t xml:space="preserve">         sudjelujućim interesom</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98"/>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202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5. Obveze za zajmove, depozite i slično</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98"/>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9.430.361</w:t>
            </w:r>
          </w:p>
        </w:tc>
        <w:tc>
          <w:tcPr>
            <w:tcW w:type="pct" w:w="41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9.430.361</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9.430.361</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3.390.972</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3.390.972</w:t>
            </w:r>
          </w:p>
        </w:tc>
      </w:tr>
      <w:tr w:rsidTr="001E3364" w:rsidR="001E3364">
        <w:trPr>
          <w:trHeight w:val="20"/>
        </w:trPr>
        <w:tc>
          <w:tcPr>
            <w:tcW w:type="pct" w:w="202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6. Obveze prema bankama i drugim financijskim institucijama</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1.356.627</w:t>
            </w:r>
          </w:p>
        </w:tc>
        <w:tc>
          <w:tcPr>
            <w:tcW w:type="pct" w:w="41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802.100</w:t>
            </w:r>
          </w:p>
        </w:tc>
        <w:tc>
          <w:tcPr>
            <w:tcW w:type="pct" w:w="498"/>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6.797.999</w:t>
            </w:r>
          </w:p>
        </w:tc>
        <w:tc>
          <w:tcPr>
            <w:tcW w:type="pct" w:w="41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6.485.616</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6.454.447</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6.454.447</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6.454.447</w:t>
            </w:r>
          </w:p>
        </w:tc>
      </w:tr>
      <w:tr w:rsidTr="001E3364" w:rsidR="001E3364">
        <w:trPr>
          <w:trHeight w:val="20"/>
        </w:trPr>
        <w:tc>
          <w:tcPr>
            <w:tcW w:type="pct" w:w="202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7. Obveze za predujmove</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100.000</w:t>
            </w:r>
          </w:p>
        </w:tc>
        <w:tc>
          <w:tcPr>
            <w:tcW w:type="pct" w:w="41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200.000</w:t>
            </w:r>
          </w:p>
        </w:tc>
        <w:tc>
          <w:tcPr>
            <w:tcW w:type="pct" w:w="498"/>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300.000</w:t>
            </w:r>
          </w:p>
        </w:tc>
        <w:tc>
          <w:tcPr>
            <w:tcW w:type="pct" w:w="41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400.000</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450.000</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500.000</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500.000</w:t>
            </w:r>
          </w:p>
        </w:tc>
      </w:tr>
      <w:tr w:rsidTr="001E3364" w:rsidR="001E3364">
        <w:trPr>
          <w:trHeight w:val="20"/>
        </w:trPr>
        <w:tc>
          <w:tcPr>
            <w:tcW w:type="pct" w:w="202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8. Obveze prema dobavljačima</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1.412.851</w:t>
            </w:r>
          </w:p>
        </w:tc>
        <w:tc>
          <w:tcPr>
            <w:tcW w:type="pct" w:w="413"/>
            <w:tcBorders>
              <w:top w:val="nil"/>
              <w:left w:val="nil"/>
              <w:bottom w:space="0" w:sz="4" w:color="auto" w:val="single"/>
              <w:right w:space="0" w:sz="4" w:color="auto" w:val="single"/>
            </w:tcBorders>
            <w:noWrap/>
            <w:vAlign w:val="bottom"/>
            <w:hideMark/>
          </w:tcPr>
          <w:p w:rsidRDefault="001E3364" w:rsidR="001E3364">
            <w:pPr>
              <w:spacing w:after="0"/>
              <w:jc w:val="right"/>
              <w:rPr>
                <w:rFonts w:cs="Calibri" w:hAnsi="Calibri" w:ascii="Calibri"/>
                <w:color w:val="000000"/>
                <w:sz w:val="16"/>
                <w:szCs w:val="16"/>
              </w:rPr>
            </w:pPr>
            <w:r>
              <w:rPr>
                <w:rFonts w:cs="Calibri" w:hAnsi="Calibri" w:ascii="Calibri"/>
                <w:color w:val="000000"/>
                <w:sz w:val="16"/>
                <w:szCs w:val="16"/>
              </w:rPr>
              <w:t>1.517.617</w:t>
            </w:r>
          </w:p>
        </w:tc>
        <w:tc>
          <w:tcPr>
            <w:tcW w:type="pct" w:w="498"/>
            <w:tcBorders>
              <w:top w:val="nil"/>
              <w:left w:val="nil"/>
              <w:bottom w:space="0" w:sz="4" w:color="auto" w:val="single"/>
              <w:right w:space="0" w:sz="4" w:color="auto" w:val="single"/>
            </w:tcBorders>
            <w:noWrap/>
            <w:vAlign w:val="bottom"/>
            <w:hideMark/>
          </w:tcPr>
          <w:p w:rsidRDefault="001E3364" w:rsidR="001E3364">
            <w:pPr>
              <w:spacing w:after="0"/>
              <w:jc w:val="right"/>
              <w:rPr>
                <w:rFonts w:cs="Calibri" w:hAnsi="Calibri" w:ascii="Calibri"/>
                <w:color w:val="000000"/>
                <w:sz w:val="16"/>
                <w:szCs w:val="16"/>
              </w:rPr>
            </w:pPr>
            <w:r>
              <w:rPr>
                <w:rFonts w:cs="Calibri" w:hAnsi="Calibri" w:ascii="Calibri"/>
                <w:color w:val="000000"/>
                <w:sz w:val="16"/>
                <w:szCs w:val="16"/>
              </w:rPr>
              <w:t>1.724.706</w:t>
            </w:r>
          </w:p>
        </w:tc>
        <w:tc>
          <w:tcPr>
            <w:tcW w:type="pct" w:w="41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3.097.278</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7.761.107</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10.460.103</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8.428.565</w:t>
            </w:r>
          </w:p>
        </w:tc>
      </w:tr>
      <w:tr w:rsidTr="001E3364" w:rsidR="001E3364">
        <w:trPr>
          <w:trHeight w:val="20"/>
        </w:trPr>
        <w:tc>
          <w:tcPr>
            <w:tcW w:type="pct" w:w="202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9. Obveze po vrijednosnim papirima</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98"/>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202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10. Obveze prema zaposlenicima</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125.000</w:t>
            </w:r>
          </w:p>
        </w:tc>
        <w:tc>
          <w:tcPr>
            <w:tcW w:type="pct" w:w="41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166.667</w:t>
            </w:r>
          </w:p>
        </w:tc>
        <w:tc>
          <w:tcPr>
            <w:tcW w:type="pct" w:w="498"/>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208.333</w:t>
            </w:r>
          </w:p>
        </w:tc>
        <w:tc>
          <w:tcPr>
            <w:tcW w:type="pct" w:w="41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250.000</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250.000</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250.000</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250.000</w:t>
            </w:r>
          </w:p>
        </w:tc>
      </w:tr>
      <w:tr w:rsidTr="001E3364" w:rsidR="001E3364">
        <w:trPr>
          <w:trHeight w:val="20"/>
        </w:trPr>
        <w:tc>
          <w:tcPr>
            <w:tcW w:type="pct" w:w="202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11. Obveze  za poreze, doprinose i sličana davanja</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1.058.333</w:t>
            </w:r>
          </w:p>
        </w:tc>
        <w:tc>
          <w:tcPr>
            <w:tcW w:type="pct" w:w="41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1.291.667</w:t>
            </w:r>
          </w:p>
        </w:tc>
        <w:tc>
          <w:tcPr>
            <w:tcW w:type="pct" w:w="498"/>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708.333</w:t>
            </w:r>
          </w:p>
        </w:tc>
        <w:tc>
          <w:tcPr>
            <w:tcW w:type="pct" w:w="41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725.000</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733.333</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733.333</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733.333</w:t>
            </w:r>
          </w:p>
        </w:tc>
      </w:tr>
      <w:tr w:rsidTr="001E3364" w:rsidR="001E3364">
        <w:trPr>
          <w:trHeight w:val="20"/>
        </w:trPr>
        <w:tc>
          <w:tcPr>
            <w:tcW w:type="pct" w:w="202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12. Obveze s osnove udjela u rezultatu</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98"/>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202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13. Obveze po osnovi dugotrajne imovine namijenjene prodaji</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98"/>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202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14. Ostale kratkoročne obveze</w:t>
            </w:r>
          </w:p>
        </w:tc>
        <w:tc>
          <w:tcPr>
            <w:tcW w:type="pct" w:w="41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1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98"/>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4.048.909</w:t>
            </w:r>
          </w:p>
        </w:tc>
        <w:tc>
          <w:tcPr>
            <w:tcW w:type="pct" w:w="41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4.048.909</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4.048.909</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4.000.000</w:t>
            </w:r>
          </w:p>
        </w:tc>
        <w:tc>
          <w:tcPr>
            <w:tcW w:type="pct" w:w="412"/>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202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FF"/>
                <w:sz w:val="16"/>
                <w:szCs w:val="16"/>
                <w:lang w:eastAsia="hr-HR"/>
              </w:rPr>
            </w:pPr>
            <w:r>
              <w:rPr>
                <w:rFonts w:cs="Calibri" w:eastAsia="Times New Roman" w:hAnsi="Calibri" w:ascii="Calibri"/>
                <w:color w:val="0000FF"/>
                <w:sz w:val="16"/>
                <w:szCs w:val="16"/>
                <w:lang w:eastAsia="hr-HR"/>
              </w:rPr>
              <w:t>E) ODGOĐENO PLAĆANJE TROŠKOVA I PRIHOD BUDUĆEGA RAZDOBLJA</w:t>
            </w:r>
          </w:p>
        </w:tc>
        <w:tc>
          <w:tcPr>
            <w:tcW w:type="pct" w:w="413"/>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13"/>
            <w:tcBorders>
              <w:top w:val="nil"/>
              <w:left w:space="0" w:sz="4" w:color="auto" w:val="single"/>
              <w:bottom w:space="0" w:sz="4" w:color="000000" w:val="single"/>
              <w:right w:space="0" w:sz="4" w:color="000000"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98"/>
            <w:tcBorders>
              <w:top w:val="nil"/>
              <w:left w:val="nil"/>
              <w:bottom w:space="0" w:sz="4" w:color="000000" w:val="single"/>
              <w:right w:space="0" w:sz="4" w:color="000000"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13"/>
            <w:tcBorders>
              <w:top w:val="nil"/>
              <w:left w:val="nil"/>
              <w:bottom w:space="0" w:sz="4" w:color="000000" w:val="single"/>
              <w:right w:space="0" w:sz="4" w:color="000000"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12"/>
            <w:tcBorders>
              <w:top w:val="nil"/>
              <w:left w:val="nil"/>
              <w:bottom w:space="0" w:sz="4" w:color="000000" w:val="single"/>
              <w:right w:space="0" w:sz="4" w:color="000000"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12"/>
            <w:tcBorders>
              <w:top w:val="nil"/>
              <w:left w:val="nil"/>
              <w:bottom w:space="0" w:sz="4" w:color="000000" w:val="single"/>
              <w:right w:space="0" w:sz="4" w:color="000000"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12"/>
            <w:tcBorders>
              <w:top w:val="nil"/>
              <w:left w:val="nil"/>
              <w:bottom w:space="0" w:sz="4" w:color="000000" w:val="single"/>
              <w:right w:space="0" w:sz="4" w:color="000000"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r>
      <w:tr w:rsidTr="001E3364" w:rsidR="001E3364">
        <w:trPr>
          <w:trHeight w:val="20"/>
        </w:trPr>
        <w:tc>
          <w:tcPr>
            <w:tcW w:type="pct" w:w="202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FF"/>
                <w:sz w:val="16"/>
                <w:szCs w:val="16"/>
                <w:lang w:eastAsia="hr-HR"/>
              </w:rPr>
            </w:pPr>
            <w:r>
              <w:rPr>
                <w:rFonts w:cs="Calibri" w:eastAsia="Times New Roman" w:hAnsi="Calibri" w:ascii="Calibri"/>
                <w:color w:val="0000FF"/>
                <w:sz w:val="16"/>
                <w:szCs w:val="16"/>
                <w:lang w:eastAsia="hr-HR"/>
              </w:rPr>
              <w:t>F) UKUPNO – PASIVA</w:t>
            </w:r>
          </w:p>
        </w:tc>
        <w:tc>
          <w:tcPr>
            <w:tcW w:type="pct" w:w="413"/>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119.631.814</w:t>
            </w:r>
          </w:p>
        </w:tc>
        <w:tc>
          <w:tcPr>
            <w:tcW w:type="pct" w:w="413"/>
            <w:tcBorders>
              <w:top w:val="nil"/>
              <w:left w:space="0" w:sz="4" w:color="auto" w:val="single"/>
              <w:bottom w:space="0" w:sz="4" w:color="000000" w:val="single"/>
              <w:right w:space="0" w:sz="4" w:color="000000"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120.899.911</w:t>
            </w:r>
          </w:p>
        </w:tc>
        <w:tc>
          <w:tcPr>
            <w:tcW w:type="pct" w:w="498"/>
            <w:tcBorders>
              <w:top w:val="nil"/>
              <w:left w:val="nil"/>
              <w:bottom w:space="0" w:sz="4" w:color="000000" w:val="single"/>
              <w:right w:space="0" w:sz="4" w:color="000000"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113.783.941</w:t>
            </w:r>
          </w:p>
        </w:tc>
        <w:tc>
          <w:tcPr>
            <w:tcW w:type="pct" w:w="413"/>
            <w:tcBorders>
              <w:top w:val="nil"/>
              <w:left w:val="nil"/>
              <w:bottom w:space="0" w:sz="4" w:color="000000" w:val="single"/>
              <w:right w:space="0" w:sz="4" w:color="000000"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95.822.498</w:t>
            </w:r>
          </w:p>
        </w:tc>
        <w:tc>
          <w:tcPr>
            <w:tcW w:type="pct" w:w="412"/>
            <w:tcBorders>
              <w:top w:val="nil"/>
              <w:left w:val="nil"/>
              <w:bottom w:space="0" w:sz="4" w:color="000000" w:val="single"/>
              <w:right w:space="0" w:sz="4" w:color="000000"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83.252.647</w:t>
            </w:r>
          </w:p>
        </w:tc>
        <w:tc>
          <w:tcPr>
            <w:tcW w:type="pct" w:w="412"/>
            <w:tcBorders>
              <w:top w:val="nil"/>
              <w:left w:val="nil"/>
              <w:bottom w:space="0" w:sz="4" w:color="000000" w:val="single"/>
              <w:right w:space="0" w:sz="4" w:color="000000"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75.382.797</w:t>
            </w:r>
          </w:p>
        </w:tc>
        <w:tc>
          <w:tcPr>
            <w:tcW w:type="pct" w:w="412"/>
            <w:tcBorders>
              <w:top w:val="nil"/>
              <w:left w:val="nil"/>
              <w:bottom w:space="0" w:sz="4" w:color="000000" w:val="single"/>
              <w:right w:space="0" w:sz="4" w:color="000000"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67.684.854</w:t>
            </w:r>
          </w:p>
        </w:tc>
      </w:tr>
      <w:tr w:rsidTr="001E3364" w:rsidR="001E3364">
        <w:trPr>
          <w:trHeight w:val="20"/>
        </w:trPr>
        <w:tc>
          <w:tcPr>
            <w:tcW w:type="pct" w:w="2027"/>
            <w:tcBorders>
              <w:top w:val="nil"/>
              <w:left w:space="0" w:sz="4" w:color="auto" w:val="single"/>
              <w:bottom w:space="0" w:sz="4" w:color="000000" w:val="single"/>
              <w:right w:space="0" w:sz="4" w:color="auto" w:val="single"/>
            </w:tcBorders>
            <w:vAlign w:val="center"/>
            <w:hideMark/>
          </w:tcPr>
          <w:p w:rsidRDefault="001E3364" w:rsidR="001E3364">
            <w:pPr>
              <w:spacing w:lineRule="auto" w:line="240" w:after="0"/>
              <w:rPr>
                <w:rFonts w:cs="Calibri" w:eastAsia="Times New Roman" w:hAnsi="Calibri" w:ascii="Calibri"/>
                <w:color w:val="0000FF"/>
                <w:sz w:val="16"/>
                <w:szCs w:val="16"/>
                <w:lang w:eastAsia="hr-HR"/>
              </w:rPr>
            </w:pPr>
            <w:r>
              <w:rPr>
                <w:rFonts w:cs="Calibri" w:eastAsia="Times New Roman" w:hAnsi="Calibri" w:ascii="Calibri"/>
                <w:color w:val="0000FF"/>
                <w:sz w:val="16"/>
                <w:szCs w:val="16"/>
                <w:lang w:eastAsia="hr-HR"/>
              </w:rPr>
              <w:t>G)  IZVANBILANČNI ZAPISI</w:t>
            </w:r>
          </w:p>
        </w:tc>
        <w:tc>
          <w:tcPr>
            <w:tcW w:type="pct" w:w="413"/>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w:t>
            </w:r>
          </w:p>
        </w:tc>
        <w:tc>
          <w:tcPr>
            <w:tcW w:type="pct" w:w="413"/>
            <w:tcBorders>
              <w:top w:val="nil"/>
              <w:left w:space="0" w:sz="4" w:color="auto" w:val="single"/>
              <w:bottom w:space="0" w:sz="4" w:color="000000" w:val="single"/>
              <w:right w:space="0" w:sz="4" w:color="000000" w:val="single"/>
            </w:tcBorders>
            <w:shd w:fill="auto" w:color="C0C0C0" w:val="pct25"/>
            <w:noWrap/>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w:t>
            </w:r>
          </w:p>
        </w:tc>
        <w:tc>
          <w:tcPr>
            <w:tcW w:type="pct" w:w="498"/>
            <w:tcBorders>
              <w:top w:val="nil"/>
              <w:left w:val="nil"/>
              <w:bottom w:space="0" w:sz="4" w:color="000000" w:val="single"/>
              <w:right w:space="0" w:sz="4" w:color="000000" w:val="single"/>
            </w:tcBorders>
            <w:shd w:fill="auto" w:color="C0C0C0" w:val="pct25"/>
            <w:noWrap/>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w:t>
            </w:r>
          </w:p>
        </w:tc>
        <w:tc>
          <w:tcPr>
            <w:tcW w:type="pct" w:w="413"/>
            <w:tcBorders>
              <w:top w:val="nil"/>
              <w:left w:val="nil"/>
              <w:bottom w:space="0" w:sz="4" w:color="000000" w:val="single"/>
              <w:right w:space="0" w:sz="4" w:color="000000" w:val="single"/>
            </w:tcBorders>
            <w:shd w:fill="auto" w:color="C0C0C0" w:val="pct25"/>
            <w:noWrap/>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w:t>
            </w:r>
          </w:p>
        </w:tc>
        <w:tc>
          <w:tcPr>
            <w:tcW w:type="pct" w:w="412"/>
            <w:tcBorders>
              <w:top w:val="nil"/>
              <w:left w:val="nil"/>
              <w:bottom w:space="0" w:sz="4" w:color="000000" w:val="single"/>
              <w:right w:space="0" w:sz="4" w:color="000000" w:val="single"/>
            </w:tcBorders>
            <w:shd w:fill="auto" w:color="C0C0C0" w:val="pct25"/>
            <w:noWrap/>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w:t>
            </w:r>
          </w:p>
        </w:tc>
        <w:tc>
          <w:tcPr>
            <w:tcW w:type="pct" w:w="412"/>
            <w:tcBorders>
              <w:top w:val="nil"/>
              <w:left w:val="nil"/>
              <w:bottom w:space="0" w:sz="4" w:color="000000" w:val="single"/>
              <w:right w:space="0" w:sz="4" w:color="000000" w:val="single"/>
            </w:tcBorders>
            <w:shd w:fill="auto" w:color="C0C0C0" w:val="pct25"/>
            <w:noWrap/>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w:t>
            </w:r>
          </w:p>
        </w:tc>
        <w:tc>
          <w:tcPr>
            <w:tcW w:type="pct" w:w="412"/>
            <w:tcBorders>
              <w:top w:val="nil"/>
              <w:left w:val="nil"/>
              <w:bottom w:space="0" w:sz="4" w:color="000000" w:val="single"/>
              <w:right w:space="0" w:sz="4" w:color="000000" w:val="single"/>
            </w:tcBorders>
            <w:shd w:fill="auto" w:color="C0C0C0" w:val="pct25"/>
            <w:noWrap/>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w:t>
            </w:r>
          </w:p>
        </w:tc>
      </w:tr>
    </w:tbl>
    <w:p w:rsidRDefault="001E3364" w:rsidP="001E3364" w:rsidR="001E3364">
      <w:pPr>
        <w:rPr>
          <w:rFonts w:cs="Times New Roman" w:eastAsia="Times New Roman"/>
          <w:b/>
          <w:color w:val="000000"/>
          <w:sz w:val="24"/>
          <w:szCs w:val="24"/>
          <w:lang w:eastAsia="hr-HR"/>
        </w:rPr>
      </w:pPr>
      <w:r>
        <w:rPr>
          <w:rFonts w:cs="Times New Roman" w:eastAsia="Times New Roman"/>
          <w:b/>
          <w:color w:val="000000"/>
          <w:sz w:val="24"/>
          <w:szCs w:val="24"/>
          <w:lang w:eastAsia="hr-HR"/>
        </w:rPr>
        <w:br w:type="page"/>
      </w:r>
    </w:p>
    <w:p w:rsidRDefault="001E3364" w:rsidP="001E3364" w:rsidR="001E3364">
      <w:pPr>
        <w:rPr>
          <w:rFonts w:cs="Times New Roman" w:eastAsia="Times New Roman"/>
          <w:b/>
          <w:color w:val="000000"/>
          <w:sz w:val="24"/>
          <w:szCs w:val="24"/>
          <w:lang w:eastAsia="hr-HR"/>
        </w:rPr>
      </w:pPr>
      <w:r>
        <w:rPr>
          <w:rFonts w:cs="Times New Roman" w:eastAsia="Times New Roman"/>
          <w:b/>
          <w:color w:val="000000"/>
          <w:sz w:val="24"/>
          <w:szCs w:val="24"/>
          <w:lang w:eastAsia="hr-HR"/>
        </w:rPr>
        <w:lastRenderedPageBreak/>
        <w:t>Račun dobiti i gubitka</w:t>
      </w:r>
    </w:p>
    <w:tbl>
      <w:tblPr>
        <w:tblW w:type="pct" w:w="5000"/>
        <w:tblLook w:val="04A0" w:noVBand="1" w:noHBand="0" w:lastColumn="0" w:firstColumn="1" w:lastRow="0" w:firstRow="1"/>
      </w:tblPr>
      <w:tblGrid>
        <w:gridCol w:w="5140"/>
        <w:gridCol w:w="1261"/>
        <w:gridCol w:w="1260"/>
        <w:gridCol w:w="1519"/>
        <w:gridCol w:w="1260"/>
        <w:gridCol w:w="1260"/>
        <w:gridCol w:w="1260"/>
        <w:gridCol w:w="1260"/>
      </w:tblGrid>
      <w:tr w:rsidTr="001E3364" w:rsidR="001E3364">
        <w:trPr>
          <w:trHeight w:val="20"/>
          <w:tblHeader/>
        </w:trPr>
        <w:tc>
          <w:tcPr>
            <w:tcW w:type="pct" w:w="1807"/>
            <w:tcBorders>
              <w:top w:space="0" w:sz="4" w:color="auto" w:val="single"/>
              <w:left w:space="0" w:sz="4" w:color="auto" w:val="single"/>
              <w:bottom w:val="nil"/>
              <w:right w:val="nil"/>
            </w:tcBorders>
            <w:shd w:fill="969696" w:color="auto" w:val="clear"/>
            <w:vAlign w:val="center"/>
            <w:hideMark/>
          </w:tcPr>
          <w:p w:rsidRDefault="001E3364" w:rsidR="001E3364">
            <w:pPr>
              <w:spacing w:lineRule="auto" w:line="240" w:after="0"/>
              <w:jc w:val="center"/>
              <w:rPr>
                <w:rFonts w:cs="Calibri" w:eastAsia="Times New Roman" w:hAnsi="Calibri" w:ascii="Calibri"/>
                <w:b/>
                <w:bCs/>
                <w:color w:val="FFFFFF"/>
                <w:sz w:val="16"/>
                <w:szCs w:val="16"/>
                <w:lang w:eastAsia="hr-HR"/>
              </w:rPr>
            </w:pPr>
            <w:r>
              <w:rPr>
                <w:rFonts w:cs="Calibri" w:eastAsia="Times New Roman" w:hAnsi="Calibri" w:ascii="Calibri"/>
                <w:b/>
                <w:bCs/>
                <w:color w:val="FFFFFF"/>
                <w:sz w:val="16"/>
                <w:szCs w:val="16"/>
                <w:lang w:eastAsia="hr-HR"/>
              </w:rPr>
              <w:t>Naziv pozicije</w:t>
            </w:r>
          </w:p>
        </w:tc>
        <w:tc>
          <w:tcPr>
            <w:tcW w:type="pct" w:w="443"/>
            <w:tcBorders>
              <w:top w:space="0" w:sz="4" w:color="auto" w:val="single"/>
              <w:left w:val="nil"/>
              <w:bottom w:val="nil"/>
              <w:right w:val="nil"/>
            </w:tcBorders>
            <w:shd w:fill="969696" w:color="auto" w:val="clear"/>
            <w:vAlign w:val="center"/>
            <w:hideMark/>
          </w:tcPr>
          <w:p w:rsidRDefault="001E3364" w:rsidR="001E3364">
            <w:pPr>
              <w:spacing w:lineRule="auto" w:line="240" w:after="0"/>
              <w:jc w:val="center"/>
              <w:rPr>
                <w:rFonts w:cs="Calibri" w:eastAsia="Times New Roman" w:hAnsi="Calibri" w:ascii="Calibri"/>
                <w:b/>
                <w:bCs/>
                <w:color w:val="FFFFFF"/>
                <w:sz w:val="16"/>
                <w:szCs w:val="16"/>
                <w:lang w:eastAsia="hr-HR"/>
              </w:rPr>
            </w:pPr>
            <w:r>
              <w:rPr>
                <w:rFonts w:cs="Calibri" w:eastAsia="Times New Roman" w:hAnsi="Calibri" w:ascii="Calibri"/>
                <w:b/>
                <w:bCs/>
                <w:color w:val="FFFFFF"/>
                <w:sz w:val="16"/>
                <w:szCs w:val="16"/>
                <w:lang w:eastAsia="hr-HR"/>
              </w:rPr>
              <w:t>31.12.2018.</w:t>
            </w:r>
          </w:p>
        </w:tc>
        <w:tc>
          <w:tcPr>
            <w:tcW w:type="pct" w:w="443"/>
            <w:tcBorders>
              <w:top w:space="0" w:sz="4" w:color="auto" w:val="single"/>
              <w:left w:space="0" w:sz="4" w:color="auto" w:val="single"/>
              <w:bottom w:val="nil"/>
              <w:right w:val="nil"/>
            </w:tcBorders>
            <w:shd w:fill="969696" w:color="auto" w:val="clear"/>
            <w:vAlign w:val="center"/>
            <w:hideMark/>
          </w:tcPr>
          <w:p w:rsidRDefault="001E3364" w:rsidR="001E3364">
            <w:pPr>
              <w:spacing w:lineRule="auto" w:line="240" w:after="0"/>
              <w:jc w:val="center"/>
              <w:rPr>
                <w:rFonts w:cs="Calibri" w:eastAsia="Times New Roman" w:hAnsi="Calibri" w:ascii="Calibri"/>
                <w:b/>
                <w:bCs/>
                <w:color w:val="FFFFFF"/>
                <w:sz w:val="16"/>
                <w:szCs w:val="16"/>
                <w:lang w:eastAsia="hr-HR"/>
              </w:rPr>
            </w:pPr>
            <w:r>
              <w:rPr>
                <w:rFonts w:cs="Calibri" w:eastAsia="Times New Roman" w:hAnsi="Calibri" w:ascii="Calibri"/>
                <w:b/>
                <w:bCs/>
                <w:color w:val="FFFFFF"/>
                <w:sz w:val="16"/>
                <w:szCs w:val="16"/>
                <w:lang w:eastAsia="hr-HR"/>
              </w:rPr>
              <w:t>31.12.2019.</w:t>
            </w:r>
          </w:p>
        </w:tc>
        <w:tc>
          <w:tcPr>
            <w:tcW w:type="pct" w:w="534"/>
            <w:tcBorders>
              <w:top w:space="0" w:sz="4" w:color="auto" w:val="single"/>
              <w:left w:space="0" w:sz="4" w:color="auto" w:val="single"/>
              <w:bottom w:val="nil"/>
              <w:right w:val="nil"/>
            </w:tcBorders>
            <w:shd w:fill="969696" w:color="auto" w:val="clear"/>
            <w:vAlign w:val="center"/>
            <w:hideMark/>
          </w:tcPr>
          <w:p w:rsidRDefault="001E3364" w:rsidR="001E3364">
            <w:pPr>
              <w:spacing w:lineRule="auto" w:line="240" w:after="0"/>
              <w:jc w:val="center"/>
              <w:rPr>
                <w:rFonts w:cs="Calibri" w:eastAsia="Times New Roman" w:hAnsi="Calibri" w:ascii="Calibri"/>
                <w:b/>
                <w:bCs/>
                <w:color w:val="FFFFFF"/>
                <w:sz w:val="16"/>
                <w:szCs w:val="16"/>
                <w:lang w:eastAsia="hr-HR"/>
              </w:rPr>
            </w:pPr>
            <w:r>
              <w:rPr>
                <w:rFonts w:cs="Calibri" w:eastAsia="Times New Roman" w:hAnsi="Calibri" w:ascii="Calibri"/>
                <w:b/>
                <w:bCs/>
                <w:color w:val="FFFFFF"/>
                <w:sz w:val="16"/>
                <w:szCs w:val="16"/>
                <w:lang w:eastAsia="hr-HR"/>
              </w:rPr>
              <w:t>31.12.2020.</w:t>
            </w:r>
          </w:p>
        </w:tc>
        <w:tc>
          <w:tcPr>
            <w:tcW w:type="pct" w:w="443"/>
            <w:tcBorders>
              <w:top w:space="0" w:sz="4" w:color="auto" w:val="single"/>
              <w:left w:space="0" w:sz="4" w:color="auto" w:val="single"/>
              <w:bottom w:val="nil"/>
              <w:right w:val="nil"/>
            </w:tcBorders>
            <w:shd w:fill="969696" w:color="auto" w:val="clear"/>
            <w:vAlign w:val="center"/>
            <w:hideMark/>
          </w:tcPr>
          <w:p w:rsidRDefault="001E3364" w:rsidR="001E3364">
            <w:pPr>
              <w:spacing w:lineRule="auto" w:line="240" w:after="0"/>
              <w:jc w:val="center"/>
              <w:rPr>
                <w:rFonts w:cs="Calibri" w:eastAsia="Times New Roman" w:hAnsi="Calibri" w:ascii="Calibri"/>
                <w:b/>
                <w:bCs/>
                <w:color w:val="FFFFFF"/>
                <w:sz w:val="16"/>
                <w:szCs w:val="16"/>
                <w:lang w:eastAsia="hr-HR"/>
              </w:rPr>
            </w:pPr>
            <w:r>
              <w:rPr>
                <w:rFonts w:cs="Calibri" w:eastAsia="Times New Roman" w:hAnsi="Calibri" w:ascii="Calibri"/>
                <w:b/>
                <w:bCs/>
                <w:color w:val="FFFFFF"/>
                <w:sz w:val="16"/>
                <w:szCs w:val="16"/>
                <w:lang w:eastAsia="hr-HR"/>
              </w:rPr>
              <w:t>31.12.2021.</w:t>
            </w:r>
          </w:p>
        </w:tc>
        <w:tc>
          <w:tcPr>
            <w:tcW w:type="pct" w:w="443"/>
            <w:tcBorders>
              <w:top w:space="0" w:sz="4" w:color="auto" w:val="single"/>
              <w:left w:space="0" w:sz="4" w:color="auto" w:val="single"/>
              <w:bottom w:val="nil"/>
              <w:right w:val="nil"/>
            </w:tcBorders>
            <w:shd w:fill="969696" w:color="auto" w:val="clear"/>
            <w:vAlign w:val="center"/>
            <w:hideMark/>
          </w:tcPr>
          <w:p w:rsidRDefault="001E3364" w:rsidR="001E3364">
            <w:pPr>
              <w:spacing w:lineRule="auto" w:line="240" w:after="0"/>
              <w:jc w:val="center"/>
              <w:rPr>
                <w:rFonts w:cs="Calibri" w:eastAsia="Times New Roman" w:hAnsi="Calibri" w:ascii="Calibri"/>
                <w:b/>
                <w:bCs/>
                <w:color w:val="FFFFFF"/>
                <w:sz w:val="16"/>
                <w:szCs w:val="16"/>
                <w:lang w:eastAsia="hr-HR"/>
              </w:rPr>
            </w:pPr>
            <w:r>
              <w:rPr>
                <w:rFonts w:cs="Calibri" w:eastAsia="Times New Roman" w:hAnsi="Calibri" w:ascii="Calibri"/>
                <w:b/>
                <w:bCs/>
                <w:color w:val="FFFFFF"/>
                <w:sz w:val="16"/>
                <w:szCs w:val="16"/>
                <w:lang w:eastAsia="hr-HR"/>
              </w:rPr>
              <w:t>31.12.2022.</w:t>
            </w:r>
          </w:p>
        </w:tc>
        <w:tc>
          <w:tcPr>
            <w:tcW w:type="pct" w:w="443"/>
            <w:tcBorders>
              <w:top w:space="0" w:sz="4" w:color="auto" w:val="single"/>
              <w:left w:space="0" w:sz="4" w:color="auto" w:val="single"/>
              <w:bottom w:val="nil"/>
              <w:right w:val="nil"/>
            </w:tcBorders>
            <w:shd w:fill="969696" w:color="auto" w:val="clear"/>
            <w:vAlign w:val="center"/>
            <w:hideMark/>
          </w:tcPr>
          <w:p w:rsidRDefault="001E3364" w:rsidR="001E3364">
            <w:pPr>
              <w:spacing w:lineRule="auto" w:line="240" w:after="0"/>
              <w:jc w:val="center"/>
              <w:rPr>
                <w:rFonts w:cs="Calibri" w:eastAsia="Times New Roman" w:hAnsi="Calibri" w:ascii="Calibri"/>
                <w:b/>
                <w:bCs/>
                <w:color w:val="FFFFFF"/>
                <w:sz w:val="16"/>
                <w:szCs w:val="16"/>
                <w:lang w:eastAsia="hr-HR"/>
              </w:rPr>
            </w:pPr>
            <w:r>
              <w:rPr>
                <w:rFonts w:cs="Calibri" w:eastAsia="Times New Roman" w:hAnsi="Calibri" w:ascii="Calibri"/>
                <w:b/>
                <w:bCs/>
                <w:color w:val="FFFFFF"/>
                <w:sz w:val="16"/>
                <w:szCs w:val="16"/>
                <w:lang w:eastAsia="hr-HR"/>
              </w:rPr>
              <w:t>31.12.2023.</w:t>
            </w:r>
          </w:p>
        </w:tc>
        <w:tc>
          <w:tcPr>
            <w:tcW w:type="pct" w:w="443"/>
            <w:tcBorders>
              <w:top w:space="0" w:sz="4" w:color="auto" w:val="single"/>
              <w:left w:space="0" w:sz="4" w:color="auto" w:val="single"/>
              <w:bottom w:val="nil"/>
              <w:right w:val="nil"/>
            </w:tcBorders>
            <w:shd w:fill="969696" w:color="auto" w:val="clear"/>
            <w:vAlign w:val="center"/>
            <w:hideMark/>
          </w:tcPr>
          <w:p w:rsidRDefault="001E3364" w:rsidR="001E3364">
            <w:pPr>
              <w:spacing w:lineRule="auto" w:line="240" w:after="0"/>
              <w:jc w:val="center"/>
              <w:rPr>
                <w:rFonts w:cs="Calibri" w:eastAsia="Times New Roman" w:hAnsi="Calibri" w:ascii="Calibri"/>
                <w:b/>
                <w:bCs/>
                <w:color w:val="FFFFFF"/>
                <w:sz w:val="16"/>
                <w:szCs w:val="16"/>
                <w:lang w:eastAsia="hr-HR"/>
              </w:rPr>
            </w:pPr>
            <w:r>
              <w:rPr>
                <w:rFonts w:cs="Calibri" w:eastAsia="Times New Roman" w:hAnsi="Calibri" w:ascii="Calibri"/>
                <w:b/>
                <w:bCs/>
                <w:color w:val="FFFFFF"/>
                <w:sz w:val="16"/>
                <w:szCs w:val="16"/>
                <w:lang w:eastAsia="hr-HR"/>
              </w:rPr>
              <w:t>31.12.2024.</w:t>
            </w:r>
          </w:p>
        </w:tc>
      </w:tr>
      <w:tr w:rsidTr="001E3364" w:rsidR="001E3364">
        <w:trPr>
          <w:trHeight w:val="20"/>
        </w:trPr>
        <w:tc>
          <w:tcPr>
            <w:tcW w:type="pct" w:w="1807"/>
            <w:tcBorders>
              <w:top w:val="nil"/>
              <w:left w:space="0" w:sz="4" w:color="auto" w:val="single"/>
              <w:bottom w:space="0" w:sz="4" w:color="auto" w:val="single"/>
              <w:right w:val="nil"/>
            </w:tcBorders>
            <w:shd w:fill="DCE6F1" w:color="auto" w:val="clear"/>
            <w:vAlign w:val="center"/>
            <w:hideMark/>
          </w:tcPr>
          <w:p w:rsidRDefault="001E3364" w:rsidR="001E3364">
            <w:pPr>
              <w:spacing w:lineRule="auto" w:line="240" w:after="0"/>
              <w:rPr>
                <w:rFonts w:cs="Calibri" w:eastAsia="Times New Roman" w:hAnsi="Calibri" w:ascii="Calibri"/>
                <w:b/>
                <w:bCs/>
                <w:color w:val="000080"/>
                <w:sz w:val="16"/>
                <w:szCs w:val="16"/>
                <w:lang w:eastAsia="hr-HR"/>
              </w:rPr>
            </w:pPr>
            <w:r>
              <w:rPr>
                <w:rFonts w:cs="Calibri" w:eastAsia="Times New Roman" w:hAnsi="Calibri" w:ascii="Calibri"/>
                <w:b/>
                <w:bCs/>
                <w:color w:val="000080"/>
                <w:sz w:val="16"/>
                <w:szCs w:val="16"/>
                <w:lang w:eastAsia="hr-HR"/>
              </w:rPr>
              <w:t>RAČUN DOBITI I GUBITKA</w:t>
            </w:r>
          </w:p>
        </w:tc>
        <w:tc>
          <w:tcPr>
            <w:tcW w:type="pct" w:w="443"/>
            <w:tcBorders>
              <w:top w:val="nil"/>
              <w:left w:val="nil"/>
              <w:bottom w:space="0" w:sz="4" w:color="auto" w:val="single"/>
              <w:right w:val="nil"/>
            </w:tcBorders>
            <w:shd w:fill="DCE6F1" w:color="auto" w:val="clear"/>
            <w:noWrap/>
            <w:vAlign w:val="bottom"/>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w:t>
            </w:r>
          </w:p>
        </w:tc>
        <w:tc>
          <w:tcPr>
            <w:tcW w:type="pct" w:w="443"/>
            <w:tcBorders>
              <w:top w:val="nil"/>
              <w:left w:val="nil"/>
              <w:bottom w:space="0" w:sz="4" w:color="auto" w:val="single"/>
              <w:right w:val="nil"/>
            </w:tcBorders>
            <w:shd w:fill="DCE6F1" w:color="auto" w:val="clear"/>
            <w:noWrap/>
            <w:vAlign w:val="bottom"/>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w:t>
            </w:r>
          </w:p>
        </w:tc>
        <w:tc>
          <w:tcPr>
            <w:tcW w:type="pct" w:w="534"/>
            <w:tcBorders>
              <w:top w:val="nil"/>
              <w:left w:val="nil"/>
              <w:bottom w:space="0" w:sz="4" w:color="auto" w:val="single"/>
              <w:right w:val="nil"/>
            </w:tcBorders>
            <w:shd w:fill="DCE6F1" w:color="auto" w:val="clear"/>
            <w:noWrap/>
            <w:vAlign w:val="bottom"/>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w:t>
            </w:r>
          </w:p>
        </w:tc>
        <w:tc>
          <w:tcPr>
            <w:tcW w:type="pct" w:w="443"/>
            <w:tcBorders>
              <w:top w:val="nil"/>
              <w:left w:val="nil"/>
              <w:bottom w:space="0" w:sz="4" w:color="auto" w:val="single"/>
              <w:right w:val="nil"/>
            </w:tcBorders>
            <w:shd w:fill="DCE6F1" w:color="auto" w:val="clear"/>
            <w:noWrap/>
            <w:vAlign w:val="bottom"/>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w:t>
            </w:r>
          </w:p>
        </w:tc>
        <w:tc>
          <w:tcPr>
            <w:tcW w:type="pct" w:w="443"/>
            <w:tcBorders>
              <w:top w:val="nil"/>
              <w:left w:val="nil"/>
              <w:bottom w:space="0" w:sz="4" w:color="auto" w:val="single"/>
              <w:right w:val="nil"/>
            </w:tcBorders>
            <w:shd w:fill="DCE6F1" w:color="auto" w:val="clear"/>
            <w:noWrap/>
            <w:vAlign w:val="bottom"/>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w:t>
            </w:r>
          </w:p>
        </w:tc>
        <w:tc>
          <w:tcPr>
            <w:tcW w:type="pct" w:w="443"/>
            <w:tcBorders>
              <w:top w:val="nil"/>
              <w:left w:val="nil"/>
              <w:bottom w:space="0" w:sz="4" w:color="auto" w:val="single"/>
              <w:right w:val="nil"/>
            </w:tcBorders>
            <w:shd w:fill="DCE6F1" w:color="auto" w:val="clear"/>
            <w:noWrap/>
            <w:vAlign w:val="bottom"/>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w:t>
            </w:r>
          </w:p>
        </w:tc>
        <w:tc>
          <w:tcPr>
            <w:tcW w:type="pct" w:w="443"/>
            <w:tcBorders>
              <w:top w:val="nil"/>
              <w:left w:val="nil"/>
              <w:bottom w:space="0" w:sz="4" w:color="auto" w:val="single"/>
              <w:right w:space="0" w:sz="4" w:color="auto" w:val="single"/>
            </w:tcBorders>
            <w:shd w:fill="DCE6F1" w:color="auto" w:val="clear"/>
            <w:noWrap/>
            <w:vAlign w:val="bottom"/>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w:t>
            </w:r>
          </w:p>
        </w:tc>
      </w:tr>
      <w:tr w:rsidTr="001E3364" w:rsidR="001E3364">
        <w:trPr>
          <w:trHeight w:val="20"/>
        </w:trPr>
        <w:tc>
          <w:tcPr>
            <w:tcW w:type="pct" w:w="180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b/>
                <w:bCs/>
                <w:sz w:val="16"/>
                <w:szCs w:val="16"/>
                <w:lang w:eastAsia="hr-HR"/>
              </w:rPr>
            </w:pPr>
            <w:r>
              <w:rPr>
                <w:rFonts w:cs="Calibri" w:eastAsia="Times New Roman" w:hAnsi="Calibri" w:ascii="Calibri"/>
                <w:b/>
                <w:bCs/>
                <w:sz w:val="16"/>
                <w:szCs w:val="16"/>
                <w:lang w:eastAsia="hr-HR"/>
              </w:rPr>
              <w:t>I. POSLOVNI PRIHODI</w:t>
            </w:r>
          </w:p>
        </w:tc>
        <w:tc>
          <w:tcPr>
            <w:tcW w:type="pct" w:w="443"/>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26.000.000</w:t>
            </w:r>
          </w:p>
        </w:tc>
        <w:tc>
          <w:tcPr>
            <w:tcW w:type="pct" w:w="443"/>
            <w:tcBorders>
              <w:top w:val="nil"/>
              <w:left w:val="nil"/>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41.500.000</w:t>
            </w:r>
          </w:p>
        </w:tc>
        <w:tc>
          <w:tcPr>
            <w:tcW w:type="pct" w:w="534"/>
            <w:tcBorders>
              <w:top w:val="nil"/>
              <w:left w:val="nil"/>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52.500.000</w:t>
            </w:r>
          </w:p>
        </w:tc>
        <w:tc>
          <w:tcPr>
            <w:tcW w:type="pct" w:w="443"/>
            <w:tcBorders>
              <w:top w:val="nil"/>
              <w:left w:val="nil"/>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56.500.000</w:t>
            </w:r>
          </w:p>
        </w:tc>
        <w:tc>
          <w:tcPr>
            <w:tcW w:type="pct" w:w="443"/>
            <w:tcBorders>
              <w:top w:val="nil"/>
              <w:left w:val="nil"/>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60.500.000</w:t>
            </w:r>
          </w:p>
        </w:tc>
        <w:tc>
          <w:tcPr>
            <w:tcW w:type="pct" w:w="443"/>
            <w:tcBorders>
              <w:top w:val="nil"/>
              <w:left w:val="nil"/>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64.500.000</w:t>
            </w:r>
          </w:p>
        </w:tc>
        <w:tc>
          <w:tcPr>
            <w:tcW w:type="pct" w:w="443"/>
            <w:tcBorders>
              <w:top w:val="nil"/>
              <w:left w:val="nil"/>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68.500.000</w:t>
            </w:r>
          </w:p>
        </w:tc>
      </w:tr>
      <w:tr w:rsidTr="001E3364" w:rsidR="001E3364">
        <w:trPr>
          <w:trHeight w:val="20"/>
        </w:trPr>
        <w:tc>
          <w:tcPr>
            <w:tcW w:type="pct" w:w="180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1. Prihodi od prodaje s poduzetnicima unutar grupe</w:t>
            </w:r>
          </w:p>
        </w:tc>
        <w:tc>
          <w:tcPr>
            <w:tcW w:type="pct" w:w="44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534"/>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180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2. Prihodi od prodaje (izvan grupe)</w:t>
            </w:r>
          </w:p>
        </w:tc>
        <w:tc>
          <w:tcPr>
            <w:tcW w:type="pct" w:w="44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20.000.000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35.000.000</w:t>
            </w:r>
          </w:p>
        </w:tc>
        <w:tc>
          <w:tcPr>
            <w:tcW w:type="pct" w:w="534"/>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46.000.000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50.000.000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54.000.000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58.000.000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62.000.000</w:t>
            </w:r>
          </w:p>
        </w:tc>
      </w:tr>
      <w:tr w:rsidTr="001E3364" w:rsidR="001E3364">
        <w:trPr>
          <w:trHeight w:val="20"/>
        </w:trPr>
        <w:tc>
          <w:tcPr>
            <w:tcW w:type="pct" w:w="180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3. Prihodi na temelju upotrebe vlastitih proizvoda, robe i usluga</w:t>
            </w:r>
          </w:p>
        </w:tc>
        <w:tc>
          <w:tcPr>
            <w:tcW w:type="pct" w:w="44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534"/>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180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4. Ostali poslovni prihodi s poduzetnicima unutar grupe</w:t>
            </w:r>
          </w:p>
        </w:tc>
        <w:tc>
          <w:tcPr>
            <w:tcW w:type="pct" w:w="44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534"/>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1807"/>
            <w:tcBorders>
              <w:top w:val="nil"/>
              <w:left w:space="0" w:sz="4" w:color="auto" w:val="single"/>
              <w:bottom w:space="0" w:sz="4" w:color="000000"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5. Ostali poslovni prihodi (izvan grupe)</w:t>
            </w:r>
          </w:p>
        </w:tc>
        <w:tc>
          <w:tcPr>
            <w:tcW w:type="pct" w:w="443"/>
            <w:tcBorders>
              <w:top w:space="0" w:sz="4" w:color="auto" w:val="single"/>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6.000.000</w:t>
            </w:r>
          </w:p>
        </w:tc>
        <w:tc>
          <w:tcPr>
            <w:tcW w:type="pct" w:w="443"/>
            <w:tcBorders>
              <w:top w:val="nil"/>
              <w:left w:val="nil"/>
              <w:bottom w:space="0" w:sz="4" w:color="000000"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6.500.000</w:t>
            </w:r>
          </w:p>
        </w:tc>
        <w:tc>
          <w:tcPr>
            <w:tcW w:type="pct" w:w="534"/>
            <w:tcBorders>
              <w:top w:val="nil"/>
              <w:left w:val="nil"/>
              <w:bottom w:space="0" w:sz="4" w:color="000000"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6.500.000</w:t>
            </w:r>
          </w:p>
        </w:tc>
        <w:tc>
          <w:tcPr>
            <w:tcW w:type="pct" w:w="443"/>
            <w:tcBorders>
              <w:top w:val="nil"/>
              <w:left w:val="nil"/>
              <w:bottom w:space="0" w:sz="4" w:color="000000"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6.500.000</w:t>
            </w:r>
          </w:p>
        </w:tc>
        <w:tc>
          <w:tcPr>
            <w:tcW w:type="pct" w:w="443"/>
            <w:tcBorders>
              <w:top w:val="nil"/>
              <w:left w:val="nil"/>
              <w:bottom w:space="0" w:sz="4" w:color="000000"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6.500.000</w:t>
            </w:r>
          </w:p>
        </w:tc>
        <w:tc>
          <w:tcPr>
            <w:tcW w:type="pct" w:w="443"/>
            <w:tcBorders>
              <w:top w:val="nil"/>
              <w:left w:val="nil"/>
              <w:bottom w:space="0" w:sz="4" w:color="000000"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6.500.000</w:t>
            </w:r>
          </w:p>
        </w:tc>
        <w:tc>
          <w:tcPr>
            <w:tcW w:type="pct" w:w="443"/>
            <w:tcBorders>
              <w:top w:val="nil"/>
              <w:left w:val="nil"/>
              <w:bottom w:space="0" w:sz="4" w:color="000000"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6.500.000</w:t>
            </w:r>
          </w:p>
        </w:tc>
      </w:tr>
      <w:tr w:rsidTr="001E3364" w:rsidR="001E3364">
        <w:trPr>
          <w:trHeight w:val="20"/>
        </w:trPr>
        <w:tc>
          <w:tcPr>
            <w:tcW w:type="pct" w:w="180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b/>
                <w:bCs/>
                <w:sz w:val="16"/>
                <w:szCs w:val="16"/>
                <w:lang w:eastAsia="hr-HR"/>
              </w:rPr>
            </w:pPr>
            <w:r>
              <w:rPr>
                <w:rFonts w:cs="Calibri" w:eastAsia="Times New Roman" w:hAnsi="Calibri" w:ascii="Calibri"/>
                <w:b/>
                <w:bCs/>
                <w:sz w:val="16"/>
                <w:szCs w:val="16"/>
                <w:lang w:eastAsia="hr-HR"/>
              </w:rPr>
              <w:t>II. POSLOVNI RASHODI</w:t>
            </w:r>
          </w:p>
        </w:tc>
        <w:tc>
          <w:tcPr>
            <w:tcW w:type="pct" w:w="443"/>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32.925.322</w:t>
            </w:r>
          </w:p>
        </w:tc>
        <w:tc>
          <w:tcPr>
            <w:tcW w:type="pct" w:w="443"/>
            <w:tcBorders>
              <w:top w:val="nil"/>
              <w:left w:val="nil"/>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38.025.322</w:t>
            </w:r>
          </w:p>
        </w:tc>
        <w:tc>
          <w:tcPr>
            <w:tcW w:type="pct" w:w="534"/>
            <w:tcBorders>
              <w:top w:val="nil"/>
              <w:left w:val="nil"/>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44.621.674</w:t>
            </w:r>
          </w:p>
        </w:tc>
        <w:tc>
          <w:tcPr>
            <w:tcW w:type="pct" w:w="443"/>
            <w:tcBorders>
              <w:top w:val="nil"/>
              <w:left w:val="nil"/>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47.718.025</w:t>
            </w:r>
          </w:p>
        </w:tc>
        <w:tc>
          <w:tcPr>
            <w:tcW w:type="pct" w:w="443"/>
            <w:tcBorders>
              <w:top w:val="nil"/>
              <w:left w:val="nil"/>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51.214.377</w:t>
            </w:r>
          </w:p>
        </w:tc>
        <w:tc>
          <w:tcPr>
            <w:tcW w:type="pct" w:w="443"/>
            <w:tcBorders>
              <w:top w:val="nil"/>
              <w:left w:val="nil"/>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54.110.729</w:t>
            </w:r>
          </w:p>
        </w:tc>
        <w:tc>
          <w:tcPr>
            <w:tcW w:type="pct" w:w="443"/>
            <w:tcBorders>
              <w:top w:val="nil"/>
              <w:left w:val="nil"/>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57.007.081</w:t>
            </w:r>
          </w:p>
        </w:tc>
      </w:tr>
      <w:tr w:rsidTr="001E3364" w:rsidR="001E3364">
        <w:trPr>
          <w:trHeight w:val="20"/>
        </w:trPr>
        <w:tc>
          <w:tcPr>
            <w:tcW w:type="pct" w:w="1807"/>
            <w:tcBorders>
              <w:top w:val="nil"/>
              <w:left w:space="0" w:sz="4" w:color="auto" w:val="single"/>
              <w:bottom w:space="0" w:sz="4" w:color="000000"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1. Promjene vrijednosti zaliha proizvodnje u tijeku i gotovih proizvoda</w:t>
            </w:r>
          </w:p>
        </w:tc>
        <w:tc>
          <w:tcPr>
            <w:tcW w:type="pct" w:w="443"/>
            <w:tcBorders>
              <w:top w:space="0" w:sz="4" w:color="auto" w:val="single"/>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000000"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534"/>
            <w:tcBorders>
              <w:top w:val="nil"/>
              <w:left w:val="nil"/>
              <w:bottom w:space="0" w:sz="4" w:color="000000"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000000"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000000"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000000"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000000"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180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b/>
                <w:bCs/>
                <w:sz w:val="16"/>
                <w:szCs w:val="16"/>
                <w:lang w:eastAsia="hr-HR"/>
              </w:rPr>
            </w:pPr>
            <w:r>
              <w:rPr>
                <w:rFonts w:cs="Calibri" w:eastAsia="Times New Roman" w:hAnsi="Calibri" w:ascii="Calibri"/>
                <w:b/>
                <w:bCs/>
                <w:sz w:val="16"/>
                <w:szCs w:val="16"/>
                <w:lang w:eastAsia="hr-HR"/>
              </w:rPr>
              <w:t xml:space="preserve">    2. Materijalni troškovi</w:t>
            </w:r>
          </w:p>
        </w:tc>
        <w:tc>
          <w:tcPr>
            <w:tcW w:type="pct" w:w="443"/>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26.000.000</w:t>
            </w:r>
          </w:p>
        </w:tc>
        <w:tc>
          <w:tcPr>
            <w:tcW w:type="pct" w:w="443"/>
            <w:tcBorders>
              <w:top w:val="nil"/>
              <w:left w:val="nil"/>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30.500.000</w:t>
            </w:r>
          </w:p>
        </w:tc>
        <w:tc>
          <w:tcPr>
            <w:tcW w:type="pct" w:w="534"/>
            <w:tcBorders>
              <w:top w:val="nil"/>
              <w:left w:val="nil"/>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37.000.000</w:t>
            </w:r>
          </w:p>
        </w:tc>
        <w:tc>
          <w:tcPr>
            <w:tcW w:type="pct" w:w="443"/>
            <w:tcBorders>
              <w:top w:val="nil"/>
              <w:left w:val="nil"/>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39.500.000</w:t>
            </w:r>
          </w:p>
        </w:tc>
        <w:tc>
          <w:tcPr>
            <w:tcW w:type="pct" w:w="443"/>
            <w:tcBorders>
              <w:top w:val="nil"/>
              <w:left w:val="nil"/>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43.000.000</w:t>
            </w:r>
          </w:p>
        </w:tc>
        <w:tc>
          <w:tcPr>
            <w:tcW w:type="pct" w:w="443"/>
            <w:tcBorders>
              <w:top w:val="nil"/>
              <w:left w:val="nil"/>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46.000.000</w:t>
            </w:r>
          </w:p>
        </w:tc>
        <w:tc>
          <w:tcPr>
            <w:tcW w:type="pct" w:w="443"/>
            <w:tcBorders>
              <w:top w:val="nil"/>
              <w:left w:val="nil"/>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49.000.000</w:t>
            </w:r>
          </w:p>
        </w:tc>
      </w:tr>
      <w:tr w:rsidTr="001E3364" w:rsidR="001E3364">
        <w:trPr>
          <w:trHeight w:val="20"/>
        </w:trPr>
        <w:tc>
          <w:tcPr>
            <w:tcW w:type="pct" w:w="180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a) Troškovi sirovina i materijala </w:t>
            </w:r>
          </w:p>
        </w:tc>
        <w:tc>
          <w:tcPr>
            <w:tcW w:type="pct" w:w="44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17.000.000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20.000.000</w:t>
            </w:r>
          </w:p>
        </w:tc>
        <w:tc>
          <w:tcPr>
            <w:tcW w:type="pct" w:w="534"/>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25.000.000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27.000.000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29.000.000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32.000.000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34.000.000</w:t>
            </w:r>
          </w:p>
        </w:tc>
      </w:tr>
      <w:tr w:rsidTr="001E3364" w:rsidR="001E3364">
        <w:trPr>
          <w:trHeight w:val="20"/>
        </w:trPr>
        <w:tc>
          <w:tcPr>
            <w:tcW w:type="pct" w:w="180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b) Troškovi prodane robe </w:t>
            </w:r>
          </w:p>
        </w:tc>
        <w:tc>
          <w:tcPr>
            <w:tcW w:type="pct" w:w="44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7.000.000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8.000.000</w:t>
            </w:r>
          </w:p>
        </w:tc>
        <w:tc>
          <w:tcPr>
            <w:tcW w:type="pct" w:w="534"/>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9.000.000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9.000.000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10.500.000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10.500.000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11.500.000</w:t>
            </w:r>
          </w:p>
        </w:tc>
      </w:tr>
      <w:tr w:rsidTr="001E3364" w:rsidR="001E3364">
        <w:trPr>
          <w:trHeight w:val="20"/>
        </w:trPr>
        <w:tc>
          <w:tcPr>
            <w:tcW w:type="pct" w:w="180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c) Ostali vanjski troškovi </w:t>
            </w:r>
          </w:p>
        </w:tc>
        <w:tc>
          <w:tcPr>
            <w:tcW w:type="pct" w:w="44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2.000.000</w:t>
            </w:r>
          </w:p>
        </w:tc>
        <w:tc>
          <w:tcPr>
            <w:tcW w:type="pct" w:w="443"/>
            <w:tcBorders>
              <w:top w:val="nil"/>
              <w:left w:val="nil"/>
              <w:bottom w:space="0" w:sz="4" w:color="000000"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2.500.000</w:t>
            </w:r>
          </w:p>
        </w:tc>
        <w:tc>
          <w:tcPr>
            <w:tcW w:type="pct" w:w="534"/>
            <w:tcBorders>
              <w:top w:val="nil"/>
              <w:left w:val="nil"/>
              <w:bottom w:space="0" w:sz="4" w:color="000000"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3.000.000</w:t>
            </w:r>
          </w:p>
        </w:tc>
        <w:tc>
          <w:tcPr>
            <w:tcW w:type="pct" w:w="443"/>
            <w:tcBorders>
              <w:top w:val="nil"/>
              <w:left w:val="nil"/>
              <w:bottom w:space="0" w:sz="4" w:color="000000"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3.500.000</w:t>
            </w:r>
          </w:p>
        </w:tc>
        <w:tc>
          <w:tcPr>
            <w:tcW w:type="pct" w:w="443"/>
            <w:tcBorders>
              <w:top w:val="nil"/>
              <w:left w:val="nil"/>
              <w:bottom w:space="0" w:sz="4" w:color="000000"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3.500.000</w:t>
            </w:r>
          </w:p>
        </w:tc>
        <w:tc>
          <w:tcPr>
            <w:tcW w:type="pct" w:w="443"/>
            <w:tcBorders>
              <w:top w:val="nil"/>
              <w:left w:val="nil"/>
              <w:bottom w:space="0" w:sz="4" w:color="000000"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3.500.000</w:t>
            </w:r>
          </w:p>
        </w:tc>
        <w:tc>
          <w:tcPr>
            <w:tcW w:type="pct" w:w="443"/>
            <w:tcBorders>
              <w:top w:val="nil"/>
              <w:left w:val="nil"/>
              <w:bottom w:space="0" w:sz="4" w:color="000000"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3.500.000</w:t>
            </w:r>
          </w:p>
        </w:tc>
      </w:tr>
      <w:tr w:rsidTr="001E3364" w:rsidR="001E3364">
        <w:trPr>
          <w:trHeight w:val="20"/>
        </w:trPr>
        <w:tc>
          <w:tcPr>
            <w:tcW w:type="pct" w:w="180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b/>
                <w:bCs/>
                <w:sz w:val="16"/>
                <w:szCs w:val="16"/>
                <w:lang w:eastAsia="hr-HR"/>
              </w:rPr>
            </w:pPr>
            <w:r>
              <w:rPr>
                <w:rFonts w:cs="Calibri" w:eastAsia="Times New Roman" w:hAnsi="Calibri" w:ascii="Calibri"/>
                <w:b/>
                <w:bCs/>
                <w:sz w:val="16"/>
                <w:szCs w:val="16"/>
                <w:lang w:eastAsia="hr-HR"/>
              </w:rPr>
              <w:t xml:space="preserve">   3. Troškovi osoblja</w:t>
            </w:r>
          </w:p>
        </w:tc>
        <w:tc>
          <w:tcPr>
            <w:tcW w:type="pct" w:w="443"/>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2.200.000</w:t>
            </w:r>
          </w:p>
        </w:tc>
        <w:tc>
          <w:tcPr>
            <w:tcW w:type="pct" w:w="443"/>
            <w:tcBorders>
              <w:top w:val="nil"/>
              <w:left w:val="nil"/>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3.100.000</w:t>
            </w:r>
          </w:p>
        </w:tc>
        <w:tc>
          <w:tcPr>
            <w:tcW w:type="pct" w:w="534"/>
            <w:tcBorders>
              <w:top w:val="nil"/>
              <w:left w:val="nil"/>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3.800.000</w:t>
            </w:r>
          </w:p>
        </w:tc>
        <w:tc>
          <w:tcPr>
            <w:tcW w:type="pct" w:w="443"/>
            <w:tcBorders>
              <w:top w:val="nil"/>
              <w:left w:val="nil"/>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4.500.000</w:t>
            </w:r>
          </w:p>
        </w:tc>
        <w:tc>
          <w:tcPr>
            <w:tcW w:type="pct" w:w="443"/>
            <w:tcBorders>
              <w:top w:val="nil"/>
              <w:left w:val="nil"/>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4.600.000</w:t>
            </w:r>
          </w:p>
        </w:tc>
        <w:tc>
          <w:tcPr>
            <w:tcW w:type="pct" w:w="443"/>
            <w:tcBorders>
              <w:top w:val="nil"/>
              <w:left w:val="nil"/>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4.600.000</w:t>
            </w:r>
          </w:p>
        </w:tc>
        <w:tc>
          <w:tcPr>
            <w:tcW w:type="pct" w:w="443"/>
            <w:tcBorders>
              <w:top w:val="nil"/>
              <w:left w:val="nil"/>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4.600.000</w:t>
            </w:r>
          </w:p>
        </w:tc>
      </w:tr>
      <w:tr w:rsidTr="001E3364" w:rsidR="001E3364">
        <w:trPr>
          <w:trHeight w:val="20"/>
        </w:trPr>
        <w:tc>
          <w:tcPr>
            <w:tcW w:type="pct" w:w="180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a) Neto plaće i nadnice</w:t>
            </w:r>
          </w:p>
        </w:tc>
        <w:tc>
          <w:tcPr>
            <w:tcW w:type="pct" w:w="44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1.500.000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2.000.000</w:t>
            </w:r>
          </w:p>
        </w:tc>
        <w:tc>
          <w:tcPr>
            <w:tcW w:type="pct" w:w="534"/>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2.500.000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3.000.000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3.000.000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3.000.000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3.000.000</w:t>
            </w:r>
          </w:p>
        </w:tc>
      </w:tr>
      <w:tr w:rsidTr="001E3364" w:rsidR="001E3364">
        <w:trPr>
          <w:trHeight w:val="20"/>
        </w:trPr>
        <w:tc>
          <w:tcPr>
            <w:tcW w:type="pct" w:w="180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b) Troškovi poreza i doprinosa iz plaća</w:t>
            </w:r>
          </w:p>
        </w:tc>
        <w:tc>
          <w:tcPr>
            <w:tcW w:type="pct" w:w="44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400.000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700.000</w:t>
            </w:r>
          </w:p>
        </w:tc>
        <w:tc>
          <w:tcPr>
            <w:tcW w:type="pct" w:w="534"/>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800.000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900.000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1.000.000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1.000.000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1.000.000</w:t>
            </w:r>
          </w:p>
        </w:tc>
      </w:tr>
      <w:tr w:rsidTr="001E3364" w:rsidR="001E3364">
        <w:trPr>
          <w:trHeight w:val="20"/>
        </w:trPr>
        <w:tc>
          <w:tcPr>
            <w:tcW w:type="pct" w:w="180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c) Doprinosi na plaće</w:t>
            </w:r>
          </w:p>
        </w:tc>
        <w:tc>
          <w:tcPr>
            <w:tcW w:type="pct" w:w="44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300.000</w:t>
            </w:r>
          </w:p>
        </w:tc>
        <w:tc>
          <w:tcPr>
            <w:tcW w:type="pct" w:w="443"/>
            <w:tcBorders>
              <w:top w:val="nil"/>
              <w:left w:val="nil"/>
              <w:bottom w:val="nil"/>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400.000</w:t>
            </w:r>
          </w:p>
        </w:tc>
        <w:tc>
          <w:tcPr>
            <w:tcW w:type="pct" w:w="534"/>
            <w:tcBorders>
              <w:top w:val="nil"/>
              <w:left w:val="nil"/>
              <w:bottom w:val="nil"/>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500.000</w:t>
            </w:r>
          </w:p>
        </w:tc>
        <w:tc>
          <w:tcPr>
            <w:tcW w:type="pct" w:w="443"/>
            <w:tcBorders>
              <w:top w:val="nil"/>
              <w:left w:val="nil"/>
              <w:bottom w:val="nil"/>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600.000</w:t>
            </w:r>
          </w:p>
        </w:tc>
        <w:tc>
          <w:tcPr>
            <w:tcW w:type="pct" w:w="443"/>
            <w:tcBorders>
              <w:top w:val="nil"/>
              <w:left w:val="nil"/>
              <w:bottom w:val="nil"/>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600.000</w:t>
            </w:r>
          </w:p>
        </w:tc>
        <w:tc>
          <w:tcPr>
            <w:tcW w:type="pct" w:w="443"/>
            <w:tcBorders>
              <w:top w:val="nil"/>
              <w:left w:val="nil"/>
              <w:bottom w:val="nil"/>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600.000</w:t>
            </w:r>
          </w:p>
        </w:tc>
        <w:tc>
          <w:tcPr>
            <w:tcW w:type="pct" w:w="443"/>
            <w:tcBorders>
              <w:top w:val="nil"/>
              <w:left w:val="nil"/>
              <w:bottom w:val="nil"/>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600.000</w:t>
            </w:r>
          </w:p>
        </w:tc>
      </w:tr>
      <w:tr w:rsidTr="001E3364" w:rsidR="001E3364">
        <w:trPr>
          <w:trHeight w:val="20"/>
        </w:trPr>
        <w:tc>
          <w:tcPr>
            <w:tcW w:type="pct" w:w="180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b/>
                <w:bCs/>
                <w:sz w:val="16"/>
                <w:szCs w:val="16"/>
                <w:lang w:eastAsia="hr-HR"/>
              </w:rPr>
            </w:pPr>
            <w:r>
              <w:rPr>
                <w:rFonts w:cs="Calibri" w:eastAsia="Times New Roman" w:hAnsi="Calibri" w:ascii="Calibri"/>
                <w:b/>
                <w:bCs/>
                <w:sz w:val="16"/>
                <w:szCs w:val="16"/>
                <w:lang w:eastAsia="hr-HR"/>
              </w:rPr>
              <w:t xml:space="preserve">   4. Amortizacija</w:t>
            </w:r>
          </w:p>
        </w:tc>
        <w:tc>
          <w:tcPr>
            <w:tcW w:type="pct" w:w="443"/>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3.925.322</w:t>
            </w:r>
          </w:p>
        </w:tc>
        <w:tc>
          <w:tcPr>
            <w:tcW w:type="pct" w:w="443"/>
            <w:tcBorders>
              <w:top w:space="0" w:sz="4" w:color="000000" w:val="single"/>
              <w:left w:val="nil"/>
              <w:bottom w:space="0" w:sz="4" w:color="000000"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3.425.322</w:t>
            </w:r>
          </w:p>
        </w:tc>
        <w:tc>
          <w:tcPr>
            <w:tcW w:type="pct" w:w="534"/>
            <w:tcBorders>
              <w:top w:space="0" w:sz="4" w:color="000000" w:val="single"/>
              <w:left w:val="nil"/>
              <w:bottom w:space="0" w:sz="4" w:color="000000"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2.821.674</w:t>
            </w:r>
          </w:p>
        </w:tc>
        <w:tc>
          <w:tcPr>
            <w:tcW w:type="pct" w:w="443"/>
            <w:tcBorders>
              <w:top w:space="0" w:sz="4" w:color="000000" w:val="single"/>
              <w:left w:val="nil"/>
              <w:bottom w:space="0" w:sz="4" w:color="000000"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2.718.025</w:t>
            </w:r>
          </w:p>
        </w:tc>
        <w:tc>
          <w:tcPr>
            <w:tcW w:type="pct" w:w="443"/>
            <w:tcBorders>
              <w:top w:space="0" w:sz="4" w:color="000000" w:val="single"/>
              <w:left w:val="nil"/>
              <w:bottom w:space="0" w:sz="4" w:color="000000"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2.614.377</w:t>
            </w:r>
          </w:p>
        </w:tc>
        <w:tc>
          <w:tcPr>
            <w:tcW w:type="pct" w:w="443"/>
            <w:tcBorders>
              <w:top w:space="0" w:sz="4" w:color="000000" w:val="single"/>
              <w:left w:val="nil"/>
              <w:bottom w:space="0" w:sz="4" w:color="000000"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2.510.729</w:t>
            </w:r>
          </w:p>
        </w:tc>
        <w:tc>
          <w:tcPr>
            <w:tcW w:type="pct" w:w="443"/>
            <w:tcBorders>
              <w:top w:space="0" w:sz="4" w:color="000000" w:val="single"/>
              <w:left w:val="nil"/>
              <w:bottom w:space="0" w:sz="4" w:color="000000"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2.407.081</w:t>
            </w:r>
          </w:p>
        </w:tc>
      </w:tr>
      <w:tr w:rsidTr="001E3364" w:rsidR="001E3364">
        <w:trPr>
          <w:trHeight w:val="20"/>
        </w:trPr>
        <w:tc>
          <w:tcPr>
            <w:tcW w:type="pct" w:w="180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b/>
                <w:bCs/>
                <w:sz w:val="16"/>
                <w:szCs w:val="16"/>
                <w:lang w:eastAsia="hr-HR"/>
              </w:rPr>
            </w:pPr>
            <w:r>
              <w:rPr>
                <w:rFonts w:cs="Calibri" w:eastAsia="Times New Roman" w:hAnsi="Calibri" w:ascii="Calibri"/>
                <w:b/>
                <w:bCs/>
                <w:sz w:val="16"/>
                <w:szCs w:val="16"/>
                <w:lang w:eastAsia="hr-HR"/>
              </w:rPr>
              <w:t xml:space="preserve">   5. Ostali troškovi</w:t>
            </w:r>
          </w:p>
        </w:tc>
        <w:tc>
          <w:tcPr>
            <w:tcW w:type="pct" w:w="443"/>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400.000</w:t>
            </w:r>
          </w:p>
        </w:tc>
        <w:tc>
          <w:tcPr>
            <w:tcW w:type="pct" w:w="443"/>
            <w:tcBorders>
              <w:top w:val="nil"/>
              <w:left w:val="nil"/>
              <w:bottom w:space="0" w:sz="4" w:color="000000"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500.000</w:t>
            </w:r>
          </w:p>
        </w:tc>
        <w:tc>
          <w:tcPr>
            <w:tcW w:type="pct" w:w="534"/>
            <w:tcBorders>
              <w:top w:val="nil"/>
              <w:left w:val="nil"/>
              <w:bottom w:space="0" w:sz="4" w:color="000000"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500.000</w:t>
            </w:r>
          </w:p>
        </w:tc>
        <w:tc>
          <w:tcPr>
            <w:tcW w:type="pct" w:w="443"/>
            <w:tcBorders>
              <w:top w:val="nil"/>
              <w:left w:val="nil"/>
              <w:bottom w:space="0" w:sz="4" w:color="000000"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500.000</w:t>
            </w:r>
          </w:p>
        </w:tc>
        <w:tc>
          <w:tcPr>
            <w:tcW w:type="pct" w:w="443"/>
            <w:tcBorders>
              <w:top w:val="nil"/>
              <w:left w:val="nil"/>
              <w:bottom w:space="0" w:sz="4" w:color="000000"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500.000</w:t>
            </w:r>
          </w:p>
        </w:tc>
        <w:tc>
          <w:tcPr>
            <w:tcW w:type="pct" w:w="443"/>
            <w:tcBorders>
              <w:top w:val="nil"/>
              <w:left w:val="nil"/>
              <w:bottom w:space="0" w:sz="4" w:color="000000"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500.000</w:t>
            </w:r>
          </w:p>
        </w:tc>
        <w:tc>
          <w:tcPr>
            <w:tcW w:type="pct" w:w="443"/>
            <w:tcBorders>
              <w:top w:val="nil"/>
              <w:left w:val="nil"/>
              <w:bottom w:space="0" w:sz="4" w:color="000000"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500.000</w:t>
            </w:r>
          </w:p>
        </w:tc>
      </w:tr>
      <w:tr w:rsidTr="001E3364" w:rsidR="001E3364">
        <w:trPr>
          <w:trHeight w:val="20"/>
        </w:trPr>
        <w:tc>
          <w:tcPr>
            <w:tcW w:type="pct" w:w="180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b/>
                <w:bCs/>
                <w:sz w:val="16"/>
                <w:szCs w:val="16"/>
                <w:lang w:eastAsia="hr-HR"/>
              </w:rPr>
            </w:pPr>
            <w:r>
              <w:rPr>
                <w:rFonts w:cs="Calibri" w:eastAsia="Times New Roman" w:hAnsi="Calibri" w:ascii="Calibri"/>
                <w:b/>
                <w:bCs/>
                <w:sz w:val="16"/>
                <w:szCs w:val="16"/>
                <w:lang w:eastAsia="hr-HR"/>
              </w:rPr>
              <w:t xml:space="preserve">   6. Vrijednosna usklađenja</w:t>
            </w:r>
          </w:p>
        </w:tc>
        <w:tc>
          <w:tcPr>
            <w:tcW w:type="pct" w:w="443"/>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43"/>
            <w:tcBorders>
              <w:top w:val="nil"/>
              <w:left w:val="nil"/>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534"/>
            <w:tcBorders>
              <w:top w:val="nil"/>
              <w:left w:val="nil"/>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43"/>
            <w:tcBorders>
              <w:top w:val="nil"/>
              <w:left w:val="nil"/>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43"/>
            <w:tcBorders>
              <w:top w:val="nil"/>
              <w:left w:val="nil"/>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43"/>
            <w:tcBorders>
              <w:top w:val="nil"/>
              <w:left w:val="nil"/>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43"/>
            <w:tcBorders>
              <w:top w:val="nil"/>
              <w:left w:val="nil"/>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r>
      <w:tr w:rsidTr="001E3364" w:rsidR="001E3364">
        <w:trPr>
          <w:trHeight w:val="20"/>
        </w:trPr>
        <w:tc>
          <w:tcPr>
            <w:tcW w:type="pct" w:w="180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a) dugotrajne imovine osim financijske imovine</w:t>
            </w:r>
          </w:p>
        </w:tc>
        <w:tc>
          <w:tcPr>
            <w:tcW w:type="pct" w:w="44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534"/>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180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b) kratkotrajne imovine osim financijske imovine</w:t>
            </w:r>
          </w:p>
        </w:tc>
        <w:tc>
          <w:tcPr>
            <w:tcW w:type="pct" w:w="44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534"/>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180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b/>
                <w:bCs/>
                <w:sz w:val="16"/>
                <w:szCs w:val="16"/>
                <w:lang w:eastAsia="hr-HR"/>
              </w:rPr>
            </w:pPr>
            <w:r>
              <w:rPr>
                <w:rFonts w:cs="Calibri" w:eastAsia="Times New Roman" w:hAnsi="Calibri" w:ascii="Calibri"/>
                <w:b/>
                <w:bCs/>
                <w:sz w:val="16"/>
                <w:szCs w:val="16"/>
                <w:lang w:eastAsia="hr-HR"/>
              </w:rPr>
              <w:t xml:space="preserve">   7. Rezerviranja</w:t>
            </w:r>
          </w:p>
        </w:tc>
        <w:tc>
          <w:tcPr>
            <w:tcW w:type="pct" w:w="443"/>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43"/>
            <w:tcBorders>
              <w:top w:val="nil"/>
              <w:left w:val="nil"/>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534"/>
            <w:tcBorders>
              <w:top w:val="nil"/>
              <w:left w:val="nil"/>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43"/>
            <w:tcBorders>
              <w:top w:val="nil"/>
              <w:left w:val="nil"/>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43"/>
            <w:tcBorders>
              <w:top w:val="nil"/>
              <w:left w:val="nil"/>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43"/>
            <w:tcBorders>
              <w:top w:val="nil"/>
              <w:left w:val="nil"/>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43"/>
            <w:tcBorders>
              <w:top w:val="nil"/>
              <w:left w:val="nil"/>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r>
      <w:tr w:rsidTr="001E3364" w:rsidR="001E3364">
        <w:trPr>
          <w:trHeight w:val="20"/>
        </w:trPr>
        <w:tc>
          <w:tcPr>
            <w:tcW w:type="pct" w:w="180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a) Rezerviranja za mirovine, otpremnine i slične obveze</w:t>
            </w:r>
          </w:p>
        </w:tc>
        <w:tc>
          <w:tcPr>
            <w:tcW w:type="pct" w:w="44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534"/>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180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b) Rezerviranja za porezne obveze</w:t>
            </w:r>
          </w:p>
        </w:tc>
        <w:tc>
          <w:tcPr>
            <w:tcW w:type="pct" w:w="44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534"/>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180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c) Rezerviranja za započete sudske sporove</w:t>
            </w:r>
          </w:p>
        </w:tc>
        <w:tc>
          <w:tcPr>
            <w:tcW w:type="pct" w:w="44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534"/>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180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d) Rezerviranja za troškove obnavljanja prirodnih bogatstava</w:t>
            </w:r>
          </w:p>
        </w:tc>
        <w:tc>
          <w:tcPr>
            <w:tcW w:type="pct" w:w="44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534"/>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180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e) Rezerviranja za troškove u jamstvenim rokovima</w:t>
            </w:r>
          </w:p>
        </w:tc>
        <w:tc>
          <w:tcPr>
            <w:tcW w:type="pct" w:w="44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534"/>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180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f) Druga rezerviranja</w:t>
            </w:r>
          </w:p>
        </w:tc>
        <w:tc>
          <w:tcPr>
            <w:tcW w:type="pct" w:w="44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534"/>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180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b/>
                <w:bCs/>
                <w:sz w:val="16"/>
                <w:szCs w:val="16"/>
                <w:lang w:eastAsia="hr-HR"/>
              </w:rPr>
            </w:pPr>
            <w:r>
              <w:rPr>
                <w:rFonts w:cs="Calibri" w:eastAsia="Times New Roman" w:hAnsi="Calibri" w:ascii="Calibri"/>
                <w:b/>
                <w:bCs/>
                <w:sz w:val="16"/>
                <w:szCs w:val="16"/>
                <w:lang w:eastAsia="hr-HR"/>
              </w:rPr>
              <w:t xml:space="preserve">   8. Ostali poslovni rashodi</w:t>
            </w:r>
          </w:p>
        </w:tc>
        <w:tc>
          <w:tcPr>
            <w:tcW w:type="pct" w:w="443"/>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400.000</w:t>
            </w:r>
          </w:p>
        </w:tc>
        <w:tc>
          <w:tcPr>
            <w:tcW w:type="pct" w:w="443"/>
            <w:tcBorders>
              <w:top w:val="nil"/>
              <w:left w:val="nil"/>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500.000</w:t>
            </w:r>
          </w:p>
        </w:tc>
        <w:tc>
          <w:tcPr>
            <w:tcW w:type="pct" w:w="534"/>
            <w:tcBorders>
              <w:top w:val="nil"/>
              <w:left w:val="nil"/>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500.000</w:t>
            </w:r>
          </w:p>
        </w:tc>
        <w:tc>
          <w:tcPr>
            <w:tcW w:type="pct" w:w="443"/>
            <w:tcBorders>
              <w:top w:val="nil"/>
              <w:left w:val="nil"/>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500.000</w:t>
            </w:r>
          </w:p>
        </w:tc>
        <w:tc>
          <w:tcPr>
            <w:tcW w:type="pct" w:w="443"/>
            <w:tcBorders>
              <w:top w:val="nil"/>
              <w:left w:val="nil"/>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500.000</w:t>
            </w:r>
          </w:p>
        </w:tc>
        <w:tc>
          <w:tcPr>
            <w:tcW w:type="pct" w:w="443"/>
            <w:tcBorders>
              <w:top w:val="nil"/>
              <w:left w:val="nil"/>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500.000</w:t>
            </w:r>
          </w:p>
        </w:tc>
        <w:tc>
          <w:tcPr>
            <w:tcW w:type="pct" w:w="443"/>
            <w:tcBorders>
              <w:top w:val="nil"/>
              <w:left w:val="nil"/>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500.000</w:t>
            </w:r>
          </w:p>
        </w:tc>
      </w:tr>
      <w:tr w:rsidTr="001E3364" w:rsidR="001E3364">
        <w:trPr>
          <w:trHeight w:val="20"/>
        </w:trPr>
        <w:tc>
          <w:tcPr>
            <w:tcW w:type="pct" w:w="180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b/>
                <w:bCs/>
                <w:sz w:val="16"/>
                <w:szCs w:val="16"/>
                <w:lang w:eastAsia="hr-HR"/>
              </w:rPr>
            </w:pPr>
            <w:r>
              <w:rPr>
                <w:rFonts w:cs="Calibri" w:eastAsia="Times New Roman" w:hAnsi="Calibri" w:ascii="Calibri"/>
                <w:b/>
                <w:bCs/>
                <w:sz w:val="16"/>
                <w:szCs w:val="16"/>
                <w:lang w:eastAsia="hr-HR"/>
              </w:rPr>
              <w:t>III. FINANCIJSKI PRIHODI</w:t>
            </w:r>
          </w:p>
        </w:tc>
        <w:tc>
          <w:tcPr>
            <w:tcW w:type="pct" w:w="443"/>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30.000</w:t>
            </w:r>
          </w:p>
        </w:tc>
        <w:tc>
          <w:tcPr>
            <w:tcW w:type="pct" w:w="443"/>
            <w:tcBorders>
              <w:top w:val="nil"/>
              <w:left w:val="nil"/>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534"/>
            <w:tcBorders>
              <w:top w:val="nil"/>
              <w:left w:val="nil"/>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43"/>
            <w:tcBorders>
              <w:top w:val="nil"/>
              <w:left w:val="nil"/>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43"/>
            <w:tcBorders>
              <w:top w:val="nil"/>
              <w:left w:val="nil"/>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43"/>
            <w:tcBorders>
              <w:top w:val="nil"/>
              <w:left w:val="nil"/>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43"/>
            <w:tcBorders>
              <w:top w:val="nil"/>
              <w:left w:val="nil"/>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r>
      <w:tr w:rsidTr="001E3364" w:rsidR="001E3364">
        <w:trPr>
          <w:trHeight w:val="20"/>
        </w:trPr>
        <w:tc>
          <w:tcPr>
            <w:tcW w:type="pct" w:w="180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1. Prihodi od ulaganja u udjele (dionice) poduzetnika unutar grupe</w:t>
            </w:r>
          </w:p>
        </w:tc>
        <w:tc>
          <w:tcPr>
            <w:tcW w:type="pct" w:w="44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534"/>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180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2. Prihodi od ulaganja u udjele (dionice) društava povezanih</w:t>
            </w:r>
            <w:r>
              <w:rPr>
                <w:rFonts w:cs="Calibri" w:eastAsia="Times New Roman" w:hAnsi="Calibri" w:ascii="Calibri"/>
                <w:sz w:val="16"/>
                <w:szCs w:val="16"/>
                <w:lang w:eastAsia="hr-HR"/>
              </w:rPr>
              <w:br/>
              <w:t xml:space="preserve">         sudjelujućim interesima</w:t>
            </w:r>
          </w:p>
        </w:tc>
        <w:tc>
          <w:tcPr>
            <w:tcW w:type="pct" w:w="44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534"/>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180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3. Prihodi od ostalih dugotrajnih financijskih ulaganja i zajmova</w:t>
            </w:r>
            <w:r>
              <w:rPr>
                <w:rFonts w:cs="Calibri" w:eastAsia="Times New Roman" w:hAnsi="Calibri" w:ascii="Calibri"/>
                <w:sz w:val="16"/>
                <w:szCs w:val="16"/>
                <w:lang w:eastAsia="hr-HR"/>
              </w:rPr>
              <w:br/>
              <w:t xml:space="preserve">         poduzetnicima unutar grupe</w:t>
            </w:r>
          </w:p>
        </w:tc>
        <w:tc>
          <w:tcPr>
            <w:tcW w:type="pct" w:w="44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534"/>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180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lastRenderedPageBreak/>
              <w:t xml:space="preserve">     4. Ostali prihodi s osnove kamata iz odnosa s poduzetnicima unutar grupe</w:t>
            </w:r>
          </w:p>
        </w:tc>
        <w:tc>
          <w:tcPr>
            <w:tcW w:type="pct" w:w="44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534"/>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180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5. Tečajne razlike i ostali financijski prihodi iz odnosa s</w:t>
            </w:r>
            <w:r>
              <w:rPr>
                <w:rFonts w:cs="Calibri" w:eastAsia="Times New Roman" w:hAnsi="Calibri" w:ascii="Calibri"/>
                <w:sz w:val="16"/>
                <w:szCs w:val="16"/>
                <w:lang w:eastAsia="hr-HR"/>
              </w:rPr>
              <w:br/>
              <w:t xml:space="preserve">         poduzetnicima unutar grupe</w:t>
            </w:r>
          </w:p>
        </w:tc>
        <w:tc>
          <w:tcPr>
            <w:tcW w:type="pct" w:w="44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534"/>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180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6. Prihodi od ostalih dugotrajnih financijskih ulaganja i zajmova</w:t>
            </w:r>
          </w:p>
        </w:tc>
        <w:tc>
          <w:tcPr>
            <w:tcW w:type="pct" w:w="44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534"/>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180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7. Ostali prihodi s osnove kamata</w:t>
            </w:r>
          </w:p>
        </w:tc>
        <w:tc>
          <w:tcPr>
            <w:tcW w:type="pct" w:w="44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15.000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534"/>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180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8. Tečajne razlike i ostali financijski prihodi</w:t>
            </w:r>
          </w:p>
        </w:tc>
        <w:tc>
          <w:tcPr>
            <w:tcW w:type="pct" w:w="44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15.000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534"/>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180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9. Nerealizirani dobici (prihodi) od financijske imovine</w:t>
            </w:r>
          </w:p>
        </w:tc>
        <w:tc>
          <w:tcPr>
            <w:tcW w:type="pct" w:w="44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534"/>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180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10. Ostali financijski prihodi</w:t>
            </w:r>
          </w:p>
        </w:tc>
        <w:tc>
          <w:tcPr>
            <w:tcW w:type="pct" w:w="44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534"/>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180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b/>
                <w:bCs/>
                <w:sz w:val="16"/>
                <w:szCs w:val="16"/>
                <w:lang w:eastAsia="hr-HR"/>
              </w:rPr>
            </w:pPr>
            <w:r>
              <w:rPr>
                <w:rFonts w:cs="Calibri" w:eastAsia="Times New Roman" w:hAnsi="Calibri" w:ascii="Calibri"/>
                <w:b/>
                <w:bCs/>
                <w:sz w:val="16"/>
                <w:szCs w:val="16"/>
                <w:lang w:eastAsia="hr-HR"/>
              </w:rPr>
              <w:t>IV. FINANCIJSKI RASHODI</w:t>
            </w:r>
          </w:p>
        </w:tc>
        <w:tc>
          <w:tcPr>
            <w:tcW w:type="pct" w:w="443"/>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2.955.692</w:t>
            </w:r>
          </w:p>
        </w:tc>
        <w:tc>
          <w:tcPr>
            <w:tcW w:type="pct" w:w="443"/>
            <w:tcBorders>
              <w:top w:val="nil"/>
              <w:left w:val="nil"/>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1.978.322</w:t>
            </w:r>
          </w:p>
        </w:tc>
        <w:tc>
          <w:tcPr>
            <w:tcW w:type="pct" w:w="534"/>
            <w:tcBorders>
              <w:top w:val="nil"/>
              <w:left w:val="nil"/>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1.952.551</w:t>
            </w:r>
          </w:p>
        </w:tc>
        <w:tc>
          <w:tcPr>
            <w:tcW w:type="pct" w:w="443"/>
            <w:tcBorders>
              <w:top w:val="nil"/>
              <w:left w:val="nil"/>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1.777.163</w:t>
            </w:r>
          </w:p>
        </w:tc>
        <w:tc>
          <w:tcPr>
            <w:tcW w:type="pct" w:w="443"/>
            <w:tcBorders>
              <w:top w:val="nil"/>
              <w:left w:val="nil"/>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1.523.843</w:t>
            </w:r>
          </w:p>
        </w:tc>
        <w:tc>
          <w:tcPr>
            <w:tcW w:type="pct" w:w="443"/>
            <w:tcBorders>
              <w:top w:val="nil"/>
              <w:left w:val="nil"/>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1.276.843</w:t>
            </w:r>
          </w:p>
        </w:tc>
        <w:tc>
          <w:tcPr>
            <w:tcW w:type="pct" w:w="443"/>
            <w:tcBorders>
              <w:top w:val="nil"/>
              <w:left w:val="nil"/>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1.030.707</w:t>
            </w:r>
          </w:p>
        </w:tc>
      </w:tr>
      <w:tr w:rsidTr="001E3364" w:rsidR="001E3364">
        <w:trPr>
          <w:trHeight w:val="20"/>
        </w:trPr>
        <w:tc>
          <w:tcPr>
            <w:tcW w:type="pct" w:w="180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1. Rashodi s osnove kamata i slični rashodi s poduzetnicima unutar grupe</w:t>
            </w:r>
          </w:p>
        </w:tc>
        <w:tc>
          <w:tcPr>
            <w:tcW w:type="pct" w:w="44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534"/>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180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2. Tečajne razlike i drugi rashodi s poduzetnicima unutar grupe</w:t>
            </w:r>
          </w:p>
        </w:tc>
        <w:tc>
          <w:tcPr>
            <w:tcW w:type="pct" w:w="44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534"/>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180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3. Rashodi s osnove kamata i slični rashodi</w:t>
            </w:r>
          </w:p>
        </w:tc>
        <w:tc>
          <w:tcPr>
            <w:tcW w:type="pct" w:w="44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2.705.692</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1.778.322</w:t>
            </w:r>
          </w:p>
        </w:tc>
        <w:tc>
          <w:tcPr>
            <w:tcW w:type="pct" w:w="534"/>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1.752.551</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1.577.163</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1.323.843</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1.076.843</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830.707</w:t>
            </w:r>
          </w:p>
        </w:tc>
      </w:tr>
      <w:tr w:rsidTr="001E3364" w:rsidR="001E3364">
        <w:trPr>
          <w:trHeight w:val="20"/>
        </w:trPr>
        <w:tc>
          <w:tcPr>
            <w:tcW w:type="pct" w:w="180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4. Tečajne razlike i drugi rashodi</w:t>
            </w:r>
          </w:p>
        </w:tc>
        <w:tc>
          <w:tcPr>
            <w:tcW w:type="pct" w:w="44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200.000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200.000</w:t>
            </w:r>
          </w:p>
        </w:tc>
        <w:tc>
          <w:tcPr>
            <w:tcW w:type="pct" w:w="534"/>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200.000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200.000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200.000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200.000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200.000</w:t>
            </w:r>
          </w:p>
        </w:tc>
      </w:tr>
      <w:tr w:rsidTr="001E3364" w:rsidR="001E3364">
        <w:trPr>
          <w:trHeight w:val="20"/>
        </w:trPr>
        <w:tc>
          <w:tcPr>
            <w:tcW w:type="pct" w:w="180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5. Nerealizirani gubici (rashodi) od financijske imovine</w:t>
            </w:r>
          </w:p>
        </w:tc>
        <w:tc>
          <w:tcPr>
            <w:tcW w:type="pct" w:w="44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534"/>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180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6. Vrijednosna usklađenja financijske imovine (neto)</w:t>
            </w:r>
          </w:p>
        </w:tc>
        <w:tc>
          <w:tcPr>
            <w:tcW w:type="pct" w:w="44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534"/>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180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7. Ostali financijski rashodi</w:t>
            </w:r>
          </w:p>
        </w:tc>
        <w:tc>
          <w:tcPr>
            <w:tcW w:type="pct" w:w="44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50.000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534"/>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180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b/>
                <w:bCs/>
                <w:sz w:val="16"/>
                <w:szCs w:val="16"/>
                <w:lang w:eastAsia="hr-HR"/>
              </w:rPr>
            </w:pPr>
            <w:r>
              <w:rPr>
                <w:rFonts w:cs="Calibri" w:eastAsia="Times New Roman" w:hAnsi="Calibri" w:ascii="Calibri"/>
                <w:b/>
                <w:bCs/>
                <w:sz w:val="16"/>
                <w:szCs w:val="16"/>
                <w:lang w:eastAsia="hr-HR"/>
              </w:rPr>
              <w:t>V.    UDIO U DOBITI OD DRUŠTAVA POVEZANIH SUDJELUJUĆIM</w:t>
            </w:r>
            <w:r>
              <w:rPr>
                <w:rFonts w:cs="Calibri" w:eastAsia="Times New Roman" w:hAnsi="Calibri" w:ascii="Calibri"/>
                <w:b/>
                <w:bCs/>
                <w:sz w:val="16"/>
                <w:szCs w:val="16"/>
                <w:lang w:eastAsia="hr-HR"/>
              </w:rPr>
              <w:br/>
              <w:t xml:space="preserve">        INTERESOM</w:t>
            </w:r>
          </w:p>
        </w:tc>
        <w:tc>
          <w:tcPr>
            <w:tcW w:type="pct" w:w="443"/>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space="0" w:sz="4" w:color="auto" w:val="single"/>
              <w:bottom w:space="0" w:sz="4" w:color="000000" w:val="single"/>
              <w:right w:space="0" w:sz="4" w:color="000000" w:val="single"/>
            </w:tcBorders>
            <w:shd w:fill="auto" w:color="C0C0C0" w:val="pct25"/>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534"/>
            <w:tcBorders>
              <w:top w:val="nil"/>
              <w:left w:val="nil"/>
              <w:bottom w:space="0" w:sz="4" w:color="000000" w:val="single"/>
              <w:right w:space="0" w:sz="4" w:color="000000" w:val="single"/>
            </w:tcBorders>
            <w:shd w:fill="auto" w:color="C0C0C0" w:val="pct25"/>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000000" w:val="single"/>
              <w:right w:space="0" w:sz="4" w:color="000000" w:val="single"/>
            </w:tcBorders>
            <w:shd w:fill="auto" w:color="C0C0C0" w:val="pct25"/>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000000" w:val="single"/>
              <w:right w:space="0" w:sz="4" w:color="000000" w:val="single"/>
            </w:tcBorders>
            <w:shd w:fill="auto" w:color="C0C0C0" w:val="pct25"/>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000000" w:val="single"/>
              <w:right w:space="0" w:sz="4" w:color="000000" w:val="single"/>
            </w:tcBorders>
            <w:shd w:fill="auto" w:color="C0C0C0" w:val="pct25"/>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000000" w:val="single"/>
              <w:right w:space="0" w:sz="4" w:color="000000" w:val="single"/>
            </w:tcBorders>
            <w:shd w:fill="auto" w:color="C0C0C0" w:val="pct25"/>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180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b/>
                <w:bCs/>
                <w:sz w:val="16"/>
                <w:szCs w:val="16"/>
                <w:lang w:eastAsia="hr-HR"/>
              </w:rPr>
            </w:pPr>
            <w:r>
              <w:rPr>
                <w:rFonts w:cs="Calibri" w:eastAsia="Times New Roman" w:hAnsi="Calibri" w:ascii="Calibri"/>
                <w:b/>
                <w:bCs/>
                <w:sz w:val="16"/>
                <w:szCs w:val="16"/>
                <w:lang w:eastAsia="hr-HR"/>
              </w:rPr>
              <w:t>VI.   UDIO U DOBITI OD  ZAJEDNIČKIH POTHVATA</w:t>
            </w:r>
          </w:p>
        </w:tc>
        <w:tc>
          <w:tcPr>
            <w:tcW w:type="pct" w:w="443"/>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space="0" w:sz="4" w:color="auto" w:val="single"/>
              <w:bottom w:space="0" w:sz="4" w:color="000000" w:val="single"/>
              <w:right w:space="0" w:sz="4" w:color="000000" w:val="single"/>
            </w:tcBorders>
            <w:shd w:fill="auto" w:color="C0C0C0" w:val="pct25"/>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534"/>
            <w:tcBorders>
              <w:top w:val="nil"/>
              <w:left w:val="nil"/>
              <w:bottom w:space="0" w:sz="4" w:color="000000" w:val="single"/>
              <w:right w:space="0" w:sz="4" w:color="000000" w:val="single"/>
            </w:tcBorders>
            <w:shd w:fill="auto" w:color="C0C0C0" w:val="pct25"/>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000000" w:val="single"/>
              <w:right w:space="0" w:sz="4" w:color="000000" w:val="single"/>
            </w:tcBorders>
            <w:shd w:fill="auto" w:color="C0C0C0" w:val="pct25"/>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000000" w:val="single"/>
              <w:right w:space="0" w:sz="4" w:color="000000" w:val="single"/>
            </w:tcBorders>
            <w:shd w:fill="auto" w:color="C0C0C0" w:val="pct25"/>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000000" w:val="single"/>
              <w:right w:space="0" w:sz="4" w:color="000000" w:val="single"/>
            </w:tcBorders>
            <w:shd w:fill="auto" w:color="C0C0C0" w:val="pct25"/>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000000" w:val="single"/>
              <w:right w:space="0" w:sz="4" w:color="000000" w:val="single"/>
            </w:tcBorders>
            <w:shd w:fill="auto" w:color="C0C0C0" w:val="pct25"/>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180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b/>
                <w:bCs/>
                <w:sz w:val="16"/>
                <w:szCs w:val="16"/>
                <w:lang w:eastAsia="hr-HR"/>
              </w:rPr>
            </w:pPr>
            <w:r>
              <w:rPr>
                <w:rFonts w:cs="Calibri" w:eastAsia="Times New Roman" w:hAnsi="Calibri" w:ascii="Calibri"/>
                <w:b/>
                <w:bCs/>
                <w:sz w:val="16"/>
                <w:szCs w:val="16"/>
                <w:lang w:eastAsia="hr-HR"/>
              </w:rPr>
              <w:t>VII.  UDIO U GUBITKU OD DRUŠTAVA POVEZANIH SUDJELUJUĆIM</w:t>
            </w:r>
            <w:r>
              <w:rPr>
                <w:rFonts w:cs="Calibri" w:eastAsia="Times New Roman" w:hAnsi="Calibri" w:ascii="Calibri"/>
                <w:b/>
                <w:bCs/>
                <w:sz w:val="16"/>
                <w:szCs w:val="16"/>
                <w:lang w:eastAsia="hr-HR"/>
              </w:rPr>
              <w:br/>
              <w:t xml:space="preserve">        INTERESOM</w:t>
            </w:r>
          </w:p>
        </w:tc>
        <w:tc>
          <w:tcPr>
            <w:tcW w:type="pct" w:w="443"/>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space="0" w:sz="4" w:color="auto" w:val="single"/>
              <w:bottom w:space="0" w:sz="4" w:color="000000" w:val="single"/>
              <w:right w:space="0" w:sz="4" w:color="000000" w:val="single"/>
            </w:tcBorders>
            <w:shd w:fill="auto" w:color="C0C0C0" w:val="pct25"/>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534"/>
            <w:tcBorders>
              <w:top w:val="nil"/>
              <w:left w:val="nil"/>
              <w:bottom w:space="0" w:sz="4" w:color="000000" w:val="single"/>
              <w:right w:space="0" w:sz="4" w:color="000000" w:val="single"/>
            </w:tcBorders>
            <w:shd w:fill="auto" w:color="C0C0C0" w:val="pct25"/>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000000" w:val="single"/>
              <w:right w:space="0" w:sz="4" w:color="000000" w:val="single"/>
            </w:tcBorders>
            <w:shd w:fill="auto" w:color="C0C0C0" w:val="pct25"/>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000000" w:val="single"/>
              <w:right w:space="0" w:sz="4" w:color="000000" w:val="single"/>
            </w:tcBorders>
            <w:shd w:fill="auto" w:color="C0C0C0" w:val="pct25"/>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000000" w:val="single"/>
              <w:right w:space="0" w:sz="4" w:color="000000" w:val="single"/>
            </w:tcBorders>
            <w:shd w:fill="auto" w:color="C0C0C0" w:val="pct25"/>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000000" w:val="single"/>
              <w:right w:space="0" w:sz="4" w:color="000000" w:val="single"/>
            </w:tcBorders>
            <w:shd w:fill="auto" w:color="C0C0C0" w:val="pct25"/>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180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b/>
                <w:bCs/>
                <w:sz w:val="16"/>
                <w:szCs w:val="16"/>
                <w:lang w:eastAsia="hr-HR"/>
              </w:rPr>
            </w:pPr>
            <w:r>
              <w:rPr>
                <w:rFonts w:cs="Calibri" w:eastAsia="Times New Roman" w:hAnsi="Calibri" w:ascii="Calibri"/>
                <w:b/>
                <w:bCs/>
                <w:sz w:val="16"/>
                <w:szCs w:val="16"/>
                <w:lang w:eastAsia="hr-HR"/>
              </w:rPr>
              <w:t>VIII. UDIO U GUBITKU OD ZAJEDNIČKIH POTHVATA</w:t>
            </w:r>
          </w:p>
        </w:tc>
        <w:tc>
          <w:tcPr>
            <w:tcW w:type="pct" w:w="443"/>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space="0" w:sz="4" w:color="auto" w:val="single"/>
              <w:bottom w:space="0" w:sz="4" w:color="000000" w:val="single"/>
              <w:right w:space="0" w:sz="4" w:color="000000" w:val="single"/>
            </w:tcBorders>
            <w:shd w:fill="auto" w:color="C0C0C0" w:val="pct25"/>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534"/>
            <w:tcBorders>
              <w:top w:val="nil"/>
              <w:left w:val="nil"/>
              <w:bottom w:space="0" w:sz="4" w:color="000000" w:val="single"/>
              <w:right w:space="0" w:sz="4" w:color="000000" w:val="single"/>
            </w:tcBorders>
            <w:shd w:fill="auto" w:color="C0C0C0" w:val="pct25"/>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000000" w:val="single"/>
              <w:right w:space="0" w:sz="4" w:color="000000" w:val="single"/>
            </w:tcBorders>
            <w:shd w:fill="auto" w:color="C0C0C0" w:val="pct25"/>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000000" w:val="single"/>
              <w:right w:space="0" w:sz="4" w:color="000000" w:val="single"/>
            </w:tcBorders>
            <w:shd w:fill="auto" w:color="C0C0C0" w:val="pct25"/>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000000" w:val="single"/>
              <w:right w:space="0" w:sz="4" w:color="000000" w:val="single"/>
            </w:tcBorders>
            <w:shd w:fill="auto" w:color="C0C0C0" w:val="pct25"/>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000000" w:val="single"/>
              <w:right w:space="0" w:sz="4" w:color="000000" w:val="single"/>
            </w:tcBorders>
            <w:shd w:fill="auto" w:color="C0C0C0" w:val="pct25"/>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180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b/>
                <w:bCs/>
                <w:sz w:val="16"/>
                <w:szCs w:val="16"/>
                <w:lang w:eastAsia="hr-HR"/>
              </w:rPr>
            </w:pPr>
            <w:r>
              <w:rPr>
                <w:rFonts w:cs="Calibri" w:eastAsia="Times New Roman" w:hAnsi="Calibri" w:ascii="Calibri"/>
                <w:b/>
                <w:bCs/>
                <w:sz w:val="16"/>
                <w:szCs w:val="16"/>
                <w:lang w:eastAsia="hr-HR"/>
              </w:rPr>
              <w:t>IX.   UKUPNI PRIHODI</w:t>
            </w:r>
          </w:p>
        </w:tc>
        <w:tc>
          <w:tcPr>
            <w:tcW w:type="pct" w:w="443"/>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26.030.000</w:t>
            </w:r>
          </w:p>
        </w:tc>
        <w:tc>
          <w:tcPr>
            <w:tcW w:type="pct" w:w="443"/>
            <w:tcBorders>
              <w:top w:val="nil"/>
              <w:left w:space="0" w:sz="4" w:color="auto" w:val="single"/>
              <w:bottom w:space="0" w:sz="4" w:color="000000" w:val="single"/>
              <w:right w:space="0" w:sz="4" w:color="000000"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41.500.000</w:t>
            </w:r>
          </w:p>
        </w:tc>
        <w:tc>
          <w:tcPr>
            <w:tcW w:type="pct" w:w="534"/>
            <w:tcBorders>
              <w:top w:val="nil"/>
              <w:left w:val="nil"/>
              <w:bottom w:space="0" w:sz="4" w:color="000000" w:val="single"/>
              <w:right w:space="0" w:sz="4" w:color="000000"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52.500.000</w:t>
            </w:r>
          </w:p>
        </w:tc>
        <w:tc>
          <w:tcPr>
            <w:tcW w:type="pct" w:w="443"/>
            <w:tcBorders>
              <w:top w:val="nil"/>
              <w:left w:val="nil"/>
              <w:bottom w:space="0" w:sz="4" w:color="000000" w:val="single"/>
              <w:right w:space="0" w:sz="4" w:color="000000"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56.500.000</w:t>
            </w:r>
          </w:p>
        </w:tc>
        <w:tc>
          <w:tcPr>
            <w:tcW w:type="pct" w:w="443"/>
            <w:tcBorders>
              <w:top w:val="nil"/>
              <w:left w:val="nil"/>
              <w:bottom w:space="0" w:sz="4" w:color="000000" w:val="single"/>
              <w:right w:space="0" w:sz="4" w:color="000000"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60.500.000</w:t>
            </w:r>
          </w:p>
        </w:tc>
        <w:tc>
          <w:tcPr>
            <w:tcW w:type="pct" w:w="443"/>
            <w:tcBorders>
              <w:top w:val="nil"/>
              <w:left w:val="nil"/>
              <w:bottom w:space="0" w:sz="4" w:color="000000" w:val="single"/>
              <w:right w:space="0" w:sz="4" w:color="000000"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64.500.000</w:t>
            </w:r>
          </w:p>
        </w:tc>
        <w:tc>
          <w:tcPr>
            <w:tcW w:type="pct" w:w="443"/>
            <w:tcBorders>
              <w:top w:val="nil"/>
              <w:left w:val="nil"/>
              <w:bottom w:space="0" w:sz="4" w:color="000000" w:val="single"/>
              <w:right w:space="0" w:sz="4" w:color="000000"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68.500.000</w:t>
            </w:r>
          </w:p>
        </w:tc>
      </w:tr>
      <w:tr w:rsidTr="001E3364" w:rsidR="001E3364">
        <w:trPr>
          <w:trHeight w:val="20"/>
        </w:trPr>
        <w:tc>
          <w:tcPr>
            <w:tcW w:type="pct" w:w="180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b/>
                <w:bCs/>
                <w:sz w:val="16"/>
                <w:szCs w:val="16"/>
                <w:lang w:eastAsia="hr-HR"/>
              </w:rPr>
            </w:pPr>
            <w:r>
              <w:rPr>
                <w:rFonts w:cs="Calibri" w:eastAsia="Times New Roman" w:hAnsi="Calibri" w:ascii="Calibri"/>
                <w:b/>
                <w:bCs/>
                <w:sz w:val="16"/>
                <w:szCs w:val="16"/>
                <w:lang w:eastAsia="hr-HR"/>
              </w:rPr>
              <w:t>X.    UKUPNI RASHODI</w:t>
            </w:r>
          </w:p>
        </w:tc>
        <w:tc>
          <w:tcPr>
            <w:tcW w:type="pct" w:w="443"/>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35.881.014</w:t>
            </w:r>
          </w:p>
        </w:tc>
        <w:tc>
          <w:tcPr>
            <w:tcW w:type="pct" w:w="443"/>
            <w:tcBorders>
              <w:top w:val="nil"/>
              <w:left w:space="0" w:sz="4" w:color="auto" w:val="single"/>
              <w:bottom w:space="0" w:sz="4" w:color="000000" w:val="single"/>
              <w:right w:space="0" w:sz="4" w:color="000000"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40.003.644</w:t>
            </w:r>
          </w:p>
        </w:tc>
        <w:tc>
          <w:tcPr>
            <w:tcW w:type="pct" w:w="534"/>
            <w:tcBorders>
              <w:top w:val="nil"/>
              <w:left w:val="nil"/>
              <w:bottom w:space="0" w:sz="4" w:color="000000" w:val="single"/>
              <w:right w:space="0" w:sz="4" w:color="000000"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46.574.225</w:t>
            </w:r>
          </w:p>
        </w:tc>
        <w:tc>
          <w:tcPr>
            <w:tcW w:type="pct" w:w="443"/>
            <w:tcBorders>
              <w:top w:val="nil"/>
              <w:left w:val="nil"/>
              <w:bottom w:space="0" w:sz="4" w:color="000000" w:val="single"/>
              <w:right w:space="0" w:sz="4" w:color="000000"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49.495.189</w:t>
            </w:r>
          </w:p>
        </w:tc>
        <w:tc>
          <w:tcPr>
            <w:tcW w:type="pct" w:w="443"/>
            <w:tcBorders>
              <w:top w:val="nil"/>
              <w:left w:val="nil"/>
              <w:bottom w:space="0" w:sz="4" w:color="000000" w:val="single"/>
              <w:right w:space="0" w:sz="4" w:color="000000"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52.738.220</w:t>
            </w:r>
          </w:p>
        </w:tc>
        <w:tc>
          <w:tcPr>
            <w:tcW w:type="pct" w:w="443"/>
            <w:tcBorders>
              <w:top w:val="nil"/>
              <w:left w:val="nil"/>
              <w:bottom w:space="0" w:sz="4" w:color="000000" w:val="single"/>
              <w:right w:space="0" w:sz="4" w:color="000000"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55.387.572</w:t>
            </w:r>
          </w:p>
        </w:tc>
        <w:tc>
          <w:tcPr>
            <w:tcW w:type="pct" w:w="443"/>
            <w:tcBorders>
              <w:top w:val="nil"/>
              <w:left w:val="nil"/>
              <w:bottom w:space="0" w:sz="4" w:color="000000" w:val="single"/>
              <w:right w:space="0" w:sz="4" w:color="000000"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58.037.788</w:t>
            </w:r>
          </w:p>
        </w:tc>
      </w:tr>
      <w:tr w:rsidTr="001E3364" w:rsidR="001E3364">
        <w:trPr>
          <w:trHeight w:val="20"/>
        </w:trPr>
        <w:tc>
          <w:tcPr>
            <w:tcW w:type="pct" w:w="1807"/>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b/>
                <w:bCs/>
                <w:sz w:val="16"/>
                <w:szCs w:val="16"/>
                <w:lang w:eastAsia="hr-HR"/>
              </w:rPr>
            </w:pPr>
            <w:r>
              <w:rPr>
                <w:rFonts w:cs="Calibri" w:eastAsia="Times New Roman" w:hAnsi="Calibri" w:ascii="Calibri"/>
                <w:b/>
                <w:bCs/>
                <w:sz w:val="16"/>
                <w:szCs w:val="16"/>
                <w:lang w:eastAsia="hr-HR"/>
              </w:rPr>
              <w:t>XI.   DOBIT ILI GUBITAK PRIJE OPOREZIVANJA</w:t>
            </w:r>
          </w:p>
        </w:tc>
        <w:tc>
          <w:tcPr>
            <w:tcW w:type="pct" w:w="443"/>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-9.851.014</w:t>
            </w:r>
          </w:p>
        </w:tc>
        <w:tc>
          <w:tcPr>
            <w:tcW w:type="pct" w:w="443"/>
            <w:tcBorders>
              <w:top w:val="nil"/>
              <w:left w:space="0" w:sz="4" w:color="auto" w:val="single"/>
              <w:bottom w:space="0" w:sz="4" w:color="000000" w:val="single"/>
              <w:right w:space="0" w:sz="4" w:color="000000"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1.496.356</w:t>
            </w:r>
          </w:p>
        </w:tc>
        <w:tc>
          <w:tcPr>
            <w:tcW w:type="pct" w:w="534"/>
            <w:tcBorders>
              <w:top w:val="nil"/>
              <w:left w:val="nil"/>
              <w:bottom w:space="0" w:sz="4" w:color="000000" w:val="single"/>
              <w:right w:space="0" w:sz="4" w:color="000000"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5.925.775</w:t>
            </w:r>
          </w:p>
        </w:tc>
        <w:tc>
          <w:tcPr>
            <w:tcW w:type="pct" w:w="443"/>
            <w:tcBorders>
              <w:top w:val="nil"/>
              <w:left w:val="nil"/>
              <w:bottom w:space="0" w:sz="4" w:color="000000" w:val="single"/>
              <w:right w:space="0" w:sz="4" w:color="000000"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7.004.811</w:t>
            </w:r>
          </w:p>
        </w:tc>
        <w:tc>
          <w:tcPr>
            <w:tcW w:type="pct" w:w="443"/>
            <w:tcBorders>
              <w:top w:val="nil"/>
              <w:left w:val="nil"/>
              <w:bottom w:space="0" w:sz="4" w:color="000000" w:val="single"/>
              <w:right w:space="0" w:sz="4" w:color="000000"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7.761.780</w:t>
            </w:r>
          </w:p>
        </w:tc>
        <w:tc>
          <w:tcPr>
            <w:tcW w:type="pct" w:w="443"/>
            <w:tcBorders>
              <w:top w:val="nil"/>
              <w:left w:val="nil"/>
              <w:bottom w:space="0" w:sz="4" w:color="000000" w:val="single"/>
              <w:right w:space="0" w:sz="4" w:color="000000"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9.112.428</w:t>
            </w:r>
          </w:p>
        </w:tc>
        <w:tc>
          <w:tcPr>
            <w:tcW w:type="pct" w:w="443"/>
            <w:tcBorders>
              <w:top w:val="nil"/>
              <w:left w:val="nil"/>
              <w:bottom w:space="0" w:sz="4" w:color="000000" w:val="single"/>
              <w:right w:space="0" w:sz="4" w:color="000000"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10.462.212</w:t>
            </w:r>
          </w:p>
        </w:tc>
      </w:tr>
      <w:tr w:rsidTr="001E3364" w:rsidR="001E3364">
        <w:trPr>
          <w:trHeight w:val="20"/>
        </w:trPr>
        <w:tc>
          <w:tcPr>
            <w:tcW w:type="pct" w:w="1807"/>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1. Dobit prije oporezivanja</w:t>
            </w:r>
          </w:p>
        </w:tc>
        <w:tc>
          <w:tcPr>
            <w:tcW w:type="pct" w:w="44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1.496.356</w:t>
            </w:r>
          </w:p>
        </w:tc>
        <w:tc>
          <w:tcPr>
            <w:tcW w:type="pct" w:w="534"/>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5.925.775</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7.004.811</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7.761.780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9.112.428</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10.462.212</w:t>
            </w:r>
          </w:p>
        </w:tc>
      </w:tr>
      <w:tr w:rsidTr="001E3364" w:rsidR="001E3364">
        <w:trPr>
          <w:trHeight w:val="20"/>
        </w:trPr>
        <w:tc>
          <w:tcPr>
            <w:tcW w:type="pct" w:w="1807"/>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2. Gubitak prije oporezivanja </w:t>
            </w:r>
          </w:p>
        </w:tc>
        <w:tc>
          <w:tcPr>
            <w:tcW w:type="pct" w:w="44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9.851.014</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534"/>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1807"/>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b/>
                <w:bCs/>
                <w:sz w:val="16"/>
                <w:szCs w:val="16"/>
                <w:lang w:eastAsia="hr-HR"/>
              </w:rPr>
            </w:pPr>
            <w:r>
              <w:rPr>
                <w:rFonts w:cs="Calibri" w:eastAsia="Times New Roman" w:hAnsi="Calibri" w:ascii="Calibri"/>
                <w:b/>
                <w:bCs/>
                <w:sz w:val="16"/>
                <w:szCs w:val="16"/>
                <w:lang w:eastAsia="hr-HR"/>
              </w:rPr>
              <w:t>XII.  POREZ NA DOBIT</w:t>
            </w:r>
          </w:p>
        </w:tc>
        <w:tc>
          <w:tcPr>
            <w:tcW w:type="pct" w:w="443"/>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space="0" w:sz="4" w:color="auto" w:val="single"/>
              <w:bottom w:space="0" w:sz="4" w:color="000000" w:val="single"/>
              <w:right w:space="0" w:sz="4" w:color="000000" w:val="single"/>
            </w:tcBorders>
            <w:shd w:fill="auto" w:color="C0C0C0" w:val="pct25"/>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534"/>
            <w:tcBorders>
              <w:top w:val="nil"/>
              <w:left w:val="nil"/>
              <w:bottom w:space="0" w:sz="4" w:color="000000" w:val="single"/>
              <w:right w:space="0" w:sz="4" w:color="000000" w:val="single"/>
            </w:tcBorders>
            <w:shd w:fill="auto" w:color="C0C0C0" w:val="pct25"/>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000000" w:val="single"/>
              <w:right w:space="0" w:sz="4" w:color="000000" w:val="single"/>
            </w:tcBorders>
            <w:shd w:fill="auto" w:color="C0C0C0" w:val="pct25"/>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000000" w:val="single"/>
              <w:right w:space="0" w:sz="4" w:color="000000"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1.797.120</w:t>
            </w:r>
          </w:p>
        </w:tc>
        <w:tc>
          <w:tcPr>
            <w:tcW w:type="pct" w:w="443"/>
            <w:tcBorders>
              <w:top w:val="nil"/>
              <w:left w:val="nil"/>
              <w:bottom w:space="0" w:sz="4" w:color="000000" w:val="single"/>
              <w:right w:space="0" w:sz="4" w:color="000000"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2.040.237</w:t>
            </w:r>
          </w:p>
        </w:tc>
        <w:tc>
          <w:tcPr>
            <w:tcW w:type="pct" w:w="443"/>
            <w:tcBorders>
              <w:top w:val="nil"/>
              <w:left w:val="nil"/>
              <w:bottom w:space="0" w:sz="4" w:color="000000" w:val="single"/>
              <w:right w:space="0" w:sz="4" w:color="000000"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2.283.198</w:t>
            </w:r>
          </w:p>
        </w:tc>
      </w:tr>
      <w:tr w:rsidTr="001E3364" w:rsidR="001E3364">
        <w:trPr>
          <w:trHeight w:val="20"/>
        </w:trPr>
        <w:tc>
          <w:tcPr>
            <w:tcW w:type="pct" w:w="1807"/>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b/>
                <w:bCs/>
                <w:sz w:val="16"/>
                <w:szCs w:val="16"/>
                <w:lang w:eastAsia="hr-HR"/>
              </w:rPr>
            </w:pPr>
            <w:r>
              <w:rPr>
                <w:rFonts w:cs="Calibri" w:eastAsia="Times New Roman" w:hAnsi="Calibri" w:ascii="Calibri"/>
                <w:b/>
                <w:bCs/>
                <w:sz w:val="16"/>
                <w:szCs w:val="16"/>
                <w:lang w:eastAsia="hr-HR"/>
              </w:rPr>
              <w:t>XIII. DOBIT ILI GUBITAK RAZDOBLJA</w:t>
            </w:r>
          </w:p>
        </w:tc>
        <w:tc>
          <w:tcPr>
            <w:tcW w:type="pct" w:w="443"/>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-9.851.014</w:t>
            </w:r>
          </w:p>
        </w:tc>
        <w:tc>
          <w:tcPr>
            <w:tcW w:type="pct" w:w="443"/>
            <w:tcBorders>
              <w:top w:val="nil"/>
              <w:left w:space="0" w:sz="4" w:color="auto" w:val="single"/>
              <w:bottom w:space="0" w:sz="4" w:color="000000" w:val="single"/>
              <w:right w:space="0" w:sz="4" w:color="000000"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1.496.356</w:t>
            </w:r>
          </w:p>
        </w:tc>
        <w:tc>
          <w:tcPr>
            <w:tcW w:type="pct" w:w="534"/>
            <w:tcBorders>
              <w:top w:val="nil"/>
              <w:left w:val="nil"/>
              <w:bottom w:space="0" w:sz="4" w:color="000000" w:val="single"/>
              <w:right w:space="0" w:sz="4" w:color="000000"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5.925.775</w:t>
            </w:r>
          </w:p>
        </w:tc>
        <w:tc>
          <w:tcPr>
            <w:tcW w:type="pct" w:w="443"/>
            <w:tcBorders>
              <w:top w:val="nil"/>
              <w:left w:val="nil"/>
              <w:bottom w:space="0" w:sz="4" w:color="000000" w:val="single"/>
              <w:right w:space="0" w:sz="4" w:color="000000"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7.004.811</w:t>
            </w:r>
          </w:p>
        </w:tc>
        <w:tc>
          <w:tcPr>
            <w:tcW w:type="pct" w:w="443"/>
            <w:tcBorders>
              <w:top w:val="nil"/>
              <w:left w:val="nil"/>
              <w:bottom w:space="0" w:sz="4" w:color="000000" w:val="single"/>
              <w:right w:space="0" w:sz="4" w:color="000000"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5.964.659</w:t>
            </w:r>
          </w:p>
        </w:tc>
        <w:tc>
          <w:tcPr>
            <w:tcW w:type="pct" w:w="443"/>
            <w:tcBorders>
              <w:top w:val="nil"/>
              <w:left w:val="nil"/>
              <w:bottom w:space="0" w:sz="4" w:color="000000" w:val="single"/>
              <w:right w:space="0" w:sz="4" w:color="000000"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7.072.191</w:t>
            </w:r>
          </w:p>
        </w:tc>
        <w:tc>
          <w:tcPr>
            <w:tcW w:type="pct" w:w="443"/>
            <w:tcBorders>
              <w:top w:val="nil"/>
              <w:left w:val="nil"/>
              <w:bottom w:space="0" w:sz="4" w:color="000000" w:val="single"/>
              <w:right w:space="0" w:sz="4" w:color="000000"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8.179.014</w:t>
            </w:r>
          </w:p>
        </w:tc>
      </w:tr>
      <w:tr w:rsidTr="001E3364" w:rsidR="001E3364">
        <w:trPr>
          <w:trHeight w:val="20"/>
        </w:trPr>
        <w:tc>
          <w:tcPr>
            <w:tcW w:type="pct" w:w="1807"/>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1. Dobit razdoblja</w:t>
            </w:r>
          </w:p>
        </w:tc>
        <w:tc>
          <w:tcPr>
            <w:tcW w:type="pct" w:w="44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1.496.356</w:t>
            </w:r>
          </w:p>
        </w:tc>
        <w:tc>
          <w:tcPr>
            <w:tcW w:type="pct" w:w="534"/>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5.925.775</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7.004.811</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5.964.659</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7.072.191</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8.179.014</w:t>
            </w:r>
          </w:p>
        </w:tc>
      </w:tr>
      <w:tr w:rsidTr="001E3364" w:rsidR="001E3364">
        <w:trPr>
          <w:trHeight w:val="20"/>
        </w:trPr>
        <w:tc>
          <w:tcPr>
            <w:tcW w:type="pct" w:w="1807"/>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2. Gubitak razdoblja</w:t>
            </w:r>
          </w:p>
        </w:tc>
        <w:tc>
          <w:tcPr>
            <w:tcW w:type="pct" w:w="44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9.851.014</w:t>
            </w:r>
          </w:p>
        </w:tc>
        <w:tc>
          <w:tcPr>
            <w:tcW w:type="pct" w:w="443"/>
            <w:tcBorders>
              <w:top w:val="nil"/>
              <w:left w:val="nil"/>
              <w:bottom w:space="0" w:sz="4" w:color="000000"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534"/>
            <w:tcBorders>
              <w:top w:val="nil"/>
              <w:left w:val="nil"/>
              <w:bottom w:space="0" w:sz="4" w:color="000000"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000000"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000000"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000000"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000000"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bl>
    <w:p w:rsidRDefault="001E3364" w:rsidP="001E3364" w:rsidR="001E3364">
      <w:pPr>
        <w:rPr>
          <w:rFonts w:cs="Times New Roman" w:eastAsia="Times New Roman"/>
          <w:b/>
          <w:color w:val="000000"/>
          <w:sz w:val="24"/>
          <w:szCs w:val="24"/>
          <w:lang w:eastAsia="hr-HR"/>
        </w:rPr>
      </w:pPr>
      <w:r>
        <w:rPr>
          <w:rFonts w:cs="Times New Roman" w:eastAsia="Times New Roman"/>
          <w:b/>
          <w:color w:val="000000"/>
          <w:sz w:val="24"/>
          <w:szCs w:val="24"/>
          <w:lang w:eastAsia="hr-HR"/>
        </w:rPr>
        <w:br w:type="page"/>
      </w:r>
    </w:p>
    <w:p w:rsidRDefault="001E3364" w:rsidP="001E3364" w:rsidR="001E3364">
      <w:pPr>
        <w:rPr>
          <w:rFonts w:cs="Times New Roman" w:eastAsia="Times New Roman"/>
          <w:b/>
          <w:color w:val="000000"/>
          <w:sz w:val="24"/>
          <w:szCs w:val="24"/>
          <w:lang w:eastAsia="hr-HR"/>
        </w:rPr>
      </w:pPr>
      <w:r>
        <w:rPr>
          <w:rFonts w:cs="Times New Roman" w:eastAsia="Times New Roman"/>
          <w:b/>
          <w:color w:val="000000"/>
          <w:sz w:val="24"/>
          <w:szCs w:val="24"/>
          <w:lang w:eastAsia="hr-HR"/>
        </w:rPr>
        <w:lastRenderedPageBreak/>
        <w:t>Izvještaj o novčanom toku</w:t>
      </w:r>
    </w:p>
    <w:tbl>
      <w:tblPr>
        <w:tblW w:type="pct" w:w="5000"/>
        <w:tblLook w:val="04A0" w:noVBand="1" w:noHBand="0" w:lastColumn="0" w:firstColumn="1" w:lastRow="0" w:firstRow="1"/>
      </w:tblPr>
      <w:tblGrid>
        <w:gridCol w:w="5140"/>
        <w:gridCol w:w="1261"/>
        <w:gridCol w:w="1260"/>
        <w:gridCol w:w="1519"/>
        <w:gridCol w:w="1260"/>
        <w:gridCol w:w="1260"/>
        <w:gridCol w:w="1260"/>
        <w:gridCol w:w="1260"/>
      </w:tblGrid>
      <w:tr w:rsidTr="001E3364" w:rsidR="001E3364">
        <w:trPr>
          <w:trHeight w:val="20"/>
          <w:tblHeader/>
        </w:trPr>
        <w:tc>
          <w:tcPr>
            <w:tcW w:type="pct" w:w="1807"/>
            <w:tcBorders>
              <w:top w:space="0" w:sz="4" w:color="auto" w:val="single"/>
              <w:left w:space="0" w:sz="4" w:color="auto" w:val="single"/>
              <w:bottom w:val="nil"/>
              <w:right w:val="nil"/>
            </w:tcBorders>
            <w:shd w:fill="969696" w:color="auto" w:val="clear"/>
            <w:vAlign w:val="center"/>
            <w:hideMark/>
          </w:tcPr>
          <w:p w:rsidRDefault="001E3364" w:rsidR="001E3364">
            <w:pPr>
              <w:spacing w:lineRule="auto" w:line="240" w:after="0"/>
              <w:jc w:val="center"/>
              <w:rPr>
                <w:rFonts w:cs="Calibri" w:eastAsia="Times New Roman" w:hAnsi="Calibri" w:ascii="Calibri"/>
                <w:b/>
                <w:bCs/>
                <w:color w:val="FFFFFF"/>
                <w:sz w:val="16"/>
                <w:szCs w:val="16"/>
                <w:lang w:eastAsia="hr-HR"/>
              </w:rPr>
            </w:pPr>
            <w:r>
              <w:rPr>
                <w:rFonts w:cs="Calibri" w:eastAsia="Times New Roman" w:hAnsi="Calibri" w:ascii="Calibri"/>
                <w:b/>
                <w:bCs/>
                <w:color w:val="FFFFFF"/>
                <w:sz w:val="16"/>
                <w:szCs w:val="16"/>
                <w:lang w:eastAsia="hr-HR"/>
              </w:rPr>
              <w:t>Naziv pozicije</w:t>
            </w:r>
          </w:p>
        </w:tc>
        <w:tc>
          <w:tcPr>
            <w:tcW w:type="pct" w:w="443"/>
            <w:tcBorders>
              <w:top w:space="0" w:sz="4" w:color="auto" w:val="single"/>
              <w:left w:val="nil"/>
              <w:bottom w:val="nil"/>
              <w:right w:val="nil"/>
            </w:tcBorders>
            <w:shd w:fill="969696" w:color="auto" w:val="clear"/>
            <w:vAlign w:val="center"/>
            <w:hideMark/>
          </w:tcPr>
          <w:p w:rsidRDefault="001E3364" w:rsidR="001E3364">
            <w:pPr>
              <w:spacing w:lineRule="auto" w:line="240" w:after="0"/>
              <w:jc w:val="center"/>
              <w:rPr>
                <w:rFonts w:cs="Calibri" w:eastAsia="Times New Roman" w:hAnsi="Calibri" w:ascii="Calibri"/>
                <w:b/>
                <w:bCs/>
                <w:color w:val="FFFFFF"/>
                <w:sz w:val="16"/>
                <w:szCs w:val="16"/>
                <w:lang w:eastAsia="hr-HR"/>
              </w:rPr>
            </w:pPr>
            <w:r>
              <w:rPr>
                <w:rFonts w:cs="Calibri" w:eastAsia="Times New Roman" w:hAnsi="Calibri" w:ascii="Calibri"/>
                <w:b/>
                <w:bCs/>
                <w:color w:val="FFFFFF"/>
                <w:sz w:val="16"/>
                <w:szCs w:val="16"/>
                <w:lang w:eastAsia="hr-HR"/>
              </w:rPr>
              <w:t>31.12.2018.</w:t>
            </w:r>
          </w:p>
        </w:tc>
        <w:tc>
          <w:tcPr>
            <w:tcW w:type="pct" w:w="443"/>
            <w:tcBorders>
              <w:top w:space="0" w:sz="4" w:color="auto" w:val="single"/>
              <w:left w:space="0" w:sz="4" w:color="auto" w:val="single"/>
              <w:bottom w:val="nil"/>
              <w:right w:val="nil"/>
            </w:tcBorders>
            <w:shd w:fill="969696" w:color="auto" w:val="clear"/>
            <w:vAlign w:val="center"/>
            <w:hideMark/>
          </w:tcPr>
          <w:p w:rsidRDefault="001E3364" w:rsidR="001E3364">
            <w:pPr>
              <w:spacing w:lineRule="auto" w:line="240" w:after="0"/>
              <w:jc w:val="center"/>
              <w:rPr>
                <w:rFonts w:cs="Calibri" w:eastAsia="Times New Roman" w:hAnsi="Calibri" w:ascii="Calibri"/>
                <w:b/>
                <w:bCs/>
                <w:color w:val="FFFFFF"/>
                <w:sz w:val="16"/>
                <w:szCs w:val="16"/>
                <w:lang w:eastAsia="hr-HR"/>
              </w:rPr>
            </w:pPr>
            <w:r>
              <w:rPr>
                <w:rFonts w:cs="Calibri" w:eastAsia="Times New Roman" w:hAnsi="Calibri" w:ascii="Calibri"/>
                <w:b/>
                <w:bCs/>
                <w:color w:val="FFFFFF"/>
                <w:sz w:val="16"/>
                <w:szCs w:val="16"/>
                <w:lang w:eastAsia="hr-HR"/>
              </w:rPr>
              <w:t>31.12.2019.</w:t>
            </w:r>
          </w:p>
        </w:tc>
        <w:tc>
          <w:tcPr>
            <w:tcW w:type="pct" w:w="534"/>
            <w:tcBorders>
              <w:top w:space="0" w:sz="4" w:color="auto" w:val="single"/>
              <w:left w:space="0" w:sz="4" w:color="auto" w:val="single"/>
              <w:bottom w:val="nil"/>
              <w:right w:val="nil"/>
            </w:tcBorders>
            <w:shd w:fill="969696" w:color="auto" w:val="clear"/>
            <w:vAlign w:val="center"/>
            <w:hideMark/>
          </w:tcPr>
          <w:p w:rsidRDefault="001E3364" w:rsidR="001E3364">
            <w:pPr>
              <w:spacing w:lineRule="auto" w:line="240" w:after="0"/>
              <w:jc w:val="center"/>
              <w:rPr>
                <w:rFonts w:cs="Calibri" w:eastAsia="Times New Roman" w:hAnsi="Calibri" w:ascii="Calibri"/>
                <w:b/>
                <w:bCs/>
                <w:color w:val="FFFFFF"/>
                <w:sz w:val="16"/>
                <w:szCs w:val="16"/>
                <w:lang w:eastAsia="hr-HR"/>
              </w:rPr>
            </w:pPr>
            <w:r>
              <w:rPr>
                <w:rFonts w:cs="Calibri" w:eastAsia="Times New Roman" w:hAnsi="Calibri" w:ascii="Calibri"/>
                <w:b/>
                <w:bCs/>
                <w:color w:val="FFFFFF"/>
                <w:sz w:val="16"/>
                <w:szCs w:val="16"/>
                <w:lang w:eastAsia="hr-HR"/>
              </w:rPr>
              <w:t>31.12.2020.</w:t>
            </w:r>
          </w:p>
        </w:tc>
        <w:tc>
          <w:tcPr>
            <w:tcW w:type="pct" w:w="443"/>
            <w:tcBorders>
              <w:top w:space="0" w:sz="4" w:color="auto" w:val="single"/>
              <w:left w:space="0" w:sz="4" w:color="auto" w:val="single"/>
              <w:bottom w:val="nil"/>
              <w:right w:val="nil"/>
            </w:tcBorders>
            <w:shd w:fill="969696" w:color="auto" w:val="clear"/>
            <w:vAlign w:val="center"/>
            <w:hideMark/>
          </w:tcPr>
          <w:p w:rsidRDefault="001E3364" w:rsidR="001E3364">
            <w:pPr>
              <w:spacing w:lineRule="auto" w:line="240" w:after="0"/>
              <w:jc w:val="center"/>
              <w:rPr>
                <w:rFonts w:cs="Calibri" w:eastAsia="Times New Roman" w:hAnsi="Calibri" w:ascii="Calibri"/>
                <w:b/>
                <w:bCs/>
                <w:color w:val="FFFFFF"/>
                <w:sz w:val="16"/>
                <w:szCs w:val="16"/>
                <w:lang w:eastAsia="hr-HR"/>
              </w:rPr>
            </w:pPr>
            <w:r>
              <w:rPr>
                <w:rFonts w:cs="Calibri" w:eastAsia="Times New Roman" w:hAnsi="Calibri" w:ascii="Calibri"/>
                <w:b/>
                <w:bCs/>
                <w:color w:val="FFFFFF"/>
                <w:sz w:val="16"/>
                <w:szCs w:val="16"/>
                <w:lang w:eastAsia="hr-HR"/>
              </w:rPr>
              <w:t>31.12.2021.</w:t>
            </w:r>
          </w:p>
        </w:tc>
        <w:tc>
          <w:tcPr>
            <w:tcW w:type="pct" w:w="443"/>
            <w:tcBorders>
              <w:top w:space="0" w:sz="4" w:color="auto" w:val="single"/>
              <w:left w:space="0" w:sz="4" w:color="auto" w:val="single"/>
              <w:bottom w:val="nil"/>
              <w:right w:val="nil"/>
            </w:tcBorders>
            <w:shd w:fill="969696" w:color="auto" w:val="clear"/>
            <w:vAlign w:val="center"/>
            <w:hideMark/>
          </w:tcPr>
          <w:p w:rsidRDefault="001E3364" w:rsidR="001E3364">
            <w:pPr>
              <w:spacing w:lineRule="auto" w:line="240" w:after="0"/>
              <w:jc w:val="center"/>
              <w:rPr>
                <w:rFonts w:cs="Calibri" w:eastAsia="Times New Roman" w:hAnsi="Calibri" w:ascii="Calibri"/>
                <w:b/>
                <w:bCs/>
                <w:color w:val="FFFFFF"/>
                <w:sz w:val="16"/>
                <w:szCs w:val="16"/>
                <w:lang w:eastAsia="hr-HR"/>
              </w:rPr>
            </w:pPr>
            <w:r>
              <w:rPr>
                <w:rFonts w:cs="Calibri" w:eastAsia="Times New Roman" w:hAnsi="Calibri" w:ascii="Calibri"/>
                <w:b/>
                <w:bCs/>
                <w:color w:val="FFFFFF"/>
                <w:sz w:val="16"/>
                <w:szCs w:val="16"/>
                <w:lang w:eastAsia="hr-HR"/>
              </w:rPr>
              <w:t>31.12.2022.</w:t>
            </w:r>
          </w:p>
        </w:tc>
        <w:tc>
          <w:tcPr>
            <w:tcW w:type="pct" w:w="443"/>
            <w:tcBorders>
              <w:top w:space="0" w:sz="4" w:color="auto" w:val="single"/>
              <w:left w:space="0" w:sz="4" w:color="auto" w:val="single"/>
              <w:bottom w:val="nil"/>
              <w:right w:val="nil"/>
            </w:tcBorders>
            <w:shd w:fill="969696" w:color="auto" w:val="clear"/>
            <w:vAlign w:val="center"/>
            <w:hideMark/>
          </w:tcPr>
          <w:p w:rsidRDefault="001E3364" w:rsidR="001E3364">
            <w:pPr>
              <w:spacing w:lineRule="auto" w:line="240" w:after="0"/>
              <w:jc w:val="center"/>
              <w:rPr>
                <w:rFonts w:cs="Calibri" w:eastAsia="Times New Roman" w:hAnsi="Calibri" w:ascii="Calibri"/>
                <w:b/>
                <w:bCs/>
                <w:color w:val="FFFFFF"/>
                <w:sz w:val="16"/>
                <w:szCs w:val="16"/>
                <w:lang w:eastAsia="hr-HR"/>
              </w:rPr>
            </w:pPr>
            <w:r>
              <w:rPr>
                <w:rFonts w:cs="Calibri" w:eastAsia="Times New Roman" w:hAnsi="Calibri" w:ascii="Calibri"/>
                <w:b/>
                <w:bCs/>
                <w:color w:val="FFFFFF"/>
                <w:sz w:val="16"/>
                <w:szCs w:val="16"/>
                <w:lang w:eastAsia="hr-HR"/>
              </w:rPr>
              <w:t>31.12.2023.</w:t>
            </w:r>
          </w:p>
        </w:tc>
        <w:tc>
          <w:tcPr>
            <w:tcW w:type="pct" w:w="443"/>
            <w:tcBorders>
              <w:top w:space="0" w:sz="4" w:color="auto" w:val="single"/>
              <w:left w:space="0" w:sz="4" w:color="auto" w:val="single"/>
              <w:bottom w:val="nil"/>
              <w:right w:val="nil"/>
            </w:tcBorders>
            <w:shd w:fill="969696" w:color="auto" w:val="clear"/>
            <w:vAlign w:val="center"/>
            <w:hideMark/>
          </w:tcPr>
          <w:p w:rsidRDefault="001E3364" w:rsidR="001E3364">
            <w:pPr>
              <w:spacing w:lineRule="auto" w:line="240" w:after="0"/>
              <w:jc w:val="center"/>
              <w:rPr>
                <w:rFonts w:cs="Calibri" w:eastAsia="Times New Roman" w:hAnsi="Calibri" w:ascii="Calibri"/>
                <w:b/>
                <w:bCs/>
                <w:color w:val="FFFFFF"/>
                <w:sz w:val="16"/>
                <w:szCs w:val="16"/>
                <w:lang w:eastAsia="hr-HR"/>
              </w:rPr>
            </w:pPr>
            <w:r>
              <w:rPr>
                <w:rFonts w:cs="Calibri" w:eastAsia="Times New Roman" w:hAnsi="Calibri" w:ascii="Calibri"/>
                <w:b/>
                <w:bCs/>
                <w:color w:val="FFFFFF"/>
                <w:sz w:val="16"/>
                <w:szCs w:val="16"/>
                <w:lang w:eastAsia="hr-HR"/>
              </w:rPr>
              <w:t>31.12.2024.</w:t>
            </w:r>
          </w:p>
        </w:tc>
      </w:tr>
      <w:tr w:rsidTr="001E3364" w:rsidR="001E3364">
        <w:trPr>
          <w:trHeight w:val="20"/>
        </w:trPr>
        <w:tc>
          <w:tcPr>
            <w:tcW w:type="pct" w:w="1807"/>
            <w:tcBorders>
              <w:top w:space="0" w:sz="4" w:color="auto" w:val="single"/>
              <w:left w:space="0" w:sz="4" w:color="auto" w:val="single"/>
              <w:bottom w:space="0" w:sz="4" w:color="auto" w:val="single"/>
              <w:right w:val="nil"/>
            </w:tcBorders>
            <w:shd w:fill="DCE6F1" w:color="auto" w:val="clear"/>
            <w:vAlign w:val="center"/>
            <w:hideMark/>
          </w:tcPr>
          <w:p w:rsidRDefault="001E3364" w:rsidR="001E3364">
            <w:pPr>
              <w:spacing w:lineRule="auto" w:line="240" w:after="0"/>
              <w:rPr>
                <w:rFonts w:cs="Calibri" w:eastAsia="Times New Roman" w:hAnsi="Calibri" w:ascii="Calibri"/>
                <w:b/>
                <w:bCs/>
                <w:color w:val="000080"/>
                <w:sz w:val="16"/>
                <w:szCs w:val="16"/>
                <w:lang w:eastAsia="hr-HR"/>
              </w:rPr>
            </w:pPr>
            <w:r>
              <w:rPr>
                <w:rFonts w:cs="Calibri" w:eastAsia="Times New Roman" w:hAnsi="Calibri" w:ascii="Calibri"/>
                <w:b/>
                <w:bCs/>
                <w:color w:val="000080"/>
                <w:sz w:val="16"/>
                <w:szCs w:val="16"/>
                <w:lang w:eastAsia="hr-HR"/>
              </w:rPr>
              <w:t>IZVJEŠTAJ O NOVČANOM TOKU</w:t>
            </w:r>
          </w:p>
        </w:tc>
        <w:tc>
          <w:tcPr>
            <w:tcW w:type="pct" w:w="443"/>
            <w:tcBorders>
              <w:top w:space="0" w:sz="4" w:color="auto" w:val="single"/>
              <w:left w:val="nil"/>
              <w:bottom w:space="0" w:sz="4" w:color="auto" w:val="single"/>
              <w:right w:val="nil"/>
            </w:tcBorders>
            <w:shd w:fill="DCE6F1" w:color="auto" w:val="clear"/>
            <w:noWrap/>
            <w:vAlign w:val="bottom"/>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w:t>
            </w:r>
          </w:p>
        </w:tc>
        <w:tc>
          <w:tcPr>
            <w:tcW w:type="pct" w:w="443"/>
            <w:tcBorders>
              <w:top w:space="0" w:sz="4" w:color="auto" w:val="single"/>
              <w:left w:val="nil"/>
              <w:bottom w:space="0" w:sz="4" w:color="auto" w:val="single"/>
              <w:right w:val="nil"/>
            </w:tcBorders>
            <w:shd w:fill="DCE6F1" w:color="auto" w:val="clear"/>
            <w:noWrap/>
            <w:vAlign w:val="bottom"/>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w:t>
            </w:r>
          </w:p>
        </w:tc>
        <w:tc>
          <w:tcPr>
            <w:tcW w:type="pct" w:w="534"/>
            <w:tcBorders>
              <w:top w:space="0" w:sz="4" w:color="auto" w:val="single"/>
              <w:left w:val="nil"/>
              <w:bottom w:space="0" w:sz="4" w:color="auto" w:val="single"/>
              <w:right w:val="nil"/>
            </w:tcBorders>
            <w:shd w:fill="DCE6F1" w:color="auto" w:val="clear"/>
            <w:noWrap/>
            <w:vAlign w:val="bottom"/>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w:t>
            </w:r>
          </w:p>
        </w:tc>
        <w:tc>
          <w:tcPr>
            <w:tcW w:type="pct" w:w="443"/>
            <w:tcBorders>
              <w:top w:space="0" w:sz="4" w:color="auto" w:val="single"/>
              <w:left w:val="nil"/>
              <w:bottom w:space="0" w:sz="4" w:color="auto" w:val="single"/>
              <w:right w:val="nil"/>
            </w:tcBorders>
            <w:shd w:fill="DCE6F1" w:color="auto" w:val="clear"/>
            <w:noWrap/>
            <w:vAlign w:val="bottom"/>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w:t>
            </w:r>
          </w:p>
        </w:tc>
        <w:tc>
          <w:tcPr>
            <w:tcW w:type="pct" w:w="443"/>
            <w:tcBorders>
              <w:top w:space="0" w:sz="4" w:color="auto" w:val="single"/>
              <w:left w:val="nil"/>
              <w:bottom w:space="0" w:sz="4" w:color="auto" w:val="single"/>
              <w:right w:val="nil"/>
            </w:tcBorders>
            <w:shd w:fill="DCE6F1" w:color="auto" w:val="clear"/>
            <w:noWrap/>
            <w:vAlign w:val="bottom"/>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w:t>
            </w:r>
          </w:p>
        </w:tc>
        <w:tc>
          <w:tcPr>
            <w:tcW w:type="pct" w:w="443"/>
            <w:tcBorders>
              <w:top w:space="0" w:sz="4" w:color="auto" w:val="single"/>
              <w:left w:val="nil"/>
              <w:bottom w:space="0" w:sz="4" w:color="auto" w:val="single"/>
              <w:right w:val="nil"/>
            </w:tcBorders>
            <w:shd w:fill="DCE6F1" w:color="auto" w:val="clear"/>
            <w:noWrap/>
            <w:vAlign w:val="bottom"/>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w:t>
            </w:r>
          </w:p>
        </w:tc>
        <w:tc>
          <w:tcPr>
            <w:tcW w:type="pct" w:w="443"/>
            <w:tcBorders>
              <w:top w:space="0" w:sz="4" w:color="auto" w:val="single"/>
              <w:left w:val="nil"/>
              <w:bottom w:space="0" w:sz="4" w:color="auto" w:val="single"/>
              <w:right w:space="0" w:sz="4" w:color="auto" w:val="single"/>
            </w:tcBorders>
            <w:shd w:fill="DCE6F1" w:color="auto" w:val="clear"/>
            <w:noWrap/>
            <w:vAlign w:val="bottom"/>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w:t>
            </w:r>
          </w:p>
        </w:tc>
      </w:tr>
      <w:tr w:rsidTr="001E3364" w:rsidR="001E3364">
        <w:trPr>
          <w:trHeight w:val="20"/>
        </w:trPr>
        <w:tc>
          <w:tcPr>
            <w:tcW w:type="pct" w:w="1807"/>
            <w:tcBorders>
              <w:top w:val="nil"/>
              <w:left w:space="0" w:sz="4" w:color="auto" w:val="single"/>
              <w:bottom w:space="0" w:sz="4" w:color="auto" w:val="single"/>
              <w:right w:val="nil"/>
            </w:tcBorders>
            <w:shd w:fill="C0C0C0" w:color="C0C0C0" w:val="pct12"/>
            <w:vAlign w:val="center"/>
            <w:hideMark/>
          </w:tcPr>
          <w:p w:rsidRDefault="001E3364" w:rsidR="001E3364">
            <w:pPr>
              <w:spacing w:lineRule="auto" w:line="240" w:after="0"/>
              <w:rPr>
                <w:rFonts w:cs="Calibri" w:eastAsia="Times New Roman" w:hAnsi="Calibri" w:ascii="Calibri"/>
                <w:b/>
                <w:bCs/>
                <w:color w:val="000080"/>
                <w:sz w:val="16"/>
                <w:szCs w:val="16"/>
                <w:lang w:eastAsia="hr-HR"/>
              </w:rPr>
            </w:pPr>
            <w:r>
              <w:rPr>
                <w:rFonts w:cs="Calibri" w:eastAsia="Times New Roman" w:hAnsi="Calibri" w:ascii="Calibri"/>
                <w:b/>
                <w:bCs/>
                <w:color w:val="000080"/>
                <w:sz w:val="16"/>
                <w:szCs w:val="16"/>
                <w:lang w:eastAsia="hr-HR"/>
              </w:rPr>
              <w:t>NOVČANI TIJEK OD POSLOVNIH AKTIVNOSTI</w:t>
            </w:r>
          </w:p>
        </w:tc>
        <w:tc>
          <w:tcPr>
            <w:tcW w:type="pct" w:w="443"/>
            <w:tcBorders>
              <w:top w:val="nil"/>
              <w:left w:val="nil"/>
              <w:bottom w:space="0" w:sz="4" w:color="auto" w:val="single"/>
              <w:right w:space="0" w:sz="4" w:color="auto" w:val="single"/>
            </w:tcBorders>
            <w:shd w:fill="C0C0C0" w:color="C0C0C0" w:val="pct12"/>
            <w:vAlign w:val="center"/>
            <w:hideMark/>
          </w:tcPr>
          <w:p w:rsidRDefault="001E3364" w:rsidR="001E3364">
            <w:pPr>
              <w:spacing w:lineRule="auto" w:line="240" w:after="0"/>
              <w:rPr>
                <w:rFonts w:cs="Calibri" w:eastAsia="Times New Roman" w:hAnsi="Calibri" w:ascii="Calibri"/>
                <w:color w:val="000080"/>
                <w:sz w:val="16"/>
                <w:szCs w:val="16"/>
                <w:lang w:eastAsia="hr-HR"/>
              </w:rPr>
            </w:pPr>
            <w:r>
              <w:rPr>
                <w:rFonts w:cs="Calibri" w:eastAsia="Times New Roman" w:hAnsi="Calibri" w:ascii="Calibri"/>
                <w:color w:val="000080"/>
                <w:sz w:val="16"/>
                <w:szCs w:val="16"/>
                <w:lang w:eastAsia="hr-HR"/>
              </w:rPr>
              <w:t> </w:t>
            </w:r>
          </w:p>
        </w:tc>
        <w:tc>
          <w:tcPr>
            <w:tcW w:type="pct" w:w="443"/>
            <w:tcBorders>
              <w:top w:val="nil"/>
              <w:left w:val="nil"/>
              <w:bottom w:space="0" w:sz="4" w:color="auto" w:val="single"/>
              <w:right w:space="0" w:sz="4" w:color="auto" w:val="single"/>
            </w:tcBorders>
            <w:shd w:fill="C0C0C0" w:color="C0C0C0" w:val="pct12"/>
            <w:vAlign w:val="center"/>
            <w:hideMark/>
          </w:tcPr>
          <w:p w:rsidRDefault="001E3364" w:rsidR="001E3364">
            <w:pPr>
              <w:spacing w:lineRule="auto" w:line="240" w:after="0"/>
              <w:rPr>
                <w:rFonts w:cs="Calibri" w:eastAsia="Times New Roman" w:hAnsi="Calibri" w:ascii="Calibri"/>
                <w:color w:val="000080"/>
                <w:sz w:val="16"/>
                <w:szCs w:val="16"/>
                <w:lang w:eastAsia="hr-HR"/>
              </w:rPr>
            </w:pPr>
            <w:r>
              <w:rPr>
                <w:rFonts w:cs="Calibri" w:eastAsia="Times New Roman" w:hAnsi="Calibri" w:ascii="Calibri"/>
                <w:color w:val="000080"/>
                <w:sz w:val="16"/>
                <w:szCs w:val="16"/>
                <w:lang w:eastAsia="hr-HR"/>
              </w:rPr>
              <w:t> </w:t>
            </w:r>
          </w:p>
        </w:tc>
        <w:tc>
          <w:tcPr>
            <w:tcW w:type="pct" w:w="534"/>
            <w:tcBorders>
              <w:top w:val="nil"/>
              <w:left w:val="nil"/>
              <w:bottom w:space="0" w:sz="4" w:color="auto" w:val="single"/>
              <w:right w:space="0" w:sz="4" w:color="auto" w:val="single"/>
            </w:tcBorders>
            <w:shd w:fill="C0C0C0" w:color="C0C0C0" w:val="pct12"/>
            <w:vAlign w:val="center"/>
            <w:hideMark/>
          </w:tcPr>
          <w:p w:rsidRDefault="001E3364" w:rsidR="001E3364">
            <w:pPr>
              <w:spacing w:lineRule="auto" w:line="240" w:after="0"/>
              <w:rPr>
                <w:rFonts w:cs="Calibri" w:eastAsia="Times New Roman" w:hAnsi="Calibri" w:ascii="Calibri"/>
                <w:color w:val="000080"/>
                <w:sz w:val="16"/>
                <w:szCs w:val="16"/>
                <w:lang w:eastAsia="hr-HR"/>
              </w:rPr>
            </w:pPr>
            <w:r>
              <w:rPr>
                <w:rFonts w:cs="Calibri" w:eastAsia="Times New Roman" w:hAnsi="Calibri" w:ascii="Calibri"/>
                <w:color w:val="000080"/>
                <w:sz w:val="16"/>
                <w:szCs w:val="16"/>
                <w:lang w:eastAsia="hr-HR"/>
              </w:rPr>
              <w:t> </w:t>
            </w:r>
          </w:p>
        </w:tc>
        <w:tc>
          <w:tcPr>
            <w:tcW w:type="pct" w:w="443"/>
            <w:tcBorders>
              <w:top w:val="nil"/>
              <w:left w:val="nil"/>
              <w:bottom w:space="0" w:sz="4" w:color="auto" w:val="single"/>
              <w:right w:space="0" w:sz="4" w:color="auto" w:val="single"/>
            </w:tcBorders>
            <w:shd w:fill="C0C0C0" w:color="C0C0C0" w:val="pct12"/>
            <w:vAlign w:val="center"/>
            <w:hideMark/>
          </w:tcPr>
          <w:p w:rsidRDefault="001E3364" w:rsidR="001E3364">
            <w:pPr>
              <w:spacing w:lineRule="auto" w:line="240" w:after="0"/>
              <w:rPr>
                <w:rFonts w:cs="Calibri" w:eastAsia="Times New Roman" w:hAnsi="Calibri" w:ascii="Calibri"/>
                <w:color w:val="000080"/>
                <w:sz w:val="16"/>
                <w:szCs w:val="16"/>
                <w:lang w:eastAsia="hr-HR"/>
              </w:rPr>
            </w:pPr>
            <w:r>
              <w:rPr>
                <w:rFonts w:cs="Calibri" w:eastAsia="Times New Roman" w:hAnsi="Calibri" w:ascii="Calibri"/>
                <w:color w:val="000080"/>
                <w:sz w:val="16"/>
                <w:szCs w:val="16"/>
                <w:lang w:eastAsia="hr-HR"/>
              </w:rPr>
              <w:t> </w:t>
            </w:r>
          </w:p>
        </w:tc>
        <w:tc>
          <w:tcPr>
            <w:tcW w:type="pct" w:w="443"/>
            <w:tcBorders>
              <w:top w:val="nil"/>
              <w:left w:val="nil"/>
              <w:bottom w:space="0" w:sz="4" w:color="auto" w:val="single"/>
              <w:right w:space="0" w:sz="4" w:color="auto" w:val="single"/>
            </w:tcBorders>
            <w:shd w:fill="C0C0C0" w:color="C0C0C0" w:val="pct12"/>
            <w:vAlign w:val="center"/>
            <w:hideMark/>
          </w:tcPr>
          <w:p w:rsidRDefault="001E3364" w:rsidR="001E3364">
            <w:pPr>
              <w:spacing w:lineRule="auto" w:line="240" w:after="0"/>
              <w:rPr>
                <w:rFonts w:cs="Calibri" w:eastAsia="Times New Roman" w:hAnsi="Calibri" w:ascii="Calibri"/>
                <w:color w:val="000080"/>
                <w:sz w:val="16"/>
                <w:szCs w:val="16"/>
                <w:lang w:eastAsia="hr-HR"/>
              </w:rPr>
            </w:pPr>
            <w:r>
              <w:rPr>
                <w:rFonts w:cs="Calibri" w:eastAsia="Times New Roman" w:hAnsi="Calibri" w:ascii="Calibri"/>
                <w:color w:val="000080"/>
                <w:sz w:val="16"/>
                <w:szCs w:val="16"/>
                <w:lang w:eastAsia="hr-HR"/>
              </w:rPr>
              <w:t> </w:t>
            </w:r>
          </w:p>
        </w:tc>
        <w:tc>
          <w:tcPr>
            <w:tcW w:type="pct" w:w="443"/>
            <w:tcBorders>
              <w:top w:val="nil"/>
              <w:left w:val="nil"/>
              <w:bottom w:space="0" w:sz="4" w:color="auto" w:val="single"/>
              <w:right w:space="0" w:sz="4" w:color="auto" w:val="single"/>
            </w:tcBorders>
            <w:shd w:fill="C0C0C0" w:color="C0C0C0" w:val="pct12"/>
            <w:vAlign w:val="center"/>
            <w:hideMark/>
          </w:tcPr>
          <w:p w:rsidRDefault="001E3364" w:rsidR="001E3364">
            <w:pPr>
              <w:spacing w:lineRule="auto" w:line="240" w:after="0"/>
              <w:rPr>
                <w:rFonts w:cs="Calibri" w:eastAsia="Times New Roman" w:hAnsi="Calibri" w:ascii="Calibri"/>
                <w:color w:val="000080"/>
                <w:sz w:val="16"/>
                <w:szCs w:val="16"/>
                <w:lang w:eastAsia="hr-HR"/>
              </w:rPr>
            </w:pPr>
            <w:r>
              <w:rPr>
                <w:rFonts w:cs="Calibri" w:eastAsia="Times New Roman" w:hAnsi="Calibri" w:ascii="Calibri"/>
                <w:color w:val="000080"/>
                <w:sz w:val="16"/>
                <w:szCs w:val="16"/>
                <w:lang w:eastAsia="hr-HR"/>
              </w:rPr>
              <w:t> </w:t>
            </w:r>
          </w:p>
        </w:tc>
        <w:tc>
          <w:tcPr>
            <w:tcW w:type="pct" w:w="443"/>
            <w:tcBorders>
              <w:top w:val="nil"/>
              <w:left w:val="nil"/>
              <w:bottom w:space="0" w:sz="4" w:color="auto" w:val="single"/>
              <w:right w:space="0" w:sz="4" w:color="auto" w:val="single"/>
            </w:tcBorders>
            <w:shd w:fill="C0C0C0" w:color="C0C0C0" w:val="pct12"/>
            <w:vAlign w:val="center"/>
            <w:hideMark/>
          </w:tcPr>
          <w:p w:rsidRDefault="001E3364" w:rsidR="001E3364">
            <w:pPr>
              <w:spacing w:lineRule="auto" w:line="240" w:after="0"/>
              <w:rPr>
                <w:rFonts w:cs="Calibri" w:eastAsia="Times New Roman" w:hAnsi="Calibri" w:ascii="Calibri"/>
                <w:color w:val="000080"/>
                <w:sz w:val="16"/>
                <w:szCs w:val="16"/>
                <w:lang w:eastAsia="hr-HR"/>
              </w:rPr>
            </w:pPr>
            <w:r>
              <w:rPr>
                <w:rFonts w:cs="Calibri" w:eastAsia="Times New Roman" w:hAnsi="Calibri" w:ascii="Calibri"/>
                <w:color w:val="000080"/>
                <w:sz w:val="16"/>
                <w:szCs w:val="16"/>
                <w:lang w:eastAsia="hr-HR"/>
              </w:rPr>
              <w:t> </w:t>
            </w:r>
          </w:p>
        </w:tc>
      </w:tr>
      <w:tr w:rsidTr="001E3364" w:rsidR="001E3364">
        <w:trPr>
          <w:trHeight w:val="20"/>
        </w:trPr>
        <w:tc>
          <w:tcPr>
            <w:tcW w:type="pct" w:w="1807"/>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1. Dobit prije oporezivanja</w:t>
            </w:r>
          </w:p>
        </w:tc>
        <w:tc>
          <w:tcPr>
            <w:tcW w:type="pct" w:w="443"/>
            <w:tcBorders>
              <w:top w:space="0" w:sz="4" w:color="auto" w:val="single"/>
              <w:left w:space="0" w:sz="4" w:color="auto" w:val="single"/>
              <w:bottom w:space="0" w:sz="4" w:color="auto" w:val="single"/>
              <w:right w:val="nil"/>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-9.851.014</w:t>
            </w:r>
          </w:p>
        </w:tc>
        <w:tc>
          <w:tcPr>
            <w:tcW w:type="pct" w:w="443"/>
            <w:tcBorders>
              <w:top w:space="0" w:sz="4" w:color="auto" w:val="single"/>
              <w:left w:space="0" w:sz="4" w:color="auto" w:val="single"/>
              <w:bottom w:space="0" w:sz="4" w:color="auto" w:val="single"/>
              <w:right w:val="nil"/>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1.496.356</w:t>
            </w:r>
          </w:p>
        </w:tc>
        <w:tc>
          <w:tcPr>
            <w:tcW w:type="pct" w:w="534"/>
            <w:tcBorders>
              <w:top w:space="0" w:sz="4" w:color="auto" w:val="single"/>
              <w:left w:space="0" w:sz="4" w:color="auto" w:val="single"/>
              <w:bottom w:space="0" w:sz="4" w:color="auto" w:val="single"/>
              <w:right w:val="nil"/>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5.925.775</w:t>
            </w:r>
          </w:p>
        </w:tc>
        <w:tc>
          <w:tcPr>
            <w:tcW w:type="pct" w:w="443"/>
            <w:tcBorders>
              <w:top w:space="0" w:sz="4" w:color="auto" w:val="single"/>
              <w:left w:space="0" w:sz="4" w:color="auto" w:val="single"/>
              <w:bottom w:space="0" w:sz="4" w:color="auto" w:val="single"/>
              <w:right w:val="nil"/>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7.004.811</w:t>
            </w:r>
          </w:p>
        </w:tc>
        <w:tc>
          <w:tcPr>
            <w:tcW w:type="pct" w:w="443"/>
            <w:tcBorders>
              <w:top w:space="0" w:sz="4" w:color="auto" w:val="single"/>
              <w:left w:space="0" w:sz="4" w:color="auto" w:val="single"/>
              <w:bottom w:space="0" w:sz="4" w:color="auto" w:val="single"/>
              <w:right w:val="nil"/>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7.761.780</w:t>
            </w:r>
          </w:p>
        </w:tc>
        <w:tc>
          <w:tcPr>
            <w:tcW w:type="pct" w:w="443"/>
            <w:tcBorders>
              <w:top w:space="0" w:sz="4" w:color="auto" w:val="single"/>
              <w:left w:space="0" w:sz="4" w:color="auto" w:val="single"/>
              <w:bottom w:space="0" w:sz="4" w:color="auto" w:val="single"/>
              <w:right w:val="nil"/>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9.112.428</w:t>
            </w:r>
          </w:p>
        </w:tc>
        <w:tc>
          <w:tcPr>
            <w:tcW w:type="pct" w:w="443"/>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10.462.212</w:t>
            </w:r>
          </w:p>
        </w:tc>
      </w:tr>
      <w:tr w:rsidTr="001E3364" w:rsidR="001E3364">
        <w:trPr>
          <w:trHeight w:val="20"/>
        </w:trPr>
        <w:tc>
          <w:tcPr>
            <w:tcW w:type="pct" w:w="1807"/>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2. Usklađenja:</w:t>
            </w:r>
          </w:p>
        </w:tc>
        <w:tc>
          <w:tcPr>
            <w:tcW w:type="pct" w:w="443"/>
            <w:tcBorders>
              <w:top w:val="nil"/>
              <w:left w:val="nil"/>
              <w:bottom w:space="0" w:sz="4" w:color="auto" w:val="single"/>
              <w:right w:val="nil"/>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6.575.456</w:t>
            </w:r>
          </w:p>
        </w:tc>
        <w:tc>
          <w:tcPr>
            <w:tcW w:type="pct" w:w="443"/>
            <w:tcBorders>
              <w:top w:val="nil"/>
              <w:left w:space="0" w:sz="4" w:color="auto" w:val="single"/>
              <w:bottom w:space="0" w:sz="4" w:color="auto" w:val="single"/>
              <w:right w:val="nil"/>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2.608.557</w:t>
            </w:r>
          </w:p>
        </w:tc>
        <w:tc>
          <w:tcPr>
            <w:tcW w:type="pct" w:w="534"/>
            <w:tcBorders>
              <w:top w:val="nil"/>
              <w:left w:space="0" w:sz="4" w:color="auto" w:val="single"/>
              <w:bottom w:space="0" w:sz="4" w:color="auto" w:val="single"/>
              <w:right w:val="nil"/>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2.411.637</w:t>
            </w:r>
          </w:p>
        </w:tc>
        <w:tc>
          <w:tcPr>
            <w:tcW w:type="pct" w:w="443"/>
            <w:tcBorders>
              <w:top w:val="nil"/>
              <w:left w:space="0" w:sz="4" w:color="auto" w:val="single"/>
              <w:bottom w:space="0" w:sz="4" w:color="auto" w:val="single"/>
              <w:right w:val="nil"/>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2.236.249</w:t>
            </w:r>
          </w:p>
        </w:tc>
        <w:tc>
          <w:tcPr>
            <w:tcW w:type="pct" w:w="443"/>
            <w:tcBorders>
              <w:top w:val="nil"/>
              <w:left w:space="0" w:sz="4" w:color="auto" w:val="single"/>
              <w:bottom w:space="0" w:sz="4" w:color="auto" w:val="single"/>
              <w:right w:val="nil"/>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3.938.220</w:t>
            </w:r>
          </w:p>
        </w:tc>
        <w:tc>
          <w:tcPr>
            <w:tcW w:type="pct" w:w="443"/>
            <w:tcBorders>
              <w:top w:val="nil"/>
              <w:left w:space="0" w:sz="4" w:color="auto" w:val="single"/>
              <w:bottom w:space="0" w:sz="4" w:color="auto" w:val="single"/>
              <w:right w:val="nil"/>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3.587.572</w:t>
            </w:r>
          </w:p>
        </w:tc>
        <w:tc>
          <w:tcPr>
            <w:tcW w:type="pct" w:w="443"/>
            <w:tcBorders>
              <w:top w:val="nil"/>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3.237.788</w:t>
            </w:r>
          </w:p>
        </w:tc>
      </w:tr>
      <w:tr w:rsidTr="001E3364" w:rsidR="001E3364">
        <w:trPr>
          <w:trHeight w:val="20"/>
        </w:trPr>
        <w:tc>
          <w:tcPr>
            <w:tcW w:type="pct" w:w="1807"/>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i/>
                <w:iCs/>
                <w:sz w:val="16"/>
                <w:szCs w:val="16"/>
                <w:lang w:eastAsia="hr-HR"/>
              </w:rPr>
            </w:pPr>
            <w:r>
              <w:rPr>
                <w:rFonts w:cs="Arial" w:eastAsia="Times New Roman" w:hAnsi="Arial" w:ascii="Arial"/>
                <w:i/>
                <w:iCs/>
                <w:sz w:val="16"/>
                <w:szCs w:val="16"/>
                <w:lang w:eastAsia="hr-HR"/>
              </w:rPr>
              <w:t xml:space="preserve"> a) Amortizacija</w:t>
            </w:r>
          </w:p>
        </w:tc>
        <w:tc>
          <w:tcPr>
            <w:tcW w:type="pct" w:w="443"/>
            <w:tcBorders>
              <w:top w:val="nil"/>
              <w:left w:val="nil"/>
              <w:bottom w:space="0" w:sz="4" w:color="auto" w:val="single"/>
              <w:right w:val="nil"/>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3.925.322</w:t>
            </w:r>
          </w:p>
        </w:tc>
        <w:tc>
          <w:tcPr>
            <w:tcW w:type="pct" w:w="443"/>
            <w:tcBorders>
              <w:top w:val="nil"/>
              <w:left w:space="0" w:sz="4" w:color="auto" w:val="single"/>
              <w:bottom w:space="0" w:sz="4" w:color="auto" w:val="single"/>
              <w:right w:val="nil"/>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3.425.322</w:t>
            </w:r>
          </w:p>
        </w:tc>
        <w:tc>
          <w:tcPr>
            <w:tcW w:type="pct" w:w="534"/>
            <w:tcBorders>
              <w:top w:val="nil"/>
              <w:left w:space="0" w:sz="4" w:color="auto" w:val="single"/>
              <w:bottom w:space="0" w:sz="4" w:color="auto" w:val="single"/>
              <w:right w:val="nil"/>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2.821.674</w:t>
            </w:r>
          </w:p>
        </w:tc>
        <w:tc>
          <w:tcPr>
            <w:tcW w:type="pct" w:w="443"/>
            <w:tcBorders>
              <w:top w:val="nil"/>
              <w:left w:space="0" w:sz="4" w:color="auto" w:val="single"/>
              <w:bottom w:space="0" w:sz="4" w:color="auto" w:val="single"/>
              <w:right w:val="nil"/>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2.718.025</w:t>
            </w:r>
          </w:p>
        </w:tc>
        <w:tc>
          <w:tcPr>
            <w:tcW w:type="pct" w:w="443"/>
            <w:tcBorders>
              <w:top w:val="nil"/>
              <w:left w:space="0" w:sz="4" w:color="auto" w:val="single"/>
              <w:bottom w:space="0" w:sz="4" w:color="auto" w:val="single"/>
              <w:right w:val="nil"/>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2.614.377</w:t>
            </w:r>
          </w:p>
        </w:tc>
        <w:tc>
          <w:tcPr>
            <w:tcW w:type="pct" w:w="443"/>
            <w:tcBorders>
              <w:top w:val="nil"/>
              <w:left w:space="0" w:sz="4" w:color="auto" w:val="single"/>
              <w:bottom w:space="0" w:sz="4" w:color="auto" w:val="single"/>
              <w:right w:val="nil"/>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2.510.729</w:t>
            </w:r>
          </w:p>
        </w:tc>
        <w:tc>
          <w:tcPr>
            <w:tcW w:type="pct" w:w="443"/>
            <w:tcBorders>
              <w:top w:val="nil"/>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2.407.081</w:t>
            </w:r>
          </w:p>
        </w:tc>
      </w:tr>
      <w:tr w:rsidTr="001E3364" w:rsidR="001E3364">
        <w:trPr>
          <w:trHeight w:val="20"/>
        </w:trPr>
        <w:tc>
          <w:tcPr>
            <w:tcW w:type="pct" w:w="1807"/>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i/>
                <w:iCs/>
                <w:sz w:val="16"/>
                <w:szCs w:val="16"/>
                <w:lang w:eastAsia="hr-HR"/>
              </w:rPr>
            </w:pPr>
            <w:r>
              <w:rPr>
                <w:rFonts w:cs="Arial" w:eastAsia="Times New Roman" w:hAnsi="Arial" w:ascii="Arial"/>
                <w:i/>
                <w:iCs/>
                <w:sz w:val="16"/>
                <w:szCs w:val="16"/>
                <w:lang w:eastAsia="hr-HR"/>
              </w:rPr>
              <w:t xml:space="preserve"> b) Dobici i gubici od prodaje i vrijednosna usklađenja dugotrajne materijalne i nematerijalne imovine</w:t>
            </w:r>
          </w:p>
        </w:tc>
        <w:tc>
          <w:tcPr>
            <w:tcW w:type="pct" w:w="443"/>
            <w:tcBorders>
              <w:top w:val="nil"/>
              <w:left w:val="nil"/>
              <w:bottom w:space="0" w:sz="4" w:color="auto" w:val="single"/>
              <w:right w:val="nil"/>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-40.558</w:t>
            </w:r>
          </w:p>
        </w:tc>
        <w:tc>
          <w:tcPr>
            <w:tcW w:type="pct" w:w="443"/>
            <w:tcBorders>
              <w:top w:val="nil"/>
              <w:left w:space="0" w:sz="4" w:color="auto" w:val="single"/>
              <w:bottom w:space="0" w:sz="4" w:color="auto" w:val="single"/>
              <w:right w:val="nil"/>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-2.595.087</w:t>
            </w:r>
          </w:p>
        </w:tc>
        <w:tc>
          <w:tcPr>
            <w:tcW w:type="pct" w:w="534"/>
            <w:tcBorders>
              <w:top w:val="nil"/>
              <w:left w:space="0" w:sz="4" w:color="auto" w:val="single"/>
              <w:bottom w:space="0" w:sz="4" w:color="auto" w:val="single"/>
              <w:right w:val="nil"/>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-2.162.588</w:t>
            </w:r>
          </w:p>
        </w:tc>
        <w:tc>
          <w:tcPr>
            <w:tcW w:type="pct" w:w="443"/>
            <w:tcBorders>
              <w:top w:val="nil"/>
              <w:left w:space="0" w:sz="4" w:color="auto" w:val="single"/>
              <w:bottom w:space="0" w:sz="4" w:color="auto" w:val="single"/>
              <w:right w:val="nil"/>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-2.058.940</w:t>
            </w:r>
          </w:p>
        </w:tc>
        <w:tc>
          <w:tcPr>
            <w:tcW w:type="pct" w:w="443"/>
            <w:tcBorders>
              <w:top w:val="nil"/>
              <w:left w:space="0" w:sz="4" w:color="auto" w:val="single"/>
              <w:bottom w:space="0" w:sz="4" w:color="auto" w:val="single"/>
              <w:right w:val="nil"/>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space="0" w:sz="4" w:color="auto" w:val="single"/>
              <w:bottom w:space="0" w:sz="4" w:color="auto" w:val="single"/>
              <w:right w:val="nil"/>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1807"/>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i/>
                <w:iCs/>
                <w:sz w:val="16"/>
                <w:szCs w:val="16"/>
                <w:lang w:eastAsia="hr-HR"/>
              </w:rPr>
            </w:pPr>
            <w:r>
              <w:rPr>
                <w:rFonts w:cs="Arial" w:eastAsia="Times New Roman" w:hAnsi="Arial" w:ascii="Arial"/>
                <w:i/>
                <w:iCs/>
                <w:sz w:val="16"/>
                <w:szCs w:val="16"/>
                <w:lang w:eastAsia="hr-HR"/>
              </w:rPr>
              <w:t xml:space="preserve"> c) Dobici i gubici od prodaje i nerealizirani dobici i gubici i vrijednosno usklađenje financijske imovine</w:t>
            </w:r>
          </w:p>
        </w:tc>
        <w:tc>
          <w:tcPr>
            <w:tcW w:type="pct" w:w="443"/>
            <w:tcBorders>
              <w:top w:val="nil"/>
              <w:left w:val="nil"/>
              <w:bottom w:space="0" w:sz="4" w:color="auto" w:val="single"/>
              <w:right w:val="nil"/>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space="0" w:sz="4" w:color="auto" w:val="single"/>
              <w:bottom w:space="0" w:sz="4" w:color="auto" w:val="single"/>
              <w:right w:val="nil"/>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534"/>
            <w:tcBorders>
              <w:top w:val="nil"/>
              <w:left w:space="0" w:sz="4" w:color="auto" w:val="single"/>
              <w:bottom w:space="0" w:sz="4" w:color="auto" w:val="single"/>
              <w:right w:val="nil"/>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space="0" w:sz="4" w:color="auto" w:val="single"/>
              <w:bottom w:space="0" w:sz="4" w:color="auto" w:val="single"/>
              <w:right w:val="nil"/>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space="0" w:sz="4" w:color="auto" w:val="single"/>
              <w:bottom w:space="0" w:sz="4" w:color="auto" w:val="single"/>
              <w:right w:val="nil"/>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space="0" w:sz="4" w:color="auto" w:val="single"/>
              <w:bottom w:space="0" w:sz="4" w:color="auto" w:val="single"/>
              <w:right w:val="nil"/>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1807"/>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i/>
                <w:iCs/>
                <w:sz w:val="16"/>
                <w:szCs w:val="16"/>
                <w:lang w:eastAsia="hr-HR"/>
              </w:rPr>
            </w:pPr>
            <w:r>
              <w:rPr>
                <w:rFonts w:cs="Arial" w:eastAsia="Times New Roman" w:hAnsi="Arial" w:ascii="Arial"/>
                <w:i/>
                <w:iCs/>
                <w:sz w:val="16"/>
                <w:szCs w:val="16"/>
                <w:lang w:eastAsia="hr-HR"/>
              </w:rPr>
              <w:t xml:space="preserve"> d) Prihodi od kamata i dividendi</w:t>
            </w:r>
          </w:p>
        </w:tc>
        <w:tc>
          <w:tcPr>
            <w:tcW w:type="pct" w:w="443"/>
            <w:tcBorders>
              <w:top w:val="nil"/>
              <w:left w:val="nil"/>
              <w:bottom w:space="0" w:sz="4" w:color="auto" w:val="single"/>
              <w:right w:val="nil"/>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-15.000</w:t>
            </w:r>
          </w:p>
        </w:tc>
        <w:tc>
          <w:tcPr>
            <w:tcW w:type="pct" w:w="443"/>
            <w:tcBorders>
              <w:top w:val="nil"/>
              <w:left w:space="0" w:sz="4" w:color="auto" w:val="single"/>
              <w:bottom w:space="0" w:sz="4" w:color="auto" w:val="single"/>
              <w:right w:val="nil"/>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534"/>
            <w:tcBorders>
              <w:top w:val="nil"/>
              <w:left w:space="0" w:sz="4" w:color="auto" w:val="single"/>
              <w:bottom w:space="0" w:sz="4" w:color="auto" w:val="single"/>
              <w:right w:val="nil"/>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43"/>
            <w:tcBorders>
              <w:top w:val="nil"/>
              <w:left w:space="0" w:sz="4" w:color="auto" w:val="single"/>
              <w:bottom w:space="0" w:sz="4" w:color="auto" w:val="single"/>
              <w:right w:val="nil"/>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43"/>
            <w:tcBorders>
              <w:top w:val="nil"/>
              <w:left w:space="0" w:sz="4" w:color="auto" w:val="single"/>
              <w:bottom w:space="0" w:sz="4" w:color="auto" w:val="single"/>
              <w:right w:val="nil"/>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43"/>
            <w:tcBorders>
              <w:top w:val="nil"/>
              <w:left w:space="0" w:sz="4" w:color="auto" w:val="single"/>
              <w:bottom w:space="0" w:sz="4" w:color="auto" w:val="single"/>
              <w:right w:val="nil"/>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43"/>
            <w:tcBorders>
              <w:top w:val="nil"/>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r>
      <w:tr w:rsidTr="001E3364" w:rsidR="001E3364">
        <w:trPr>
          <w:trHeight w:val="20"/>
        </w:trPr>
        <w:tc>
          <w:tcPr>
            <w:tcW w:type="pct" w:w="1807"/>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i/>
                <w:iCs/>
                <w:sz w:val="16"/>
                <w:szCs w:val="16"/>
                <w:lang w:eastAsia="hr-HR"/>
              </w:rPr>
            </w:pPr>
            <w:r>
              <w:rPr>
                <w:rFonts w:cs="Arial" w:eastAsia="Times New Roman" w:hAnsi="Arial" w:ascii="Arial"/>
                <w:i/>
                <w:iCs/>
                <w:sz w:val="16"/>
                <w:szCs w:val="16"/>
                <w:lang w:eastAsia="hr-HR"/>
              </w:rPr>
              <w:t xml:space="preserve"> e) Rashodi od kamata</w:t>
            </w:r>
          </w:p>
        </w:tc>
        <w:tc>
          <w:tcPr>
            <w:tcW w:type="pct" w:w="443"/>
            <w:tcBorders>
              <w:top w:val="nil"/>
              <w:left w:val="nil"/>
              <w:bottom w:space="0" w:sz="4" w:color="auto" w:val="single"/>
              <w:right w:val="nil"/>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2.705.692</w:t>
            </w:r>
          </w:p>
        </w:tc>
        <w:tc>
          <w:tcPr>
            <w:tcW w:type="pct" w:w="443"/>
            <w:tcBorders>
              <w:top w:val="nil"/>
              <w:left w:space="0" w:sz="4" w:color="auto" w:val="single"/>
              <w:bottom w:space="0" w:sz="4" w:color="auto" w:val="single"/>
              <w:right w:val="nil"/>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1.778.322</w:t>
            </w:r>
          </w:p>
        </w:tc>
        <w:tc>
          <w:tcPr>
            <w:tcW w:type="pct" w:w="534"/>
            <w:tcBorders>
              <w:top w:val="nil"/>
              <w:left w:space="0" w:sz="4" w:color="auto" w:val="single"/>
              <w:bottom w:space="0" w:sz="4" w:color="auto" w:val="single"/>
              <w:right w:val="nil"/>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1.752.551</w:t>
            </w:r>
          </w:p>
        </w:tc>
        <w:tc>
          <w:tcPr>
            <w:tcW w:type="pct" w:w="443"/>
            <w:tcBorders>
              <w:top w:val="nil"/>
              <w:left w:space="0" w:sz="4" w:color="auto" w:val="single"/>
              <w:bottom w:space="0" w:sz="4" w:color="auto" w:val="single"/>
              <w:right w:val="nil"/>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1.577.163</w:t>
            </w:r>
          </w:p>
        </w:tc>
        <w:tc>
          <w:tcPr>
            <w:tcW w:type="pct" w:w="443"/>
            <w:tcBorders>
              <w:top w:val="nil"/>
              <w:left w:space="0" w:sz="4" w:color="auto" w:val="single"/>
              <w:bottom w:space="0" w:sz="4" w:color="auto" w:val="single"/>
              <w:right w:val="nil"/>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1.323.843</w:t>
            </w:r>
          </w:p>
        </w:tc>
        <w:tc>
          <w:tcPr>
            <w:tcW w:type="pct" w:w="443"/>
            <w:tcBorders>
              <w:top w:val="nil"/>
              <w:left w:space="0" w:sz="4" w:color="auto" w:val="single"/>
              <w:bottom w:space="0" w:sz="4" w:color="auto" w:val="single"/>
              <w:right w:val="nil"/>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1.076.843</w:t>
            </w:r>
          </w:p>
        </w:tc>
        <w:tc>
          <w:tcPr>
            <w:tcW w:type="pct" w:w="443"/>
            <w:tcBorders>
              <w:top w:val="nil"/>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830.707</w:t>
            </w:r>
          </w:p>
        </w:tc>
      </w:tr>
      <w:tr w:rsidTr="001E3364" w:rsidR="001E3364">
        <w:trPr>
          <w:trHeight w:val="20"/>
        </w:trPr>
        <w:tc>
          <w:tcPr>
            <w:tcW w:type="pct" w:w="1807"/>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i/>
                <w:iCs/>
                <w:sz w:val="16"/>
                <w:szCs w:val="16"/>
                <w:lang w:eastAsia="hr-HR"/>
              </w:rPr>
            </w:pPr>
            <w:r>
              <w:rPr>
                <w:rFonts w:cs="Arial" w:eastAsia="Times New Roman" w:hAnsi="Arial" w:ascii="Arial"/>
                <w:i/>
                <w:iCs/>
                <w:sz w:val="16"/>
                <w:szCs w:val="16"/>
                <w:lang w:eastAsia="hr-HR"/>
              </w:rPr>
              <w:t xml:space="preserve"> f) Rezerviranja</w:t>
            </w:r>
          </w:p>
        </w:tc>
        <w:tc>
          <w:tcPr>
            <w:tcW w:type="pct" w:w="443"/>
            <w:tcBorders>
              <w:top w:val="nil"/>
              <w:left w:val="nil"/>
              <w:bottom w:space="0" w:sz="4" w:color="auto" w:val="single"/>
              <w:right w:val="nil"/>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space="0" w:sz="4" w:color="auto" w:val="single"/>
              <w:bottom w:space="0" w:sz="4" w:color="auto" w:val="single"/>
              <w:right w:val="nil"/>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534"/>
            <w:tcBorders>
              <w:top w:val="nil"/>
              <w:left w:space="0" w:sz="4" w:color="auto" w:val="single"/>
              <w:bottom w:space="0" w:sz="4" w:color="auto" w:val="single"/>
              <w:right w:val="nil"/>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space="0" w:sz="4" w:color="auto" w:val="single"/>
              <w:bottom w:space="0" w:sz="4" w:color="auto" w:val="single"/>
              <w:right w:val="nil"/>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space="0" w:sz="4" w:color="auto" w:val="single"/>
              <w:bottom w:space="0" w:sz="4" w:color="auto" w:val="single"/>
              <w:right w:val="nil"/>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space="0" w:sz="4" w:color="auto" w:val="single"/>
              <w:bottom w:space="0" w:sz="4" w:color="auto" w:val="single"/>
              <w:right w:val="nil"/>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1807"/>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i/>
                <w:iCs/>
                <w:sz w:val="16"/>
                <w:szCs w:val="16"/>
                <w:lang w:eastAsia="hr-HR"/>
              </w:rPr>
            </w:pPr>
            <w:r>
              <w:rPr>
                <w:rFonts w:cs="Arial" w:eastAsia="Times New Roman" w:hAnsi="Arial" w:ascii="Arial"/>
                <w:i/>
                <w:iCs/>
                <w:sz w:val="16"/>
                <w:szCs w:val="16"/>
                <w:lang w:eastAsia="hr-HR"/>
              </w:rPr>
              <w:t xml:space="preserve"> g) Tečajne razlike (nerealizirane)</w:t>
            </w:r>
          </w:p>
        </w:tc>
        <w:tc>
          <w:tcPr>
            <w:tcW w:type="pct" w:w="443"/>
            <w:tcBorders>
              <w:top w:val="nil"/>
              <w:left w:val="nil"/>
              <w:bottom w:space="0" w:sz="4" w:color="auto" w:val="single"/>
              <w:right w:val="nil"/>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space="0" w:sz="4" w:color="auto" w:val="single"/>
              <w:bottom w:space="0" w:sz="4" w:color="auto" w:val="single"/>
              <w:right w:val="nil"/>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534"/>
            <w:tcBorders>
              <w:top w:val="nil"/>
              <w:left w:space="0" w:sz="4" w:color="auto" w:val="single"/>
              <w:bottom w:space="0" w:sz="4" w:color="auto" w:val="single"/>
              <w:right w:val="nil"/>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space="0" w:sz="4" w:color="auto" w:val="single"/>
              <w:bottom w:space="0" w:sz="4" w:color="auto" w:val="single"/>
              <w:right w:val="nil"/>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space="0" w:sz="4" w:color="auto" w:val="single"/>
              <w:bottom w:space="0" w:sz="4" w:color="auto" w:val="single"/>
              <w:right w:val="nil"/>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space="0" w:sz="4" w:color="auto" w:val="single"/>
              <w:bottom w:space="0" w:sz="4" w:color="auto" w:val="single"/>
              <w:right w:val="nil"/>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1807"/>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i/>
                <w:iCs/>
                <w:sz w:val="16"/>
                <w:szCs w:val="16"/>
                <w:lang w:eastAsia="hr-HR"/>
              </w:rPr>
            </w:pPr>
            <w:r>
              <w:rPr>
                <w:rFonts w:cs="Arial" w:eastAsia="Times New Roman" w:hAnsi="Arial" w:ascii="Arial"/>
                <w:i/>
                <w:iCs/>
                <w:sz w:val="16"/>
                <w:szCs w:val="16"/>
                <w:lang w:eastAsia="hr-HR"/>
              </w:rPr>
              <w:t xml:space="preserve"> h) Ostala usklađenja za nenovčane transakcije i nerealizirane dobitke i gubitke</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534"/>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1807"/>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b/>
                <w:bCs/>
                <w:sz w:val="16"/>
                <w:szCs w:val="16"/>
                <w:lang w:eastAsia="hr-HR"/>
              </w:rPr>
            </w:pPr>
            <w:r>
              <w:rPr>
                <w:rFonts w:cs="Arial" w:eastAsia="Times New Roman" w:hAnsi="Arial" w:ascii="Arial"/>
                <w:b/>
                <w:bCs/>
                <w:sz w:val="16"/>
                <w:szCs w:val="16"/>
                <w:lang w:eastAsia="hr-HR"/>
              </w:rPr>
              <w:t>I.  Povećanje ili smanjenje novčanih tokova prije promjena u radnom kapitalu</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-3.275.558</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4.104.913</w:t>
            </w:r>
          </w:p>
        </w:tc>
        <w:tc>
          <w:tcPr>
            <w:tcW w:type="pct" w:w="534"/>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8.337.412</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9.241.060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11.700.000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12.700.000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13.700.000</w:t>
            </w:r>
          </w:p>
        </w:tc>
      </w:tr>
      <w:tr w:rsidTr="001E3364" w:rsidR="001E3364">
        <w:trPr>
          <w:trHeight w:val="20"/>
        </w:trPr>
        <w:tc>
          <w:tcPr>
            <w:tcW w:type="pct" w:w="1807"/>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3. Promjene u radnom kapitalu</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-4.537.737</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-321.731</w:t>
            </w:r>
          </w:p>
        </w:tc>
        <w:tc>
          <w:tcPr>
            <w:tcW w:type="pct" w:w="534"/>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-1.566.755</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-861.621</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852.309</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790.911</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-3.740.675</w:t>
            </w:r>
          </w:p>
        </w:tc>
      </w:tr>
      <w:tr w:rsidTr="001E3364" w:rsidR="001E3364">
        <w:trPr>
          <w:trHeight w:val="20"/>
        </w:trPr>
        <w:tc>
          <w:tcPr>
            <w:tcW w:type="pct" w:w="1807"/>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i/>
                <w:iCs/>
                <w:sz w:val="16"/>
                <w:szCs w:val="16"/>
                <w:lang w:eastAsia="hr-HR"/>
              </w:rPr>
            </w:pPr>
            <w:r>
              <w:rPr>
                <w:rFonts w:cs="Arial" w:eastAsia="Times New Roman" w:hAnsi="Arial" w:ascii="Arial"/>
                <w:i/>
                <w:iCs/>
                <w:sz w:val="16"/>
                <w:szCs w:val="16"/>
                <w:lang w:eastAsia="hr-HR"/>
              </w:rPr>
              <w:t xml:space="preserve"> a) Povećanje ili smanjenje kratkoročnih obveza</w:t>
            </w:r>
          </w:p>
        </w:tc>
        <w:tc>
          <w:tcPr>
            <w:tcW w:type="pct" w:w="443"/>
            <w:tcBorders>
              <w:top w:val="nil"/>
              <w:left w:val="nil"/>
              <w:bottom w:space="0" w:sz="4" w:color="auto" w:val="single"/>
              <w:right w:val="nil"/>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1.837.682</w:t>
            </w:r>
          </w:p>
        </w:tc>
        <w:tc>
          <w:tcPr>
            <w:tcW w:type="pct" w:w="443"/>
            <w:tcBorders>
              <w:top w:val="nil"/>
              <w:left w:space="0" w:sz="4" w:color="auto" w:val="single"/>
              <w:bottom w:space="0" w:sz="4" w:color="auto" w:val="single"/>
              <w:right w:val="nil"/>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2.478.269</w:t>
            </w:r>
          </w:p>
        </w:tc>
        <w:tc>
          <w:tcPr>
            <w:tcW w:type="pct" w:w="534"/>
            <w:tcBorders>
              <w:top w:val="nil"/>
              <w:left w:space="0" w:sz="4" w:color="auto" w:val="single"/>
              <w:bottom w:space="0" w:sz="4" w:color="auto" w:val="single"/>
              <w:right w:val="nil"/>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5.524.924</w:t>
            </w:r>
          </w:p>
        </w:tc>
        <w:tc>
          <w:tcPr>
            <w:tcW w:type="pct" w:w="443"/>
            <w:tcBorders>
              <w:top w:val="nil"/>
              <w:left w:space="0" w:sz="4" w:color="auto" w:val="single"/>
              <w:bottom w:space="0" w:sz="4" w:color="auto" w:val="single"/>
              <w:right w:val="nil"/>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-3.733.215</w:t>
            </w:r>
          </w:p>
        </w:tc>
        <w:tc>
          <w:tcPr>
            <w:tcW w:type="pct" w:w="443"/>
            <w:tcBorders>
              <w:top w:val="nil"/>
              <w:left w:space="0" w:sz="4" w:color="auto" w:val="single"/>
              <w:bottom w:space="0" w:sz="4" w:color="auto" w:val="single"/>
              <w:right w:val="nil"/>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1.888.721</w:t>
            </w:r>
          </w:p>
        </w:tc>
        <w:tc>
          <w:tcPr>
            <w:tcW w:type="pct" w:w="443"/>
            <w:tcBorders>
              <w:top w:val="nil"/>
              <w:left w:space="0" w:sz="4" w:color="auto" w:val="single"/>
              <w:bottom w:space="0" w:sz="4" w:color="auto" w:val="single"/>
              <w:right w:val="nil"/>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-209.089</w:t>
            </w:r>
          </w:p>
        </w:tc>
        <w:tc>
          <w:tcPr>
            <w:tcW w:type="pct" w:w="443"/>
            <w:tcBorders>
              <w:top w:val="nil"/>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-4.240.675</w:t>
            </w:r>
          </w:p>
        </w:tc>
      </w:tr>
      <w:tr w:rsidTr="001E3364" w:rsidR="001E3364">
        <w:trPr>
          <w:trHeight w:val="20"/>
        </w:trPr>
        <w:tc>
          <w:tcPr>
            <w:tcW w:type="pct" w:w="1807"/>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i/>
                <w:iCs/>
                <w:sz w:val="16"/>
                <w:szCs w:val="16"/>
                <w:lang w:eastAsia="hr-HR"/>
              </w:rPr>
            </w:pPr>
            <w:r>
              <w:rPr>
                <w:rFonts w:cs="Arial" w:eastAsia="Times New Roman" w:hAnsi="Arial" w:ascii="Arial"/>
                <w:i/>
                <w:iCs/>
                <w:sz w:val="16"/>
                <w:szCs w:val="16"/>
                <w:lang w:eastAsia="hr-HR"/>
              </w:rPr>
              <w:t xml:space="preserve"> b) Povećanje ili smanjenje kratkotrajnih potraživanja</w:t>
            </w:r>
          </w:p>
        </w:tc>
        <w:tc>
          <w:tcPr>
            <w:tcW w:type="pct" w:w="443"/>
            <w:tcBorders>
              <w:top w:val="nil"/>
              <w:left w:val="nil"/>
              <w:bottom w:space="0" w:sz="4" w:color="auto" w:val="single"/>
              <w:right w:val="nil"/>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-3.135.982</w:t>
            </w:r>
          </w:p>
        </w:tc>
        <w:tc>
          <w:tcPr>
            <w:tcW w:type="pct" w:w="443"/>
            <w:tcBorders>
              <w:top w:val="nil"/>
              <w:left w:space="0" w:sz="4" w:color="auto" w:val="single"/>
              <w:bottom w:space="0" w:sz="4" w:color="auto" w:val="single"/>
              <w:right w:val="nil"/>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-2.000.000</w:t>
            </w:r>
          </w:p>
        </w:tc>
        <w:tc>
          <w:tcPr>
            <w:tcW w:type="pct" w:w="534"/>
            <w:tcBorders>
              <w:top w:val="nil"/>
              <w:left w:space="0" w:sz="4" w:color="auto" w:val="single"/>
              <w:bottom w:space="0" w:sz="4" w:color="auto" w:val="single"/>
              <w:right w:val="nil"/>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-5.500.000</w:t>
            </w:r>
          </w:p>
        </w:tc>
        <w:tc>
          <w:tcPr>
            <w:tcW w:type="pct" w:w="443"/>
            <w:tcBorders>
              <w:top w:val="nil"/>
              <w:left w:space="0" w:sz="4" w:color="auto" w:val="single"/>
              <w:bottom w:space="0" w:sz="4" w:color="auto" w:val="single"/>
              <w:right w:val="nil"/>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3.591.592</w:t>
            </w:r>
          </w:p>
        </w:tc>
        <w:tc>
          <w:tcPr>
            <w:tcW w:type="pct" w:w="443"/>
            <w:tcBorders>
              <w:top w:val="nil"/>
              <w:left w:space="0" w:sz="4" w:color="auto" w:val="single"/>
              <w:bottom w:space="0" w:sz="4" w:color="auto" w:val="single"/>
              <w:right w:val="nil"/>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963.588</w:t>
            </w:r>
          </w:p>
        </w:tc>
        <w:tc>
          <w:tcPr>
            <w:tcW w:type="pct" w:w="443"/>
            <w:tcBorders>
              <w:top w:val="nil"/>
              <w:left w:space="0" w:sz="4" w:color="auto" w:val="single"/>
              <w:bottom w:space="0" w:sz="4" w:color="auto" w:val="single"/>
              <w:right w:val="nil"/>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43"/>
            <w:tcBorders>
              <w:top w:val="nil"/>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r>
      <w:tr w:rsidTr="001E3364" w:rsidR="001E3364">
        <w:trPr>
          <w:trHeight w:val="20"/>
        </w:trPr>
        <w:tc>
          <w:tcPr>
            <w:tcW w:type="pct" w:w="1807"/>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i/>
                <w:iCs/>
                <w:sz w:val="16"/>
                <w:szCs w:val="16"/>
                <w:lang w:eastAsia="hr-HR"/>
              </w:rPr>
            </w:pPr>
            <w:r>
              <w:rPr>
                <w:rFonts w:cs="Arial" w:eastAsia="Times New Roman" w:hAnsi="Arial" w:ascii="Arial"/>
                <w:i/>
                <w:iCs/>
                <w:sz w:val="16"/>
                <w:szCs w:val="16"/>
                <w:lang w:eastAsia="hr-HR"/>
              </w:rPr>
              <w:t xml:space="preserve"> c) Povećanje ili smanjenje zaliha</w:t>
            </w:r>
          </w:p>
        </w:tc>
        <w:tc>
          <w:tcPr>
            <w:tcW w:type="pct" w:w="443"/>
            <w:tcBorders>
              <w:top w:val="nil"/>
              <w:left w:val="nil"/>
              <w:bottom w:space="0" w:sz="4" w:color="auto" w:val="single"/>
              <w:right w:val="nil"/>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-3.239.437</w:t>
            </w:r>
          </w:p>
        </w:tc>
        <w:tc>
          <w:tcPr>
            <w:tcW w:type="pct" w:w="443"/>
            <w:tcBorders>
              <w:top w:val="nil"/>
              <w:left w:space="0" w:sz="4" w:color="auto" w:val="single"/>
              <w:bottom w:space="0" w:sz="4" w:color="auto" w:val="single"/>
              <w:right w:val="nil"/>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-800.000</w:t>
            </w:r>
          </w:p>
        </w:tc>
        <w:tc>
          <w:tcPr>
            <w:tcW w:type="pct" w:w="534"/>
            <w:tcBorders>
              <w:top w:val="nil"/>
              <w:left w:space="0" w:sz="4" w:color="auto" w:val="single"/>
              <w:bottom w:space="0" w:sz="4" w:color="auto" w:val="single"/>
              <w:right w:val="nil"/>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-1.591.679</w:t>
            </w:r>
          </w:p>
        </w:tc>
        <w:tc>
          <w:tcPr>
            <w:tcW w:type="pct" w:w="443"/>
            <w:tcBorders>
              <w:top w:val="nil"/>
              <w:left w:space="0" w:sz="4" w:color="auto" w:val="single"/>
              <w:bottom w:space="0" w:sz="4" w:color="auto" w:val="single"/>
              <w:right w:val="nil"/>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-719.998</w:t>
            </w:r>
          </w:p>
        </w:tc>
        <w:tc>
          <w:tcPr>
            <w:tcW w:type="pct" w:w="443"/>
            <w:tcBorders>
              <w:top w:val="nil"/>
              <w:left w:space="0" w:sz="4" w:color="auto" w:val="single"/>
              <w:bottom w:space="0" w:sz="4" w:color="auto" w:val="single"/>
              <w:right w:val="nil"/>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-2.000.000</w:t>
            </w:r>
          </w:p>
        </w:tc>
        <w:tc>
          <w:tcPr>
            <w:tcW w:type="pct" w:w="443"/>
            <w:tcBorders>
              <w:top w:val="nil"/>
              <w:left w:space="0" w:sz="4" w:color="auto" w:val="single"/>
              <w:bottom w:space="0" w:sz="4" w:color="auto" w:val="single"/>
              <w:right w:val="nil"/>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1.000.000</w:t>
            </w:r>
          </w:p>
        </w:tc>
        <w:tc>
          <w:tcPr>
            <w:tcW w:type="pct" w:w="443"/>
            <w:tcBorders>
              <w:top w:val="nil"/>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500.000</w:t>
            </w:r>
          </w:p>
        </w:tc>
      </w:tr>
      <w:tr w:rsidTr="001E3364" w:rsidR="001E3364">
        <w:trPr>
          <w:trHeight w:val="20"/>
        </w:trPr>
        <w:tc>
          <w:tcPr>
            <w:tcW w:type="pct" w:w="1807"/>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i/>
                <w:iCs/>
                <w:sz w:val="16"/>
                <w:szCs w:val="16"/>
                <w:lang w:eastAsia="hr-HR"/>
              </w:rPr>
            </w:pPr>
            <w:r>
              <w:rPr>
                <w:rFonts w:cs="Arial" w:eastAsia="Times New Roman" w:hAnsi="Arial" w:ascii="Arial"/>
                <w:i/>
                <w:iCs/>
                <w:sz w:val="16"/>
                <w:szCs w:val="16"/>
                <w:lang w:eastAsia="hr-HR"/>
              </w:rPr>
              <w:t xml:space="preserve"> d) Ostala povećanja ili smanjenja radnog kapitala</w:t>
            </w:r>
          </w:p>
        </w:tc>
        <w:tc>
          <w:tcPr>
            <w:tcW w:type="pct" w:w="443"/>
            <w:tcBorders>
              <w:top w:val="nil"/>
              <w:left w:val="nil"/>
              <w:bottom w:space="0" w:sz="4" w:color="auto" w:val="single"/>
              <w:right w:val="nil"/>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43"/>
            <w:tcBorders>
              <w:top w:val="nil"/>
              <w:left w:space="0" w:sz="4" w:color="auto" w:val="single"/>
              <w:bottom w:space="0" w:sz="4" w:color="auto" w:val="single"/>
              <w:right w:val="nil"/>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534"/>
            <w:tcBorders>
              <w:top w:val="nil"/>
              <w:left w:space="0" w:sz="4" w:color="auto" w:val="single"/>
              <w:bottom w:space="0" w:sz="4" w:color="auto" w:val="single"/>
              <w:right w:val="nil"/>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43"/>
            <w:tcBorders>
              <w:top w:val="nil"/>
              <w:left w:space="0" w:sz="4" w:color="auto" w:val="single"/>
              <w:bottom w:space="0" w:sz="4" w:color="auto" w:val="single"/>
              <w:right w:val="nil"/>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43"/>
            <w:tcBorders>
              <w:top w:val="nil"/>
              <w:left w:space="0" w:sz="4" w:color="auto" w:val="single"/>
              <w:bottom w:space="0" w:sz="4" w:color="auto" w:val="single"/>
              <w:right w:val="nil"/>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43"/>
            <w:tcBorders>
              <w:top w:val="nil"/>
              <w:left w:space="0" w:sz="4" w:color="auto" w:val="single"/>
              <w:bottom w:space="0" w:sz="4" w:color="auto" w:val="single"/>
              <w:right w:val="nil"/>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43"/>
            <w:tcBorders>
              <w:top w:val="nil"/>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r>
      <w:tr w:rsidTr="001E3364" w:rsidR="001E3364">
        <w:trPr>
          <w:trHeight w:val="20"/>
        </w:trPr>
        <w:tc>
          <w:tcPr>
            <w:tcW w:type="pct" w:w="1807"/>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b/>
                <w:bCs/>
                <w:sz w:val="16"/>
                <w:szCs w:val="16"/>
                <w:lang w:eastAsia="hr-HR"/>
              </w:rPr>
            </w:pPr>
            <w:r>
              <w:rPr>
                <w:rFonts w:cs="Arial" w:eastAsia="Times New Roman" w:hAnsi="Arial" w:ascii="Arial"/>
                <w:b/>
                <w:bCs/>
                <w:sz w:val="16"/>
                <w:szCs w:val="16"/>
                <w:lang w:eastAsia="hr-HR"/>
              </w:rPr>
              <w:t>II. Novac iz poslovanja</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-7.813.295</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3.783.182</w:t>
            </w:r>
          </w:p>
        </w:tc>
        <w:tc>
          <w:tcPr>
            <w:tcW w:type="pct" w:w="534"/>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6.770.657</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8.379.439</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12.552.309</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13.490.911</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9.959.325</w:t>
            </w:r>
          </w:p>
        </w:tc>
      </w:tr>
      <w:tr w:rsidTr="001E3364" w:rsidR="001E3364">
        <w:trPr>
          <w:trHeight w:val="20"/>
        </w:trPr>
        <w:tc>
          <w:tcPr>
            <w:tcW w:type="pct" w:w="1807"/>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4. Novčani izdaci za kamate</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-2.705.692</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-1.778.322</w:t>
            </w:r>
          </w:p>
        </w:tc>
        <w:tc>
          <w:tcPr>
            <w:tcW w:type="pct" w:w="534"/>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-1.752.551</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-1.577.163</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-1.323.843</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-1.076.843</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-830.707</w:t>
            </w:r>
          </w:p>
        </w:tc>
      </w:tr>
      <w:tr w:rsidTr="001E3364" w:rsidR="001E3364">
        <w:trPr>
          <w:trHeight w:val="20"/>
        </w:trPr>
        <w:tc>
          <w:tcPr>
            <w:tcW w:type="pct" w:w="1807"/>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5. Plaćeni porez na dobit</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534"/>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-1.797.120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-2.040.237</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-2.283.198</w:t>
            </w:r>
          </w:p>
        </w:tc>
      </w:tr>
      <w:tr w:rsidTr="001E3364" w:rsidR="001E3364">
        <w:trPr>
          <w:trHeight w:val="20"/>
        </w:trPr>
        <w:tc>
          <w:tcPr>
            <w:tcW w:type="pct" w:w="180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Arial" w:eastAsia="Times New Roman" w:hAnsi="Arial" w:ascii="Arial"/>
                <w:b/>
                <w:bCs/>
                <w:color w:val="000080"/>
                <w:sz w:val="16"/>
                <w:szCs w:val="16"/>
                <w:lang w:eastAsia="hr-HR"/>
              </w:rPr>
            </w:pPr>
            <w:r>
              <w:rPr>
                <w:rFonts w:cs="Arial" w:eastAsia="Times New Roman" w:hAnsi="Arial" w:ascii="Arial"/>
                <w:b/>
                <w:bCs/>
                <w:color w:val="000080"/>
                <w:sz w:val="16"/>
                <w:szCs w:val="16"/>
                <w:lang w:eastAsia="hr-HR"/>
              </w:rPr>
              <w:t>A) NETO NOVČANI TOKOVI OD POSLOVNIH AKTIVNOSTI</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-10.518.987</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2.004.860</w:t>
            </w:r>
          </w:p>
        </w:tc>
        <w:tc>
          <w:tcPr>
            <w:tcW w:type="pct" w:w="534"/>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5.018.106</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6.802.276</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9.431.346</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10.373.831</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6.845.419</w:t>
            </w:r>
          </w:p>
        </w:tc>
      </w:tr>
      <w:tr w:rsidTr="001E3364" w:rsidR="001E3364">
        <w:trPr>
          <w:trHeight w:val="20"/>
        </w:trPr>
        <w:tc>
          <w:tcPr>
            <w:tcW w:type="pct" w:w="1807"/>
            <w:tcBorders>
              <w:top w:val="nil"/>
              <w:left w:space="0" w:sz="4" w:color="auto" w:val="single"/>
              <w:bottom w:val="nil"/>
              <w:right w:val="nil"/>
            </w:tcBorders>
            <w:shd w:fill="auto" w:color="C0C0C0" w:val="pct50"/>
            <w:noWrap/>
            <w:vAlign w:val="center"/>
            <w:hideMark/>
          </w:tcPr>
          <w:p w:rsidRDefault="001E3364" w:rsidR="001E3364">
            <w:pPr>
              <w:spacing w:lineRule="auto" w:line="240" w:after="0"/>
              <w:rPr>
                <w:rFonts w:cs="Arial" w:eastAsia="Times New Roman" w:hAnsi="Arial" w:ascii="Arial"/>
                <w:b/>
                <w:bCs/>
                <w:color w:val="000080"/>
                <w:sz w:val="16"/>
                <w:szCs w:val="16"/>
                <w:lang w:eastAsia="hr-HR"/>
              </w:rPr>
            </w:pPr>
            <w:r>
              <w:rPr>
                <w:rFonts w:cs="Arial" w:eastAsia="Times New Roman" w:hAnsi="Arial" w:ascii="Arial"/>
                <w:b/>
                <w:bCs/>
                <w:color w:val="000080"/>
                <w:sz w:val="16"/>
                <w:szCs w:val="16"/>
                <w:lang w:eastAsia="hr-HR"/>
              </w:rPr>
              <w:t>Novčani tokovi od investicijskih aktivnosti</w:t>
            </w:r>
          </w:p>
        </w:tc>
        <w:tc>
          <w:tcPr>
            <w:tcW w:type="pct" w:w="443"/>
            <w:tcBorders>
              <w:top w:space="0" w:sz="4" w:color="auto" w:val="single"/>
              <w:left w:val="nil"/>
              <w:bottom w:val="nil"/>
              <w:right w:val="nil"/>
            </w:tcBorders>
            <w:shd w:fill="auto" w:color="C0C0C0" w:val="pct50"/>
            <w:noWrap/>
            <w:vAlign w:val="center"/>
            <w:hideMark/>
          </w:tcPr>
          <w:p w:rsidRDefault="001E3364" w:rsidR="001E3364">
            <w:pPr>
              <w:spacing w:after="0"/>
              <w:rPr>
                <w:rFonts w:cs="Arial" w:hAnsi="Arial" w:ascii="Arial"/>
                <w:sz w:val="18"/>
                <w:szCs w:val="18"/>
              </w:rPr>
            </w:pPr>
            <w:r>
              <w:rPr>
                <w:rFonts w:cs="Arial" w:hAnsi="Arial" w:ascii="Arial"/>
                <w:sz w:val="18"/>
                <w:szCs w:val="18"/>
              </w:rPr>
              <w:t> </w:t>
            </w:r>
          </w:p>
        </w:tc>
        <w:tc>
          <w:tcPr>
            <w:tcW w:type="pct" w:w="443"/>
            <w:tcBorders>
              <w:top w:space="0" w:sz="4" w:color="auto" w:val="single"/>
              <w:left w:val="nil"/>
              <w:bottom w:val="nil"/>
              <w:right w:val="nil"/>
            </w:tcBorders>
            <w:shd w:fill="auto" w:color="C0C0C0" w:val="pct50"/>
            <w:noWrap/>
            <w:vAlign w:val="center"/>
            <w:hideMark/>
          </w:tcPr>
          <w:p w:rsidRDefault="001E3364" w:rsidR="001E3364">
            <w:pPr>
              <w:spacing w:after="0"/>
              <w:rPr>
                <w:rFonts w:cs="Arial" w:hAnsi="Arial" w:ascii="Arial"/>
                <w:sz w:val="18"/>
                <w:szCs w:val="18"/>
              </w:rPr>
            </w:pPr>
            <w:r>
              <w:rPr>
                <w:rFonts w:cs="Arial" w:hAnsi="Arial" w:ascii="Arial"/>
                <w:sz w:val="18"/>
                <w:szCs w:val="18"/>
              </w:rPr>
              <w:t> </w:t>
            </w:r>
          </w:p>
        </w:tc>
        <w:tc>
          <w:tcPr>
            <w:tcW w:type="pct" w:w="534"/>
            <w:tcBorders>
              <w:top w:space="0" w:sz="4" w:color="auto" w:val="single"/>
              <w:left w:val="nil"/>
              <w:bottom w:val="nil"/>
              <w:right w:val="nil"/>
            </w:tcBorders>
            <w:shd w:fill="auto" w:color="C0C0C0" w:val="pct50"/>
            <w:noWrap/>
            <w:vAlign w:val="center"/>
            <w:hideMark/>
          </w:tcPr>
          <w:p w:rsidRDefault="001E3364" w:rsidR="001E3364">
            <w:pPr>
              <w:spacing w:after="0"/>
              <w:rPr>
                <w:rFonts w:cs="Arial" w:hAnsi="Arial" w:ascii="Arial"/>
                <w:sz w:val="18"/>
                <w:szCs w:val="18"/>
              </w:rPr>
            </w:pPr>
            <w:r>
              <w:rPr>
                <w:rFonts w:cs="Arial" w:hAnsi="Arial" w:ascii="Arial"/>
                <w:sz w:val="18"/>
                <w:szCs w:val="18"/>
              </w:rPr>
              <w:t> </w:t>
            </w:r>
          </w:p>
        </w:tc>
        <w:tc>
          <w:tcPr>
            <w:tcW w:type="pct" w:w="443"/>
            <w:tcBorders>
              <w:top w:space="0" w:sz="4" w:color="auto" w:val="single"/>
              <w:left w:val="nil"/>
              <w:bottom w:val="nil"/>
              <w:right w:val="nil"/>
            </w:tcBorders>
            <w:shd w:fill="auto" w:color="C0C0C0" w:val="pct50"/>
            <w:noWrap/>
            <w:vAlign w:val="center"/>
            <w:hideMark/>
          </w:tcPr>
          <w:p w:rsidRDefault="001E3364" w:rsidR="001E3364">
            <w:pPr>
              <w:spacing w:after="0"/>
              <w:rPr>
                <w:rFonts w:cs="Arial" w:hAnsi="Arial" w:ascii="Arial"/>
                <w:sz w:val="18"/>
                <w:szCs w:val="18"/>
              </w:rPr>
            </w:pPr>
            <w:r>
              <w:rPr>
                <w:rFonts w:cs="Arial" w:hAnsi="Arial" w:ascii="Arial"/>
                <w:sz w:val="18"/>
                <w:szCs w:val="18"/>
              </w:rPr>
              <w:t> </w:t>
            </w:r>
          </w:p>
        </w:tc>
        <w:tc>
          <w:tcPr>
            <w:tcW w:type="pct" w:w="443"/>
            <w:tcBorders>
              <w:top w:space="0" w:sz="4" w:color="auto" w:val="single"/>
              <w:left w:val="nil"/>
              <w:bottom w:val="nil"/>
              <w:right w:val="nil"/>
            </w:tcBorders>
            <w:shd w:fill="auto" w:color="C0C0C0" w:val="pct50"/>
            <w:noWrap/>
            <w:vAlign w:val="center"/>
            <w:hideMark/>
          </w:tcPr>
          <w:p w:rsidRDefault="001E3364" w:rsidR="001E3364">
            <w:pPr>
              <w:spacing w:after="0"/>
              <w:rPr>
                <w:rFonts w:cs="Arial" w:hAnsi="Arial" w:ascii="Arial"/>
                <w:sz w:val="18"/>
                <w:szCs w:val="18"/>
              </w:rPr>
            </w:pPr>
            <w:r>
              <w:rPr>
                <w:rFonts w:cs="Arial" w:hAnsi="Arial" w:ascii="Arial"/>
                <w:sz w:val="18"/>
                <w:szCs w:val="18"/>
              </w:rPr>
              <w:t> </w:t>
            </w:r>
          </w:p>
        </w:tc>
        <w:tc>
          <w:tcPr>
            <w:tcW w:type="pct" w:w="443"/>
            <w:tcBorders>
              <w:top w:space="0" w:sz="4" w:color="auto" w:val="single"/>
              <w:left w:val="nil"/>
              <w:bottom w:val="nil"/>
              <w:right w:val="nil"/>
            </w:tcBorders>
            <w:shd w:fill="auto" w:color="C0C0C0" w:val="pct50"/>
            <w:noWrap/>
            <w:vAlign w:val="center"/>
            <w:hideMark/>
          </w:tcPr>
          <w:p w:rsidRDefault="001E3364" w:rsidR="001E3364">
            <w:pPr>
              <w:spacing w:after="0"/>
              <w:rPr>
                <w:rFonts w:cs="Arial" w:hAnsi="Arial" w:ascii="Arial"/>
                <w:sz w:val="18"/>
                <w:szCs w:val="18"/>
              </w:rPr>
            </w:pPr>
            <w:r>
              <w:rPr>
                <w:rFonts w:cs="Arial" w:hAnsi="Arial" w:ascii="Arial"/>
                <w:sz w:val="18"/>
                <w:szCs w:val="18"/>
              </w:rPr>
              <w:t> </w:t>
            </w:r>
          </w:p>
        </w:tc>
        <w:tc>
          <w:tcPr>
            <w:tcW w:type="pct" w:w="443"/>
            <w:tcBorders>
              <w:top w:space="0" w:sz="4" w:color="auto" w:val="single"/>
              <w:left w:val="nil"/>
              <w:bottom w:val="nil"/>
              <w:right w:val="nil"/>
            </w:tcBorders>
            <w:shd w:fill="auto" w:color="C0C0C0" w:val="pct50"/>
            <w:noWrap/>
            <w:vAlign w:val="center"/>
            <w:hideMark/>
          </w:tcPr>
          <w:p w:rsidRDefault="001E3364" w:rsidR="001E3364">
            <w:pPr>
              <w:spacing w:after="0"/>
              <w:rPr>
                <w:rFonts w:cs="Arial" w:hAnsi="Arial" w:ascii="Arial"/>
                <w:sz w:val="18"/>
                <w:szCs w:val="18"/>
              </w:rPr>
            </w:pPr>
            <w:r>
              <w:rPr>
                <w:rFonts w:cs="Arial" w:hAnsi="Arial" w:ascii="Arial"/>
                <w:sz w:val="18"/>
                <w:szCs w:val="18"/>
              </w:rPr>
              <w:t> </w:t>
            </w:r>
          </w:p>
        </w:tc>
      </w:tr>
      <w:tr w:rsidTr="001E3364" w:rsidR="001E3364">
        <w:trPr>
          <w:trHeight w:val="20"/>
        </w:trPr>
        <w:tc>
          <w:tcPr>
            <w:tcW w:type="pct" w:w="1807"/>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1. Novčani primici od prodaje dugotrajne materijalne i nematerijalne imovine</w:t>
            </w:r>
          </w:p>
        </w:tc>
        <w:tc>
          <w:tcPr>
            <w:tcW w:type="pct" w:w="443"/>
            <w:tcBorders>
              <w:top w:space="0" w:sz="4" w:color="auto" w:val="single"/>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210.000</w:t>
            </w:r>
          </w:p>
        </w:tc>
        <w:tc>
          <w:tcPr>
            <w:tcW w:type="pct" w:w="443"/>
            <w:tcBorders>
              <w:top w:space="0" w:sz="4" w:color="auto" w:val="single"/>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534"/>
            <w:tcBorders>
              <w:top w:space="0" w:sz="4" w:color="auto" w:val="single"/>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10.000.000</w:t>
            </w:r>
          </w:p>
        </w:tc>
        <w:tc>
          <w:tcPr>
            <w:tcW w:type="pct" w:w="443"/>
            <w:tcBorders>
              <w:top w:space="0" w:sz="4" w:color="auto" w:val="single"/>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2.000.000</w:t>
            </w:r>
          </w:p>
        </w:tc>
        <w:tc>
          <w:tcPr>
            <w:tcW w:type="pct" w:w="443"/>
            <w:tcBorders>
              <w:top w:space="0" w:sz="4" w:color="auto" w:val="single"/>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2.000.000</w:t>
            </w:r>
          </w:p>
        </w:tc>
        <w:tc>
          <w:tcPr>
            <w:tcW w:type="pct" w:w="443"/>
            <w:tcBorders>
              <w:top w:space="0" w:sz="4" w:color="auto" w:val="single"/>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43"/>
            <w:tcBorders>
              <w:top w:space="0" w:sz="4" w:color="auto" w:val="single"/>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2.000.000</w:t>
            </w:r>
          </w:p>
        </w:tc>
      </w:tr>
      <w:tr w:rsidTr="001E3364" w:rsidR="001E3364">
        <w:trPr>
          <w:trHeight w:val="20"/>
        </w:trPr>
        <w:tc>
          <w:tcPr>
            <w:tcW w:type="pct" w:w="1807"/>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2. Novčani primici od prodaje financijskih instrumenata</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534"/>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r>
      <w:tr w:rsidTr="001E3364" w:rsidR="001E3364">
        <w:trPr>
          <w:trHeight w:val="20"/>
        </w:trPr>
        <w:tc>
          <w:tcPr>
            <w:tcW w:type="pct" w:w="1807"/>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3. Novčani primici od kamata</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15.000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534"/>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r>
      <w:tr w:rsidTr="001E3364" w:rsidR="001E3364">
        <w:trPr>
          <w:trHeight w:val="20"/>
        </w:trPr>
        <w:tc>
          <w:tcPr>
            <w:tcW w:type="pct" w:w="1807"/>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4. Novčani primici od dividendi</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534"/>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1807"/>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5. Novačani primici s osnove povrata danih zajmova i štednih uloga</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534"/>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1807"/>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6. Ostali novčani primici od investicijskih aktivnosti</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534"/>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1807"/>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b/>
                <w:bCs/>
                <w:sz w:val="16"/>
                <w:szCs w:val="16"/>
                <w:lang w:eastAsia="hr-HR"/>
              </w:rPr>
            </w:pPr>
            <w:r>
              <w:rPr>
                <w:rFonts w:cs="Arial" w:eastAsia="Times New Roman" w:hAnsi="Arial" w:ascii="Arial"/>
                <w:b/>
                <w:bCs/>
                <w:sz w:val="16"/>
                <w:szCs w:val="16"/>
                <w:lang w:eastAsia="hr-HR"/>
              </w:rPr>
              <w:t>III. Ukupno novčani primici od investicijskih aktivnosti</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225.000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534"/>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10.000.000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2.000.000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2.000.000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3.000.000</w:t>
            </w:r>
          </w:p>
        </w:tc>
      </w:tr>
      <w:tr w:rsidTr="001E3364" w:rsidR="001E3364">
        <w:trPr>
          <w:trHeight w:val="20"/>
        </w:trPr>
        <w:tc>
          <w:tcPr>
            <w:tcW w:type="pct" w:w="1807"/>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1. Novčani izdaci za kupnju dugotrajne materijalne i nematerijalne imovine</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-320.365</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-500.000</w:t>
            </w:r>
          </w:p>
        </w:tc>
        <w:tc>
          <w:tcPr>
            <w:tcW w:type="pct" w:w="534"/>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-1.500.000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-1.500.000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-1.300.000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r>
      <w:tr w:rsidTr="001E3364" w:rsidR="001E3364">
        <w:trPr>
          <w:trHeight w:val="20"/>
        </w:trPr>
        <w:tc>
          <w:tcPr>
            <w:tcW w:type="pct" w:w="1807"/>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lastRenderedPageBreak/>
              <w:t>2. Novčani izdaci za stjecanje financijskih instrumenata</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534"/>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1807"/>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3. Novčani izdaci s osnove danih zajmova i štednih uloga za razdoblje</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534"/>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r>
      <w:tr w:rsidTr="001E3364" w:rsidR="001E3364">
        <w:trPr>
          <w:trHeight w:val="20"/>
        </w:trPr>
        <w:tc>
          <w:tcPr>
            <w:tcW w:type="pct" w:w="1807"/>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4. Stjecanje ovisnog društva, umanjeno za stečeni novac</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534"/>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1807"/>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5. Ostali novčani izdaci od investicijskih aktivnosti</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534"/>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r>
      <w:tr w:rsidTr="001E3364" w:rsidR="001E3364">
        <w:trPr>
          <w:trHeight w:val="20"/>
        </w:trPr>
        <w:tc>
          <w:tcPr>
            <w:tcW w:type="pct" w:w="1807"/>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b/>
                <w:bCs/>
                <w:sz w:val="16"/>
                <w:szCs w:val="16"/>
                <w:lang w:eastAsia="hr-HR"/>
              </w:rPr>
            </w:pPr>
            <w:r>
              <w:rPr>
                <w:rFonts w:cs="Arial" w:eastAsia="Times New Roman" w:hAnsi="Arial" w:ascii="Arial"/>
                <w:b/>
                <w:bCs/>
                <w:sz w:val="16"/>
                <w:szCs w:val="16"/>
                <w:lang w:eastAsia="hr-HR"/>
              </w:rPr>
              <w:t>IV. Ukupno novčani izdaci od investicijskih aktivnosti</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-320.365</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-500.000</w:t>
            </w:r>
          </w:p>
        </w:tc>
        <w:tc>
          <w:tcPr>
            <w:tcW w:type="pct" w:w="534"/>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-1.500.000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-1.500.000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-1.300.000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r>
      <w:tr w:rsidTr="001E3364" w:rsidR="001E3364">
        <w:trPr>
          <w:trHeight w:val="20"/>
        </w:trPr>
        <w:tc>
          <w:tcPr>
            <w:tcW w:type="pct" w:w="180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Arial" w:eastAsia="Times New Roman" w:hAnsi="Arial" w:ascii="Arial"/>
                <w:b/>
                <w:bCs/>
                <w:color w:val="000080"/>
                <w:sz w:val="16"/>
                <w:szCs w:val="16"/>
                <w:lang w:eastAsia="hr-HR"/>
              </w:rPr>
            </w:pPr>
            <w:r>
              <w:rPr>
                <w:rFonts w:cs="Arial" w:eastAsia="Times New Roman" w:hAnsi="Arial" w:ascii="Arial"/>
                <w:b/>
                <w:bCs/>
                <w:color w:val="000080"/>
                <w:sz w:val="16"/>
                <w:szCs w:val="16"/>
                <w:lang w:eastAsia="hr-HR"/>
              </w:rPr>
              <w:t>B) NETO NOVČANI TOKOVI OD INVESTICIJSKIH AKTIVNOSTI</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-95.365</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-500.000</w:t>
            </w:r>
          </w:p>
        </w:tc>
        <w:tc>
          <w:tcPr>
            <w:tcW w:type="pct" w:w="534"/>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8.500.000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500.000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700.000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3.000.000</w:t>
            </w:r>
          </w:p>
        </w:tc>
      </w:tr>
      <w:tr w:rsidTr="001E3364" w:rsidR="001E3364">
        <w:trPr>
          <w:trHeight w:val="20"/>
        </w:trPr>
        <w:tc>
          <w:tcPr>
            <w:tcW w:type="pct" w:w="1807"/>
            <w:tcBorders>
              <w:top w:val="nil"/>
              <w:left w:space="0" w:sz="4" w:color="auto" w:val="single"/>
              <w:bottom w:val="nil"/>
              <w:right w:val="nil"/>
            </w:tcBorders>
            <w:shd w:fill="auto" w:color="C0C0C0" w:val="pct50"/>
            <w:noWrap/>
            <w:vAlign w:val="center"/>
            <w:hideMark/>
          </w:tcPr>
          <w:p w:rsidRDefault="001E3364" w:rsidR="001E3364">
            <w:pPr>
              <w:spacing w:lineRule="auto" w:line="240" w:after="0"/>
              <w:rPr>
                <w:rFonts w:cs="Arial" w:eastAsia="Times New Roman" w:hAnsi="Arial" w:ascii="Arial"/>
                <w:b/>
                <w:bCs/>
                <w:color w:val="000080"/>
                <w:sz w:val="16"/>
                <w:szCs w:val="16"/>
                <w:lang w:eastAsia="hr-HR"/>
              </w:rPr>
            </w:pPr>
            <w:r>
              <w:rPr>
                <w:rFonts w:cs="Arial" w:eastAsia="Times New Roman" w:hAnsi="Arial" w:ascii="Arial"/>
                <w:b/>
                <w:bCs/>
                <w:color w:val="000080"/>
                <w:sz w:val="16"/>
                <w:szCs w:val="16"/>
                <w:lang w:eastAsia="hr-HR"/>
              </w:rPr>
              <w:t>Novčani tokovi od financijskih aktivnosti</w:t>
            </w:r>
          </w:p>
        </w:tc>
        <w:tc>
          <w:tcPr>
            <w:tcW w:type="pct" w:w="443"/>
            <w:tcBorders>
              <w:top w:space="0" w:sz="4" w:color="auto" w:val="single"/>
              <w:left w:val="nil"/>
              <w:bottom w:val="nil"/>
              <w:right w:val="nil"/>
            </w:tcBorders>
            <w:shd w:fill="auto" w:color="C0C0C0" w:val="pct50"/>
            <w:noWrap/>
            <w:vAlign w:val="center"/>
            <w:hideMark/>
          </w:tcPr>
          <w:p w:rsidRDefault="001E3364" w:rsidR="001E3364">
            <w:pPr>
              <w:spacing w:after="0"/>
              <w:rPr>
                <w:rFonts w:cs="Arial" w:hAnsi="Arial" w:ascii="Arial"/>
                <w:sz w:val="18"/>
                <w:szCs w:val="18"/>
              </w:rPr>
            </w:pPr>
            <w:r>
              <w:rPr>
                <w:rFonts w:cs="Arial" w:hAnsi="Arial" w:ascii="Arial"/>
                <w:sz w:val="18"/>
                <w:szCs w:val="18"/>
              </w:rPr>
              <w:t> </w:t>
            </w:r>
          </w:p>
        </w:tc>
        <w:tc>
          <w:tcPr>
            <w:tcW w:type="pct" w:w="443"/>
            <w:tcBorders>
              <w:top w:space="0" w:sz="4" w:color="auto" w:val="single"/>
              <w:left w:val="nil"/>
              <w:bottom w:val="nil"/>
              <w:right w:val="nil"/>
            </w:tcBorders>
            <w:shd w:fill="auto" w:color="C0C0C0" w:val="pct50"/>
            <w:noWrap/>
            <w:vAlign w:val="center"/>
            <w:hideMark/>
          </w:tcPr>
          <w:p w:rsidRDefault="001E3364" w:rsidR="001E3364">
            <w:pPr>
              <w:spacing w:after="0"/>
              <w:rPr>
                <w:rFonts w:cs="Arial" w:hAnsi="Arial" w:ascii="Arial"/>
                <w:sz w:val="18"/>
                <w:szCs w:val="18"/>
              </w:rPr>
            </w:pPr>
            <w:r>
              <w:rPr>
                <w:rFonts w:cs="Arial" w:hAnsi="Arial" w:ascii="Arial"/>
                <w:sz w:val="18"/>
                <w:szCs w:val="18"/>
              </w:rPr>
              <w:t> </w:t>
            </w:r>
          </w:p>
        </w:tc>
        <w:tc>
          <w:tcPr>
            <w:tcW w:type="pct" w:w="534"/>
            <w:tcBorders>
              <w:top w:space="0" w:sz="4" w:color="auto" w:val="single"/>
              <w:left w:val="nil"/>
              <w:bottom w:val="nil"/>
              <w:right w:val="nil"/>
            </w:tcBorders>
            <w:shd w:fill="auto" w:color="C0C0C0" w:val="pct50"/>
            <w:noWrap/>
            <w:vAlign w:val="center"/>
            <w:hideMark/>
          </w:tcPr>
          <w:p w:rsidRDefault="001E3364" w:rsidR="001E3364">
            <w:pPr>
              <w:spacing w:after="0"/>
              <w:rPr>
                <w:rFonts w:cs="Arial" w:hAnsi="Arial" w:ascii="Arial"/>
                <w:sz w:val="18"/>
                <w:szCs w:val="18"/>
              </w:rPr>
            </w:pPr>
            <w:r>
              <w:rPr>
                <w:rFonts w:cs="Arial" w:hAnsi="Arial" w:ascii="Arial"/>
                <w:sz w:val="18"/>
                <w:szCs w:val="18"/>
              </w:rPr>
              <w:t> </w:t>
            </w:r>
          </w:p>
        </w:tc>
        <w:tc>
          <w:tcPr>
            <w:tcW w:type="pct" w:w="443"/>
            <w:tcBorders>
              <w:top w:space="0" w:sz="4" w:color="auto" w:val="single"/>
              <w:left w:val="nil"/>
              <w:bottom w:val="nil"/>
              <w:right w:val="nil"/>
            </w:tcBorders>
            <w:shd w:fill="auto" w:color="C0C0C0" w:val="pct50"/>
            <w:noWrap/>
            <w:vAlign w:val="center"/>
            <w:hideMark/>
          </w:tcPr>
          <w:p w:rsidRDefault="001E3364" w:rsidR="001E3364">
            <w:pPr>
              <w:spacing w:after="0"/>
              <w:rPr>
                <w:rFonts w:cs="Arial" w:hAnsi="Arial" w:ascii="Arial"/>
                <w:sz w:val="18"/>
                <w:szCs w:val="18"/>
              </w:rPr>
            </w:pPr>
            <w:r>
              <w:rPr>
                <w:rFonts w:cs="Arial" w:hAnsi="Arial" w:ascii="Arial"/>
                <w:sz w:val="18"/>
                <w:szCs w:val="18"/>
              </w:rPr>
              <w:t> </w:t>
            </w:r>
          </w:p>
        </w:tc>
        <w:tc>
          <w:tcPr>
            <w:tcW w:type="pct" w:w="443"/>
            <w:tcBorders>
              <w:top w:space="0" w:sz="4" w:color="auto" w:val="single"/>
              <w:left w:val="nil"/>
              <w:bottom w:val="nil"/>
              <w:right w:val="nil"/>
            </w:tcBorders>
            <w:shd w:fill="auto" w:color="C0C0C0" w:val="pct50"/>
            <w:noWrap/>
            <w:vAlign w:val="center"/>
            <w:hideMark/>
          </w:tcPr>
          <w:p w:rsidRDefault="001E3364" w:rsidR="001E3364">
            <w:pPr>
              <w:spacing w:after="0"/>
              <w:rPr>
                <w:rFonts w:cs="Arial" w:hAnsi="Arial" w:ascii="Arial"/>
                <w:sz w:val="18"/>
                <w:szCs w:val="18"/>
              </w:rPr>
            </w:pPr>
            <w:r>
              <w:rPr>
                <w:rFonts w:cs="Arial" w:hAnsi="Arial" w:ascii="Arial"/>
                <w:sz w:val="18"/>
                <w:szCs w:val="18"/>
              </w:rPr>
              <w:t> </w:t>
            </w:r>
          </w:p>
        </w:tc>
        <w:tc>
          <w:tcPr>
            <w:tcW w:type="pct" w:w="443"/>
            <w:tcBorders>
              <w:top w:space="0" w:sz="4" w:color="auto" w:val="single"/>
              <w:left w:val="nil"/>
              <w:bottom w:val="nil"/>
              <w:right w:val="nil"/>
            </w:tcBorders>
            <w:shd w:fill="auto" w:color="C0C0C0" w:val="pct50"/>
            <w:noWrap/>
            <w:vAlign w:val="center"/>
            <w:hideMark/>
          </w:tcPr>
          <w:p w:rsidRDefault="001E3364" w:rsidR="001E3364">
            <w:pPr>
              <w:spacing w:after="0"/>
              <w:rPr>
                <w:rFonts w:cs="Arial" w:hAnsi="Arial" w:ascii="Arial"/>
                <w:sz w:val="18"/>
                <w:szCs w:val="18"/>
              </w:rPr>
            </w:pPr>
            <w:r>
              <w:rPr>
                <w:rFonts w:cs="Arial" w:hAnsi="Arial" w:ascii="Arial"/>
                <w:sz w:val="18"/>
                <w:szCs w:val="18"/>
              </w:rPr>
              <w:t> </w:t>
            </w:r>
          </w:p>
        </w:tc>
        <w:tc>
          <w:tcPr>
            <w:tcW w:type="pct" w:w="443"/>
            <w:tcBorders>
              <w:top w:space="0" w:sz="4" w:color="auto" w:val="single"/>
              <w:left w:val="nil"/>
              <w:bottom w:val="nil"/>
              <w:right w:val="nil"/>
            </w:tcBorders>
            <w:shd w:fill="auto" w:color="C0C0C0" w:val="pct50"/>
            <w:noWrap/>
            <w:vAlign w:val="center"/>
            <w:hideMark/>
          </w:tcPr>
          <w:p w:rsidRDefault="001E3364" w:rsidR="001E3364">
            <w:pPr>
              <w:spacing w:after="0"/>
              <w:rPr>
                <w:rFonts w:cs="Arial" w:hAnsi="Arial" w:ascii="Arial"/>
                <w:sz w:val="18"/>
                <w:szCs w:val="18"/>
              </w:rPr>
            </w:pPr>
            <w:r>
              <w:rPr>
                <w:rFonts w:cs="Arial" w:hAnsi="Arial" w:ascii="Arial"/>
                <w:sz w:val="18"/>
                <w:szCs w:val="18"/>
              </w:rPr>
              <w:t> </w:t>
            </w:r>
          </w:p>
        </w:tc>
      </w:tr>
      <w:tr w:rsidTr="001E3364" w:rsidR="001E3364">
        <w:trPr>
          <w:trHeight w:val="20"/>
        </w:trPr>
        <w:tc>
          <w:tcPr>
            <w:tcW w:type="pct" w:w="1807"/>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1. Novčani primici od povećanja temeljnog (upisanog) kapitala</w:t>
            </w:r>
          </w:p>
        </w:tc>
        <w:tc>
          <w:tcPr>
            <w:tcW w:type="pct" w:w="443"/>
            <w:tcBorders>
              <w:top w:space="0" w:sz="4" w:color="auto" w:val="single"/>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43"/>
            <w:tcBorders>
              <w:top w:space="0" w:sz="4" w:color="auto" w:val="single"/>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534"/>
            <w:tcBorders>
              <w:top w:space="0" w:sz="4" w:color="auto" w:val="single"/>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43"/>
            <w:tcBorders>
              <w:top w:space="0" w:sz="4" w:color="auto" w:val="single"/>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43"/>
            <w:tcBorders>
              <w:top w:space="0" w:sz="4" w:color="auto" w:val="single"/>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43"/>
            <w:tcBorders>
              <w:top w:space="0" w:sz="4" w:color="auto" w:val="single"/>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43"/>
            <w:tcBorders>
              <w:top w:space="0" w:sz="4" w:color="auto" w:val="single"/>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r>
      <w:tr w:rsidTr="001E3364" w:rsidR="001E3364">
        <w:trPr>
          <w:trHeight w:val="20"/>
        </w:trPr>
        <w:tc>
          <w:tcPr>
            <w:tcW w:type="pct" w:w="1807"/>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2. Novčani primici od izdavanja vlasničkih i dužničkih financijskih instrumenata</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534"/>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1807"/>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3. Novčani primici od glavnice kredita, pozajmica i drugih posudbi</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5.476.640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534"/>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r>
      <w:tr w:rsidTr="001E3364" w:rsidR="001E3364">
        <w:trPr>
          <w:trHeight w:val="20"/>
        </w:trPr>
        <w:tc>
          <w:tcPr>
            <w:tcW w:type="pct" w:w="1807"/>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4. Ostali novčani primici od financijskih aktivnosti</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534"/>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r>
      <w:tr w:rsidTr="001E3364" w:rsidR="001E3364">
        <w:trPr>
          <w:trHeight w:val="20"/>
        </w:trPr>
        <w:tc>
          <w:tcPr>
            <w:tcW w:type="pct" w:w="1807"/>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b/>
                <w:bCs/>
                <w:sz w:val="16"/>
                <w:szCs w:val="16"/>
                <w:lang w:eastAsia="hr-HR"/>
              </w:rPr>
            </w:pPr>
            <w:r>
              <w:rPr>
                <w:rFonts w:cs="Arial" w:eastAsia="Times New Roman" w:hAnsi="Arial" w:ascii="Arial"/>
                <w:b/>
                <w:bCs/>
                <w:sz w:val="16"/>
                <w:szCs w:val="16"/>
                <w:lang w:eastAsia="hr-HR"/>
              </w:rPr>
              <w:t>V. Ukupno novčani primici od financijskih aktivnosti</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5.476.640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534"/>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r>
      <w:tr w:rsidTr="001E3364" w:rsidR="001E3364">
        <w:trPr>
          <w:trHeight w:val="20"/>
        </w:trPr>
        <w:tc>
          <w:tcPr>
            <w:tcW w:type="pct" w:w="1807"/>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1. Novčani izdaci za otplatu glavnice kredita, pozajmica i drugih posudbi i dužničkih financijskih instrumenata</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-3.571.948</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534"/>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-9.845.419</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-9.845.419</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-9.845.419</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-9.845.419</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-9.845.419</w:t>
            </w:r>
          </w:p>
        </w:tc>
      </w:tr>
      <w:tr w:rsidTr="001E3364" w:rsidR="001E3364">
        <w:trPr>
          <w:trHeight w:val="20"/>
        </w:trPr>
        <w:tc>
          <w:tcPr>
            <w:tcW w:type="pct" w:w="1807"/>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2. Novčani izdaci za isplatu dividendi</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534"/>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1807"/>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3. Novčani izdaci za financijski najam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-605.730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-1.007.263</w:t>
            </w:r>
          </w:p>
        </w:tc>
        <w:tc>
          <w:tcPr>
            <w:tcW w:type="pct" w:w="534"/>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-524.002</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-456.856</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-285.927</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-28.412</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r>
      <w:tr w:rsidTr="001E3364" w:rsidR="001E3364">
        <w:trPr>
          <w:trHeight w:val="20"/>
        </w:trPr>
        <w:tc>
          <w:tcPr>
            <w:tcW w:type="pct" w:w="1807"/>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4. Novčani izdaci za otkup vlastitih dionica i smanjenje temeljnog (upisanog) kapitala</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534"/>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1807"/>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5. Ostali novčani izdaci od financijskih aktivnosti</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-45.322</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534"/>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r>
      <w:tr w:rsidTr="001E3364" w:rsidR="001E3364">
        <w:trPr>
          <w:trHeight w:val="20"/>
        </w:trPr>
        <w:tc>
          <w:tcPr>
            <w:tcW w:type="pct" w:w="1807"/>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b/>
                <w:bCs/>
                <w:sz w:val="16"/>
                <w:szCs w:val="16"/>
                <w:lang w:eastAsia="hr-HR"/>
              </w:rPr>
            </w:pPr>
            <w:r>
              <w:rPr>
                <w:rFonts w:cs="Arial" w:eastAsia="Times New Roman" w:hAnsi="Arial" w:ascii="Arial"/>
                <w:b/>
                <w:bCs/>
                <w:sz w:val="16"/>
                <w:szCs w:val="16"/>
                <w:lang w:eastAsia="hr-HR"/>
              </w:rPr>
              <w:t>VI. Ukupno novčani izdaci od financijskih aktivnosti</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-4.223.000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-1.007.263</w:t>
            </w:r>
          </w:p>
        </w:tc>
        <w:tc>
          <w:tcPr>
            <w:tcW w:type="pct" w:w="534"/>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-10.369.421</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-10.302.275</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-10.131.346</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-9.873.831</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-9.845.419</w:t>
            </w:r>
          </w:p>
        </w:tc>
      </w:tr>
      <w:tr w:rsidTr="001E3364" w:rsidR="001E3364">
        <w:trPr>
          <w:trHeight w:val="20"/>
        </w:trPr>
        <w:tc>
          <w:tcPr>
            <w:tcW w:type="pct" w:w="1807"/>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b/>
                <w:bCs/>
                <w:color w:val="000080"/>
                <w:sz w:val="16"/>
                <w:szCs w:val="16"/>
                <w:lang w:eastAsia="hr-HR"/>
              </w:rPr>
            </w:pPr>
            <w:r>
              <w:rPr>
                <w:rFonts w:cs="Arial" w:eastAsia="Times New Roman" w:hAnsi="Arial" w:ascii="Arial"/>
                <w:b/>
                <w:bCs/>
                <w:color w:val="000080"/>
                <w:sz w:val="16"/>
                <w:szCs w:val="16"/>
                <w:lang w:eastAsia="hr-HR"/>
              </w:rPr>
              <w:t>C) NETO NOVČANI TOKOVI OD FINANCIJSKIH AKTIVNOSTI</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1.253.640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-1.007.263</w:t>
            </w:r>
          </w:p>
        </w:tc>
        <w:tc>
          <w:tcPr>
            <w:tcW w:type="pct" w:w="534"/>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-10.369.421</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-10.302.275</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-10.131.346</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-9.873.831</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-9.845.419</w:t>
            </w:r>
          </w:p>
        </w:tc>
      </w:tr>
      <w:tr w:rsidTr="001E3364" w:rsidR="001E3364">
        <w:trPr>
          <w:trHeight w:val="20"/>
        </w:trPr>
        <w:tc>
          <w:tcPr>
            <w:tcW w:type="pct" w:w="1807"/>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1. Nerealizirane tečajne razlike po novcu i novčanim ekvivalentima</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534"/>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1807"/>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b/>
                <w:bCs/>
                <w:color w:val="000080"/>
                <w:sz w:val="16"/>
                <w:szCs w:val="16"/>
                <w:lang w:eastAsia="hr-HR"/>
              </w:rPr>
            </w:pPr>
            <w:r>
              <w:rPr>
                <w:rFonts w:cs="Arial" w:eastAsia="Times New Roman" w:hAnsi="Arial" w:ascii="Arial"/>
                <w:b/>
                <w:bCs/>
                <w:color w:val="000080"/>
                <w:sz w:val="16"/>
                <w:szCs w:val="16"/>
                <w:lang w:eastAsia="hr-HR"/>
              </w:rPr>
              <w:t>D) NETO POVEĆANJE ILI SMANJENJE NOVČANNIH TOKOVA</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-9.360.712</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497.597</w:t>
            </w:r>
          </w:p>
        </w:tc>
        <w:tc>
          <w:tcPr>
            <w:tcW w:type="pct" w:w="534"/>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3.148.686</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-3.000.000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500.000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r>
      <w:tr w:rsidTr="001E3364" w:rsidR="001E3364">
        <w:trPr>
          <w:trHeight w:val="20"/>
        </w:trPr>
        <w:tc>
          <w:tcPr>
            <w:tcW w:type="pct" w:w="1807"/>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b/>
                <w:bCs/>
                <w:color w:val="000080"/>
                <w:sz w:val="16"/>
                <w:szCs w:val="16"/>
                <w:lang w:eastAsia="hr-HR"/>
              </w:rPr>
            </w:pPr>
            <w:r>
              <w:rPr>
                <w:rFonts w:cs="Arial" w:eastAsia="Times New Roman" w:hAnsi="Arial" w:ascii="Arial"/>
                <w:b/>
                <w:bCs/>
                <w:color w:val="000080"/>
                <w:sz w:val="16"/>
                <w:szCs w:val="16"/>
                <w:lang w:eastAsia="hr-HR"/>
              </w:rPr>
              <w:t>E) NOVAC I NOVČANI EKVIVALENTI NA POČETKU RAZDOBLJA</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9.714.429</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353.717</w:t>
            </w:r>
          </w:p>
        </w:tc>
        <w:tc>
          <w:tcPr>
            <w:tcW w:type="pct" w:w="534"/>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851.314</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4.000.000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1.000.000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1.000.000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1.500.000</w:t>
            </w:r>
          </w:p>
        </w:tc>
      </w:tr>
      <w:tr w:rsidTr="001E3364" w:rsidR="001E3364">
        <w:trPr>
          <w:trHeight w:val="20"/>
        </w:trPr>
        <w:tc>
          <w:tcPr>
            <w:tcW w:type="pct" w:w="1807"/>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Arial" w:eastAsia="Times New Roman" w:hAnsi="Arial" w:ascii="Arial"/>
                <w:b/>
                <w:bCs/>
                <w:color w:val="000080"/>
                <w:sz w:val="16"/>
                <w:szCs w:val="16"/>
                <w:lang w:eastAsia="hr-HR"/>
              </w:rPr>
            </w:pPr>
            <w:r>
              <w:rPr>
                <w:rFonts w:cs="Arial" w:eastAsia="Times New Roman" w:hAnsi="Arial" w:ascii="Arial"/>
                <w:b/>
                <w:bCs/>
                <w:color w:val="000080"/>
                <w:sz w:val="16"/>
                <w:szCs w:val="16"/>
                <w:lang w:eastAsia="hr-HR"/>
              </w:rPr>
              <w:t>F) NOVAC I NOVČANI EKVIVALENTI NA KRAJU RAZDOBLJA</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353.717</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851.314</w:t>
            </w:r>
          </w:p>
        </w:tc>
        <w:tc>
          <w:tcPr>
            <w:tcW w:type="pct" w:w="534"/>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4.000.000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1.000.000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1.000.000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1.500.000</w:t>
            </w:r>
          </w:p>
        </w:tc>
        <w:tc>
          <w:tcPr>
            <w:tcW w:type="pct" w:w="443"/>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1.500.000</w:t>
            </w:r>
          </w:p>
        </w:tc>
      </w:tr>
    </w:tbl>
    <w:p w:rsidRDefault="001E3364" w:rsidP="001E3364" w:rsidR="001E3364">
      <w:pPr>
        <w:spacing w:after="0"/>
        <w:rPr>
          <w:rFonts w:cs="Times New Roman" w:eastAsia="Times New Roman"/>
          <w:color w:val="000000"/>
          <w:sz w:val="24"/>
          <w:szCs w:val="24"/>
          <w:lang w:eastAsia="hr-HR"/>
        </w:rPr>
        <w:sectPr w:rsidR="001E3364">
          <w:pgSz w:orient="landscape" w:h="11906" w:w="16838"/>
          <w:pgMar w:gutter="0" w:footer="458" w:header="708" w:left="1417" w:bottom="1417" w:right="1417" w:top="1417"/>
          <w:cols w:space="720"/>
        </w:sectPr>
      </w:pPr>
    </w:p>
    <w:p w:rsidRDefault="001E3364" w:rsidP="001E3364" w:rsidR="001E3364">
      <w:pPr>
        <w:pStyle w:val="Naslov1"/>
        <w:numPr>
          <w:ilvl w:val="0"/>
          <w:numId w:val="2"/>
        </w:numPr>
        <w:rPr>
          <w:rFonts w:hAnsiTheme="minorHAnsi" w:asciiTheme="minorHAnsi"/>
          <w:sz w:val="24"/>
          <w:szCs w:val="24"/>
        </w:rPr>
      </w:pPr>
      <w:bookmarkStart w:name="_Toc521023691" w:id="12"/>
      <w:r>
        <w:rPr>
          <w:rFonts w:hAnsiTheme="minorHAnsi" w:asciiTheme="minorHAnsi"/>
          <w:sz w:val="24"/>
          <w:szCs w:val="24"/>
        </w:rPr>
        <w:lastRenderedPageBreak/>
        <w:t>Planirana bilanca na zadnji dan razdoblja za koje je sastavljen plan poslovanja</w:t>
      </w:r>
      <w:bookmarkEnd w:id="12"/>
      <w:r>
        <w:rPr>
          <w:rFonts w:hAnsiTheme="minorHAnsi" w:asciiTheme="minorHAnsi"/>
          <w:sz w:val="24"/>
          <w:szCs w:val="24"/>
        </w:rPr>
        <w:t xml:space="preserve"> </w:t>
      </w:r>
    </w:p>
    <w:p w:rsidRDefault="001E3364" w:rsidP="001E3364" w:rsidR="001E3364">
      <w:pPr>
        <w:jc w:val="both"/>
        <w:rPr>
          <w:rFonts w:cs="Times New Roman" w:eastAsia="Times New Roman"/>
          <w:color w:val="000000"/>
          <w:sz w:val="24"/>
          <w:szCs w:val="24"/>
          <w:lang w:eastAsia="hr-HR"/>
        </w:rPr>
      </w:pPr>
      <w:r>
        <w:rPr>
          <w:rFonts w:cs="Times New Roman" w:eastAsia="Times New Roman"/>
          <w:color w:val="000000"/>
          <w:sz w:val="24"/>
          <w:szCs w:val="24"/>
          <w:lang w:eastAsia="hr-HR"/>
        </w:rPr>
        <w:t>Projicirana bilanca na dan 31.12.2024., tj. u zadnjoj godini restrukturiranja navedena je u nastavku:</w:t>
      </w:r>
    </w:p>
    <w:p w:rsidRDefault="001E3364" w:rsidP="001E3364" w:rsidR="001E3364">
      <w:pPr>
        <w:pStyle w:val="Style1"/>
        <w:tabs>
          <w:tab w:pos="2604" w:val="left"/>
          <w:tab w:pos="3048" w:val="left"/>
        </w:tabs>
        <w:adjustRightInd/>
        <w:spacing w:after="240"/>
        <w:rPr>
          <w:rFonts w:hAnsiTheme="minorHAnsi" w:asciiTheme="minorHAnsi" w:cs="Arial"/>
          <w:b/>
          <w:sz w:val="24"/>
          <w:szCs w:val="24"/>
          <w:lang w:val="hr-HR"/>
        </w:rPr>
      </w:pPr>
      <w:r>
        <w:rPr>
          <w:rFonts w:hAnsiTheme="minorHAnsi" w:asciiTheme="minorHAnsi" w:cs="Arial"/>
          <w:b/>
          <w:sz w:val="24"/>
          <w:szCs w:val="24"/>
          <w:lang w:val="hr-HR"/>
        </w:rPr>
        <w:t>Bilanca</w:t>
      </w:r>
    </w:p>
    <w:tbl>
      <w:tblPr>
        <w:tblW w:type="pct" w:w="5000"/>
        <w:tblLook w:val="04A0" w:noVBand="1" w:noHBand="0" w:lastColumn="0" w:firstColumn="1" w:lastRow="0" w:firstRow="1"/>
      </w:tblPr>
      <w:tblGrid>
        <w:gridCol w:w="7458"/>
        <w:gridCol w:w="1830"/>
      </w:tblGrid>
      <w:tr w:rsidTr="001E3364" w:rsidR="001E3364">
        <w:trPr>
          <w:trHeight w:val="20"/>
          <w:tblHeader/>
        </w:trPr>
        <w:tc>
          <w:tcPr>
            <w:tcW w:type="pct" w:w="4015"/>
            <w:tcBorders>
              <w:top w:space="0" w:sz="4" w:color="auto" w:val="single"/>
              <w:left w:space="0" w:sz="4" w:color="auto" w:val="single"/>
              <w:bottom w:val="nil"/>
              <w:right w:val="nil"/>
            </w:tcBorders>
            <w:shd w:fill="969696" w:color="auto" w:val="clear"/>
            <w:vAlign w:val="center"/>
            <w:hideMark/>
          </w:tcPr>
          <w:p w:rsidRDefault="001E3364" w:rsidR="001E3364">
            <w:pPr>
              <w:spacing w:lineRule="auto" w:line="240" w:after="0"/>
              <w:jc w:val="center"/>
              <w:rPr>
                <w:rFonts w:cs="Calibri" w:eastAsia="Times New Roman" w:hAnsi="Calibri" w:ascii="Calibri"/>
                <w:b/>
                <w:bCs/>
                <w:color w:val="FFFFFF"/>
                <w:sz w:val="16"/>
                <w:szCs w:val="16"/>
                <w:lang w:eastAsia="hr-HR"/>
              </w:rPr>
            </w:pPr>
            <w:r>
              <w:rPr>
                <w:rFonts w:cs="Calibri" w:eastAsia="Times New Roman" w:hAnsi="Calibri" w:ascii="Calibri"/>
                <w:b/>
                <w:bCs/>
                <w:color w:val="FFFFFF"/>
                <w:sz w:val="16"/>
                <w:szCs w:val="16"/>
                <w:lang w:eastAsia="hr-HR"/>
              </w:rPr>
              <w:t>Naziv pozicije</w:t>
            </w:r>
          </w:p>
        </w:tc>
        <w:tc>
          <w:tcPr>
            <w:tcW w:type="pct" w:w="985"/>
            <w:tcBorders>
              <w:top w:space="0" w:sz="4" w:color="auto" w:val="single"/>
              <w:left w:space="0" w:sz="4" w:color="auto" w:val="single"/>
              <w:bottom w:val="nil"/>
              <w:right w:val="nil"/>
            </w:tcBorders>
            <w:shd w:fill="969696" w:color="auto" w:val="clear"/>
            <w:vAlign w:val="center"/>
            <w:hideMark/>
          </w:tcPr>
          <w:p w:rsidRDefault="001E3364" w:rsidR="001E3364">
            <w:pPr>
              <w:spacing w:lineRule="auto" w:line="240" w:after="0"/>
              <w:jc w:val="center"/>
              <w:rPr>
                <w:rFonts w:cs="Calibri" w:eastAsia="Times New Roman" w:hAnsi="Calibri" w:ascii="Calibri"/>
                <w:b/>
                <w:bCs/>
                <w:color w:val="FFFFFF"/>
                <w:sz w:val="16"/>
                <w:szCs w:val="16"/>
                <w:lang w:eastAsia="hr-HR"/>
              </w:rPr>
            </w:pPr>
            <w:r>
              <w:rPr>
                <w:rFonts w:cs="Calibri" w:eastAsia="Times New Roman" w:hAnsi="Calibri" w:ascii="Calibri"/>
                <w:b/>
                <w:bCs/>
                <w:color w:val="FFFFFF"/>
                <w:sz w:val="16"/>
                <w:szCs w:val="16"/>
                <w:lang w:eastAsia="hr-HR"/>
              </w:rPr>
              <w:t>31.12.2024.</w:t>
            </w:r>
          </w:p>
        </w:tc>
      </w:tr>
      <w:tr w:rsidTr="001E3364" w:rsidR="001E3364">
        <w:trPr>
          <w:trHeight w:val="20"/>
        </w:trPr>
        <w:tc>
          <w:tcPr>
            <w:tcW w:type="pct" w:w="4015"/>
            <w:tcBorders>
              <w:top w:space="0" w:sz="4" w:color="auto" w:val="single"/>
              <w:left w:space="0" w:sz="4" w:color="auto" w:val="single"/>
              <w:bottom w:space="0" w:sz="4" w:color="auto" w:val="single"/>
              <w:right w:val="nil"/>
            </w:tcBorders>
            <w:shd w:fill="DCE6F1" w:color="auto" w:val="clear"/>
            <w:vAlign w:val="center"/>
            <w:hideMark/>
          </w:tcPr>
          <w:p w:rsidRDefault="001E3364" w:rsidR="001E3364">
            <w:pPr>
              <w:spacing w:lineRule="auto" w:line="240" w:after="0"/>
              <w:rPr>
                <w:rFonts w:cs="Calibri" w:eastAsia="Times New Roman" w:hAnsi="Calibri" w:ascii="Calibri"/>
                <w:b/>
                <w:bCs/>
                <w:color w:val="000080"/>
                <w:sz w:val="16"/>
                <w:szCs w:val="16"/>
                <w:lang w:eastAsia="hr-HR"/>
              </w:rPr>
            </w:pPr>
            <w:r>
              <w:rPr>
                <w:rFonts w:cs="Calibri" w:eastAsia="Times New Roman" w:hAnsi="Calibri" w:ascii="Calibri"/>
                <w:b/>
                <w:bCs/>
                <w:color w:val="000080"/>
                <w:sz w:val="16"/>
                <w:szCs w:val="16"/>
                <w:lang w:eastAsia="hr-HR"/>
              </w:rPr>
              <w:t>BILANCA</w:t>
            </w:r>
          </w:p>
        </w:tc>
        <w:tc>
          <w:tcPr>
            <w:tcW w:type="pct" w:w="985"/>
            <w:tcBorders>
              <w:top w:space="0" w:sz="4" w:color="auto" w:val="single"/>
              <w:left w:val="nil"/>
              <w:bottom w:space="0" w:sz="4" w:color="auto" w:val="single"/>
              <w:right w:space="0" w:sz="4" w:color="auto" w:val="single"/>
            </w:tcBorders>
            <w:shd w:fill="DCE6F1" w:color="auto" w:val="clear"/>
            <w:noWrap/>
            <w:vAlign w:val="bottom"/>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w:t>
            </w:r>
          </w:p>
        </w:tc>
      </w:tr>
      <w:tr w:rsidTr="001E3364" w:rsidR="001E3364">
        <w:trPr>
          <w:trHeight w:val="20"/>
        </w:trPr>
        <w:tc>
          <w:tcPr>
            <w:tcW w:type="pct" w:w="4015"/>
            <w:tcBorders>
              <w:top w:val="nil"/>
              <w:left w:space="0" w:sz="4" w:color="auto" w:val="single"/>
              <w:bottom w:space="0" w:sz="4" w:color="auto" w:val="single"/>
              <w:right w:val="nil"/>
            </w:tcBorders>
            <w:vAlign w:val="center"/>
            <w:hideMark/>
          </w:tcPr>
          <w:p w:rsidRDefault="001E3364" w:rsidR="001E3364">
            <w:pPr>
              <w:spacing w:lineRule="auto" w:line="240" w:after="0"/>
              <w:rPr>
                <w:rFonts w:cs="Calibri" w:eastAsia="Times New Roman" w:hAnsi="Calibri" w:ascii="Calibri"/>
                <w:b/>
                <w:bCs/>
                <w:color w:val="000080"/>
                <w:sz w:val="16"/>
                <w:szCs w:val="16"/>
                <w:lang w:eastAsia="hr-HR"/>
              </w:rPr>
            </w:pPr>
            <w:r>
              <w:rPr>
                <w:rFonts w:cs="Calibri" w:eastAsia="Times New Roman" w:hAnsi="Calibri" w:ascii="Calibri"/>
                <w:b/>
                <w:bCs/>
                <w:color w:val="000080"/>
                <w:sz w:val="16"/>
                <w:szCs w:val="16"/>
                <w:lang w:eastAsia="hr-HR"/>
              </w:rPr>
              <w:t>AKTIVA</w:t>
            </w:r>
          </w:p>
        </w:tc>
        <w:tc>
          <w:tcPr>
            <w:tcW w:type="pct" w:w="985"/>
            <w:tcBorders>
              <w:top w:val="nil"/>
              <w:left w:val="nil"/>
              <w:bottom w:space="0" w:sz="4" w:color="auto" w:val="single"/>
              <w:right w:space="0" w:sz="4" w:color="auto" w:val="single"/>
            </w:tcBorders>
            <w:noWrap/>
            <w:vAlign w:val="bottom"/>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w:t>
            </w:r>
          </w:p>
        </w:tc>
      </w:tr>
      <w:tr w:rsidTr="001E3364" w:rsidR="001E3364">
        <w:trPr>
          <w:trHeight w:val="20"/>
        </w:trPr>
        <w:tc>
          <w:tcPr>
            <w:tcW w:type="pct" w:w="4015"/>
            <w:tcBorders>
              <w:top w:space="0" w:sz="4" w:color="auto" w:val="single"/>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b/>
                <w:bCs/>
                <w:color w:val="333399"/>
                <w:sz w:val="16"/>
                <w:szCs w:val="16"/>
                <w:lang w:eastAsia="hr-HR"/>
              </w:rPr>
            </w:pPr>
            <w:r>
              <w:rPr>
                <w:rFonts w:cs="Arial" w:eastAsia="Times New Roman" w:hAnsi="Arial" w:ascii="Arial"/>
                <w:b/>
                <w:bCs/>
                <w:color w:val="333399"/>
                <w:sz w:val="16"/>
                <w:szCs w:val="16"/>
                <w:lang w:eastAsia="hr-HR"/>
              </w:rPr>
              <w:t>A)  POTRAŽIVANJA ZA UPISANI A NEUPLAĆENI KAPITAL</w:t>
            </w:r>
          </w:p>
        </w:tc>
        <w:tc>
          <w:tcPr>
            <w:tcW w:type="pct" w:w="985"/>
            <w:tcBorders>
              <w:top w:val="nil"/>
              <w:left w:val="nil"/>
              <w:bottom w:val="nil"/>
              <w:right w:space="0" w:sz="4" w:color="auto" w:val="single"/>
            </w:tcBorders>
            <w:noWrap/>
            <w:vAlign w:val="bottom"/>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w:t>
            </w:r>
          </w:p>
        </w:tc>
      </w:tr>
      <w:tr w:rsidTr="001E3364" w:rsidR="001E3364">
        <w:trPr>
          <w:trHeight w:val="20"/>
        </w:trPr>
        <w:tc>
          <w:tcPr>
            <w:tcW w:type="pct" w:w="4015"/>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b/>
                <w:bCs/>
                <w:color w:val="333399"/>
                <w:sz w:val="16"/>
                <w:szCs w:val="16"/>
                <w:lang w:eastAsia="hr-HR"/>
              </w:rPr>
            </w:pPr>
            <w:r>
              <w:rPr>
                <w:rFonts w:cs="Arial" w:eastAsia="Times New Roman" w:hAnsi="Arial" w:ascii="Arial"/>
                <w:b/>
                <w:bCs/>
                <w:color w:val="333399"/>
                <w:sz w:val="16"/>
                <w:szCs w:val="16"/>
                <w:lang w:eastAsia="hr-HR"/>
              </w:rPr>
              <w:t>B)  DUGOTRAJNA IMOVINA</w:t>
            </w:r>
          </w:p>
        </w:tc>
        <w:tc>
          <w:tcPr>
            <w:tcW w:type="pct" w:w="985"/>
            <w:tcBorders>
              <w:top w:space="0" w:sz="4" w:color="auto" w:val="single"/>
              <w:left w:val="nil"/>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30.434.854</w:t>
            </w:r>
          </w:p>
        </w:tc>
      </w:tr>
      <w:tr w:rsidTr="001E3364" w:rsidR="001E3364">
        <w:trPr>
          <w:trHeight w:val="20"/>
        </w:trPr>
        <w:tc>
          <w:tcPr>
            <w:tcW w:type="pct" w:w="4015"/>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color w:val="0000FF"/>
                <w:sz w:val="16"/>
                <w:szCs w:val="16"/>
                <w:lang w:eastAsia="hr-HR"/>
              </w:rPr>
            </w:pPr>
            <w:r>
              <w:rPr>
                <w:rFonts w:cs="Arial" w:eastAsia="Times New Roman" w:hAnsi="Arial" w:ascii="Arial"/>
                <w:color w:val="0000FF"/>
                <w:sz w:val="16"/>
                <w:szCs w:val="16"/>
                <w:lang w:eastAsia="hr-HR"/>
              </w:rPr>
              <w:t>I. NEMATERIJALNA IMOVINA</w:t>
            </w:r>
          </w:p>
        </w:tc>
        <w:tc>
          <w:tcPr>
            <w:tcW w:type="pct" w:w="985"/>
            <w:tcBorders>
              <w:top w:val="nil"/>
              <w:left w:val="nil"/>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r>
      <w:tr w:rsidTr="001E3364" w:rsidR="001E3364">
        <w:trPr>
          <w:trHeight w:val="20"/>
        </w:trPr>
        <w:tc>
          <w:tcPr>
            <w:tcW w:type="pct" w:w="4015"/>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1. Izdaci za razvoj</w:t>
            </w:r>
          </w:p>
        </w:tc>
        <w:tc>
          <w:tcPr>
            <w:tcW w:type="pct" w:w="985"/>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4015"/>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2. Koncesije, patenti, licencije, robne i uslužne marke, softver i ostala prava</w:t>
            </w:r>
          </w:p>
        </w:tc>
        <w:tc>
          <w:tcPr>
            <w:tcW w:type="pct" w:w="985"/>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4015"/>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3. Goodwill</w:t>
            </w:r>
          </w:p>
        </w:tc>
        <w:tc>
          <w:tcPr>
            <w:tcW w:type="pct" w:w="985"/>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4015"/>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4. Predujmovi za nabavu nematerijalne imovine</w:t>
            </w:r>
          </w:p>
        </w:tc>
        <w:tc>
          <w:tcPr>
            <w:tcW w:type="pct" w:w="985"/>
            <w:tcBorders>
              <w:top w:val="nil"/>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4015"/>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5. Nematerijalna imovina u pripremi</w:t>
            </w:r>
          </w:p>
        </w:tc>
        <w:tc>
          <w:tcPr>
            <w:tcW w:type="pct" w:w="985"/>
            <w:tcBorders>
              <w:top w:space="0" w:sz="4" w:color="auto" w:val="single"/>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4015"/>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6. Ostala nematerijalna imovina</w:t>
            </w:r>
          </w:p>
        </w:tc>
        <w:tc>
          <w:tcPr>
            <w:tcW w:type="pct" w:w="985"/>
            <w:tcBorders>
              <w:top w:space="0" w:sz="4" w:color="auto" w:val="single"/>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4015"/>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color w:val="0000FF"/>
                <w:sz w:val="16"/>
                <w:szCs w:val="16"/>
                <w:lang w:eastAsia="hr-HR"/>
              </w:rPr>
            </w:pPr>
            <w:r>
              <w:rPr>
                <w:rFonts w:cs="Arial" w:eastAsia="Times New Roman" w:hAnsi="Arial" w:ascii="Arial"/>
                <w:color w:val="0000FF"/>
                <w:sz w:val="16"/>
                <w:szCs w:val="16"/>
                <w:lang w:eastAsia="hr-HR"/>
              </w:rPr>
              <w:t>II. MATERIJALNA IMOVINA</w:t>
            </w:r>
          </w:p>
        </w:tc>
        <w:tc>
          <w:tcPr>
            <w:tcW w:type="pct" w:w="985"/>
            <w:tcBorders>
              <w:top w:space="0" w:sz="4" w:color="auto" w:val="single"/>
              <w:left w:val="nil"/>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30.434.854</w:t>
            </w:r>
          </w:p>
        </w:tc>
      </w:tr>
      <w:tr w:rsidTr="001E3364" w:rsidR="001E3364">
        <w:trPr>
          <w:trHeight w:val="20"/>
        </w:trPr>
        <w:tc>
          <w:tcPr>
            <w:tcW w:type="pct" w:w="4015"/>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1. Zemljište</w:t>
            </w:r>
          </w:p>
        </w:tc>
        <w:tc>
          <w:tcPr>
            <w:tcW w:type="pct" w:w="985"/>
            <w:tcBorders>
              <w:top w:space="0" w:sz="4" w:color="auto" w:val="single"/>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9.573.914</w:t>
            </w:r>
          </w:p>
        </w:tc>
      </w:tr>
      <w:tr w:rsidTr="001E3364" w:rsidR="001E3364">
        <w:trPr>
          <w:trHeight w:val="20"/>
        </w:trPr>
        <w:tc>
          <w:tcPr>
            <w:tcW w:type="pct" w:w="4015"/>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2. Građevinski objekti</w:t>
            </w:r>
          </w:p>
        </w:tc>
        <w:tc>
          <w:tcPr>
            <w:tcW w:type="pct" w:w="985"/>
            <w:tcBorders>
              <w:top w:space="0" w:sz="4" w:color="auto" w:val="single"/>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17.071.500</w:t>
            </w:r>
          </w:p>
        </w:tc>
      </w:tr>
      <w:tr w:rsidTr="001E3364" w:rsidR="001E3364">
        <w:trPr>
          <w:trHeight w:val="20"/>
        </w:trPr>
        <w:tc>
          <w:tcPr>
            <w:tcW w:type="pct" w:w="4015"/>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3. Postrojenja i oprema </w:t>
            </w:r>
          </w:p>
        </w:tc>
        <w:tc>
          <w:tcPr>
            <w:tcW w:type="pct" w:w="985"/>
            <w:tcBorders>
              <w:top w:space="0" w:sz="4" w:color="auto" w:val="single"/>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2.000.000</w:t>
            </w:r>
          </w:p>
        </w:tc>
      </w:tr>
      <w:tr w:rsidTr="001E3364" w:rsidR="001E3364">
        <w:trPr>
          <w:trHeight w:val="20"/>
        </w:trPr>
        <w:tc>
          <w:tcPr>
            <w:tcW w:type="pct" w:w="4015"/>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4. Alati, pogonski inventar i transportna imovina</w:t>
            </w:r>
          </w:p>
        </w:tc>
        <w:tc>
          <w:tcPr>
            <w:tcW w:type="pct" w:w="985"/>
            <w:tcBorders>
              <w:top w:space="0" w:sz="4" w:color="auto" w:val="single"/>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1.789.440</w:t>
            </w:r>
          </w:p>
        </w:tc>
      </w:tr>
      <w:tr w:rsidTr="001E3364" w:rsidR="001E3364">
        <w:trPr>
          <w:trHeight w:val="20"/>
        </w:trPr>
        <w:tc>
          <w:tcPr>
            <w:tcW w:type="pct" w:w="4015"/>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5. Biološka imovina</w:t>
            </w:r>
          </w:p>
        </w:tc>
        <w:tc>
          <w:tcPr>
            <w:tcW w:type="pct" w:w="985"/>
            <w:tcBorders>
              <w:top w:space="0" w:sz="4" w:color="auto" w:val="single"/>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4015"/>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6. Predujmovi za materijalnu imovinu</w:t>
            </w:r>
          </w:p>
        </w:tc>
        <w:tc>
          <w:tcPr>
            <w:tcW w:type="pct" w:w="985"/>
            <w:tcBorders>
              <w:top w:space="0" w:sz="4" w:color="auto" w:val="single"/>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4015"/>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7. Materijalna imovina u pripremi</w:t>
            </w:r>
          </w:p>
        </w:tc>
        <w:tc>
          <w:tcPr>
            <w:tcW w:type="pct" w:w="985"/>
            <w:tcBorders>
              <w:top w:space="0" w:sz="4" w:color="auto" w:val="single"/>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4015"/>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8. Ostala materijalna imovina</w:t>
            </w:r>
          </w:p>
        </w:tc>
        <w:tc>
          <w:tcPr>
            <w:tcW w:type="pct" w:w="985"/>
            <w:tcBorders>
              <w:top w:space="0" w:sz="4" w:color="auto" w:val="single"/>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4015"/>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9. Ulaganje u nekretnine</w:t>
            </w:r>
          </w:p>
        </w:tc>
        <w:tc>
          <w:tcPr>
            <w:tcW w:type="pct" w:w="985"/>
            <w:tcBorders>
              <w:top w:space="0" w:sz="4" w:color="auto" w:val="single"/>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4015"/>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color w:val="0000FF"/>
                <w:sz w:val="16"/>
                <w:szCs w:val="16"/>
                <w:lang w:eastAsia="hr-HR"/>
              </w:rPr>
            </w:pPr>
            <w:r>
              <w:rPr>
                <w:rFonts w:cs="Arial" w:eastAsia="Times New Roman" w:hAnsi="Arial" w:ascii="Arial"/>
                <w:color w:val="0000FF"/>
                <w:sz w:val="16"/>
                <w:szCs w:val="16"/>
                <w:lang w:eastAsia="hr-HR"/>
              </w:rPr>
              <w:t>III. DUGOTRAJNA FINANCIJSKA IMOVINA</w:t>
            </w:r>
          </w:p>
        </w:tc>
        <w:tc>
          <w:tcPr>
            <w:tcW w:type="pct" w:w="985"/>
            <w:tcBorders>
              <w:top w:space="0" w:sz="4" w:color="auto" w:val="single"/>
              <w:left w:val="nil"/>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r>
      <w:tr w:rsidTr="001E3364" w:rsidR="001E3364">
        <w:trPr>
          <w:trHeight w:val="20"/>
        </w:trPr>
        <w:tc>
          <w:tcPr>
            <w:tcW w:type="pct" w:w="4015"/>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1. Ulaganja u udjele (dionice) poduzetnika unutar grupe</w:t>
            </w:r>
          </w:p>
        </w:tc>
        <w:tc>
          <w:tcPr>
            <w:tcW w:type="pct" w:w="985"/>
            <w:tcBorders>
              <w:top w:space="0" w:sz="4" w:color="auto" w:val="single"/>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4015"/>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2. Ulaganja u ostale vrijednosne papire poduzetnika unutar grupe</w:t>
            </w:r>
          </w:p>
        </w:tc>
        <w:tc>
          <w:tcPr>
            <w:tcW w:type="pct" w:w="985"/>
            <w:tcBorders>
              <w:top w:space="0" w:sz="4" w:color="auto" w:val="single"/>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4015"/>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3. Dani zajmovi, depoziti i slično poduzetnicima unutar grupe</w:t>
            </w:r>
          </w:p>
        </w:tc>
        <w:tc>
          <w:tcPr>
            <w:tcW w:type="pct" w:w="985"/>
            <w:tcBorders>
              <w:top w:space="0" w:sz="4" w:color="auto" w:val="single"/>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4015"/>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4.Ulaganja u udjele (dionice) društava povezanih sudjelujućim interesom</w:t>
            </w:r>
          </w:p>
        </w:tc>
        <w:tc>
          <w:tcPr>
            <w:tcW w:type="pct" w:w="985"/>
            <w:tcBorders>
              <w:top w:space="0" w:sz="4" w:color="auto" w:val="single"/>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4015"/>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5. Ulaganja u ostale vrijednosne papire društava povezanih sudjelujućim interesom</w:t>
            </w:r>
          </w:p>
        </w:tc>
        <w:tc>
          <w:tcPr>
            <w:tcW w:type="pct" w:w="985"/>
            <w:tcBorders>
              <w:top w:space="0" w:sz="4" w:color="auto" w:val="single"/>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4015"/>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6. Dani zajmovi, depoziti i slično društvima povezanim sudjelujućim interesom</w:t>
            </w:r>
          </w:p>
        </w:tc>
        <w:tc>
          <w:tcPr>
            <w:tcW w:type="pct" w:w="985"/>
            <w:tcBorders>
              <w:top w:space="0" w:sz="4" w:color="auto" w:val="single"/>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4015"/>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7. Ulaganja u vrijednosne papire</w:t>
            </w:r>
          </w:p>
        </w:tc>
        <w:tc>
          <w:tcPr>
            <w:tcW w:type="pct" w:w="985"/>
            <w:tcBorders>
              <w:top w:space="0" w:sz="4" w:color="auto" w:val="single"/>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4015"/>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8. Dani zajmovi, depoziti i slično</w:t>
            </w:r>
          </w:p>
        </w:tc>
        <w:tc>
          <w:tcPr>
            <w:tcW w:type="pct" w:w="985"/>
            <w:tcBorders>
              <w:top w:space="0" w:sz="4" w:color="auto" w:val="single"/>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4015"/>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9. Ostala ulaganja koja se obračunavaju metodom udjela</w:t>
            </w:r>
          </w:p>
        </w:tc>
        <w:tc>
          <w:tcPr>
            <w:tcW w:type="pct" w:w="985"/>
            <w:tcBorders>
              <w:top w:space="0" w:sz="4" w:color="auto" w:val="single"/>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4015"/>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10.  Ostala dugotrajna financijska imovina</w:t>
            </w:r>
          </w:p>
        </w:tc>
        <w:tc>
          <w:tcPr>
            <w:tcW w:type="pct" w:w="985"/>
            <w:tcBorders>
              <w:top w:space="0" w:sz="4" w:color="auto" w:val="single"/>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4015"/>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color w:val="0000FF"/>
                <w:sz w:val="16"/>
                <w:szCs w:val="16"/>
                <w:lang w:eastAsia="hr-HR"/>
              </w:rPr>
            </w:pPr>
            <w:r>
              <w:rPr>
                <w:rFonts w:cs="Arial" w:eastAsia="Times New Roman" w:hAnsi="Arial" w:ascii="Arial"/>
                <w:color w:val="0000FF"/>
                <w:sz w:val="16"/>
                <w:szCs w:val="16"/>
                <w:lang w:eastAsia="hr-HR"/>
              </w:rPr>
              <w:t>IV. POTRAŽIVANJA</w:t>
            </w:r>
          </w:p>
        </w:tc>
        <w:tc>
          <w:tcPr>
            <w:tcW w:type="pct" w:w="985"/>
            <w:tcBorders>
              <w:top w:space="0" w:sz="4" w:color="auto" w:val="single"/>
              <w:left w:val="nil"/>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r>
      <w:tr w:rsidTr="001E3364" w:rsidR="001E3364">
        <w:trPr>
          <w:trHeight w:val="20"/>
        </w:trPr>
        <w:tc>
          <w:tcPr>
            <w:tcW w:type="pct" w:w="4015"/>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1. Potraživanja od poduzetnika unutar grupe </w:t>
            </w:r>
          </w:p>
        </w:tc>
        <w:tc>
          <w:tcPr>
            <w:tcW w:type="pct" w:w="985"/>
            <w:tcBorders>
              <w:top w:space="0" w:sz="4" w:color="auto" w:val="single"/>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4015"/>
            <w:tcBorders>
              <w:top w:val="nil"/>
              <w:left w:space="0" w:sz="4" w:color="auto" w:val="single"/>
              <w:bottom w:space="0" w:sz="4" w:color="C0C0C0" w:val="single"/>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2. Potraživanja od društava povezanih sudjelujućim interesom </w:t>
            </w:r>
          </w:p>
        </w:tc>
        <w:tc>
          <w:tcPr>
            <w:tcW w:type="pct" w:w="985"/>
            <w:tcBorders>
              <w:top w:space="0" w:sz="4" w:color="auto" w:val="single"/>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4015"/>
            <w:tcBorders>
              <w:top w:val="nil"/>
              <w:left w:space="0" w:sz="4" w:color="auto" w:val="single"/>
              <w:bottom w:space="0" w:sz="4" w:color="auto" w:val="dotted"/>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3. Potraživanja od kupaca </w:t>
            </w:r>
          </w:p>
        </w:tc>
        <w:tc>
          <w:tcPr>
            <w:tcW w:type="pct" w:w="985"/>
            <w:tcBorders>
              <w:top w:space="0" w:sz="4" w:color="auto" w:val="single"/>
              <w:left w:val="nil"/>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4015"/>
            <w:tcBorders>
              <w:top w:space="0" w:sz="4" w:color="auto" w:val="dotted"/>
              <w:left w:space="0" w:sz="4" w:color="auto" w:val="single"/>
              <w:bottom w:space="0" w:sz="4" w:color="auto" w:val="dotted"/>
              <w:right w:space="0" w:sz="4" w:color="auto" w:val="single"/>
            </w:tcBorders>
            <w:vAlign w:val="center"/>
            <w:hideMark/>
          </w:tcPr>
          <w:p w:rsidRDefault="001E3364" w:rsidR="001E3364">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     4. Ostala potraživanja</w:t>
            </w:r>
          </w:p>
        </w:tc>
        <w:tc>
          <w:tcPr>
            <w:tcW w:type="pct" w:w="985"/>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4015"/>
            <w:tcBorders>
              <w:top w:space="0" w:sz="4" w:color="auto" w:val="dotted"/>
              <w:left w:space="0" w:sz="4" w:color="auto" w:val="single"/>
              <w:bottom w:space="0" w:sz="4" w:color="auto" w:val="dotted"/>
              <w:right w:space="0" w:sz="4" w:color="auto" w:val="single"/>
            </w:tcBorders>
            <w:vAlign w:val="center"/>
            <w:hideMark/>
          </w:tcPr>
          <w:p w:rsidRDefault="001E3364" w:rsidR="001E3364">
            <w:pPr>
              <w:spacing w:lineRule="auto" w:line="240" w:after="0"/>
              <w:rPr>
                <w:rFonts w:cs="Arial" w:eastAsia="Times New Roman" w:hAnsi="Arial" w:ascii="Arial"/>
                <w:color w:val="0000FF"/>
                <w:sz w:val="16"/>
                <w:szCs w:val="16"/>
                <w:lang w:eastAsia="hr-HR"/>
              </w:rPr>
            </w:pPr>
            <w:r>
              <w:rPr>
                <w:rFonts w:cs="Arial" w:eastAsia="Times New Roman" w:hAnsi="Arial" w:ascii="Arial"/>
                <w:color w:val="0000FF"/>
                <w:sz w:val="16"/>
                <w:szCs w:val="16"/>
                <w:lang w:eastAsia="hr-HR"/>
              </w:rPr>
              <w:t>V. ODGOĐENA POREZNA IMOVINA</w:t>
            </w:r>
          </w:p>
        </w:tc>
        <w:tc>
          <w:tcPr>
            <w:tcW w:type="pct" w:w="985"/>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4015"/>
            <w:tcBorders>
              <w:top w:space="0" w:sz="4" w:color="auto" w:val="dotted"/>
              <w:left w:space="0" w:sz="4" w:color="auto" w:val="single"/>
              <w:bottom w:space="0" w:sz="4" w:color="auto" w:val="dotted"/>
              <w:right w:space="0" w:sz="4" w:color="auto" w:val="single"/>
            </w:tcBorders>
            <w:vAlign w:val="center"/>
            <w:hideMark/>
          </w:tcPr>
          <w:p w:rsidRDefault="001E3364" w:rsidR="001E3364">
            <w:pPr>
              <w:spacing w:lineRule="auto" w:line="240" w:after="0"/>
              <w:rPr>
                <w:rFonts w:cs="Arial" w:eastAsia="Times New Roman" w:hAnsi="Arial" w:ascii="Arial"/>
                <w:color w:val="0000FF"/>
                <w:sz w:val="16"/>
                <w:szCs w:val="16"/>
                <w:lang w:eastAsia="hr-HR"/>
              </w:rPr>
            </w:pPr>
            <w:r>
              <w:rPr>
                <w:rFonts w:cs="Arial" w:eastAsia="Times New Roman" w:hAnsi="Arial" w:ascii="Arial"/>
                <w:color w:val="0000FF"/>
                <w:sz w:val="16"/>
                <w:szCs w:val="16"/>
                <w:lang w:eastAsia="hr-HR"/>
              </w:rPr>
              <w:t>C)  KRATKOTRAJNA IMOVINA</w:t>
            </w:r>
          </w:p>
        </w:tc>
        <w:tc>
          <w:tcPr>
            <w:tcW w:type="pct" w:w="985"/>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37.250.000</w:t>
            </w:r>
          </w:p>
        </w:tc>
      </w:tr>
      <w:tr w:rsidTr="001E3364" w:rsidR="001E3364">
        <w:trPr>
          <w:trHeight w:val="20"/>
        </w:trPr>
        <w:tc>
          <w:tcPr>
            <w:tcW w:type="pct" w:w="4015"/>
            <w:tcBorders>
              <w:top w:space="0" w:sz="4" w:color="auto" w:val="dotted"/>
              <w:left w:space="0" w:sz="4" w:color="auto" w:val="single"/>
              <w:bottom w:space="0" w:sz="4" w:color="auto" w:val="dotted"/>
              <w:right w:space="0" w:sz="4" w:color="auto" w:val="single"/>
            </w:tcBorders>
            <w:vAlign w:val="center"/>
            <w:hideMark/>
          </w:tcPr>
          <w:p w:rsidRDefault="001E3364" w:rsidR="001E3364">
            <w:pPr>
              <w:spacing w:lineRule="auto" w:line="240" w:after="0"/>
              <w:rPr>
                <w:rFonts w:cs="Arial" w:eastAsia="Times New Roman" w:hAnsi="Arial" w:ascii="Arial"/>
                <w:color w:val="0000FF"/>
                <w:sz w:val="16"/>
                <w:szCs w:val="16"/>
                <w:lang w:eastAsia="hr-HR"/>
              </w:rPr>
            </w:pPr>
            <w:r>
              <w:rPr>
                <w:rFonts w:cs="Arial" w:eastAsia="Times New Roman" w:hAnsi="Arial" w:ascii="Arial"/>
                <w:color w:val="0000FF"/>
                <w:sz w:val="16"/>
                <w:szCs w:val="16"/>
                <w:lang w:eastAsia="hr-HR"/>
              </w:rPr>
              <w:t>I. ZALIHE</w:t>
            </w:r>
          </w:p>
        </w:tc>
        <w:tc>
          <w:tcPr>
            <w:tcW w:type="pct" w:w="985"/>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22.650.000</w:t>
            </w:r>
          </w:p>
        </w:tc>
      </w:tr>
      <w:tr w:rsidTr="001E3364" w:rsidR="001E3364">
        <w:trPr>
          <w:trHeight w:val="20"/>
        </w:trPr>
        <w:tc>
          <w:tcPr>
            <w:tcW w:type="pct" w:w="4015"/>
            <w:tcBorders>
              <w:top w:space="0" w:sz="4" w:color="auto" w:val="dotted"/>
              <w:left w:space="0" w:sz="4" w:color="auto" w:val="single"/>
              <w:bottom w:space="0" w:sz="4" w:color="auto" w:val="dotted"/>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1. Sirovine i materijal</w:t>
            </w:r>
          </w:p>
        </w:tc>
        <w:tc>
          <w:tcPr>
            <w:tcW w:type="pct" w:w="985"/>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15.000.000</w:t>
            </w:r>
          </w:p>
        </w:tc>
      </w:tr>
      <w:tr w:rsidTr="001E3364" w:rsidR="001E3364">
        <w:trPr>
          <w:trHeight w:val="20"/>
        </w:trPr>
        <w:tc>
          <w:tcPr>
            <w:tcW w:type="pct" w:w="4015"/>
            <w:tcBorders>
              <w:top w:space="0" w:sz="4" w:color="auto" w:val="dotted"/>
              <w:left w:space="0" w:sz="4" w:color="auto" w:val="single"/>
              <w:bottom w:space="0" w:sz="4" w:color="auto" w:val="dotted"/>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2. Proizvodnja u tijeku</w:t>
            </w:r>
          </w:p>
        </w:tc>
        <w:tc>
          <w:tcPr>
            <w:tcW w:type="pct" w:w="985"/>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350.000</w:t>
            </w:r>
          </w:p>
        </w:tc>
      </w:tr>
      <w:tr w:rsidTr="001E3364" w:rsidR="001E3364">
        <w:trPr>
          <w:trHeight w:val="20"/>
        </w:trPr>
        <w:tc>
          <w:tcPr>
            <w:tcW w:type="pct" w:w="4015"/>
            <w:tcBorders>
              <w:top w:space="0" w:sz="4" w:color="auto" w:val="dotted"/>
              <w:left w:space="0" w:sz="4" w:color="auto" w:val="single"/>
              <w:bottom w:space="0" w:sz="4" w:color="auto" w:val="dotted"/>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3. Gotovi proizvodi</w:t>
            </w:r>
          </w:p>
        </w:tc>
        <w:tc>
          <w:tcPr>
            <w:tcW w:type="pct" w:w="985"/>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4.500.000</w:t>
            </w:r>
          </w:p>
        </w:tc>
      </w:tr>
      <w:tr w:rsidTr="001E3364" w:rsidR="001E3364">
        <w:trPr>
          <w:trHeight w:val="20"/>
        </w:trPr>
        <w:tc>
          <w:tcPr>
            <w:tcW w:type="pct" w:w="4015"/>
            <w:tcBorders>
              <w:top w:space="0" w:sz="4" w:color="auto" w:val="dotted"/>
              <w:left w:space="0" w:sz="4" w:color="auto" w:val="single"/>
              <w:bottom w:space="0" w:sz="4" w:color="auto" w:val="dotted"/>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4. Trgovačka roba</w:t>
            </w:r>
          </w:p>
        </w:tc>
        <w:tc>
          <w:tcPr>
            <w:tcW w:type="pct" w:w="985"/>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2.000.000</w:t>
            </w:r>
          </w:p>
        </w:tc>
      </w:tr>
      <w:tr w:rsidTr="001E3364" w:rsidR="001E3364">
        <w:trPr>
          <w:trHeight w:val="20"/>
        </w:trPr>
        <w:tc>
          <w:tcPr>
            <w:tcW w:type="pct" w:w="4015"/>
            <w:tcBorders>
              <w:top w:space="0" w:sz="4" w:color="auto" w:val="dotted"/>
              <w:left w:space="0" w:sz="4" w:color="auto" w:val="single"/>
              <w:bottom w:space="0" w:sz="4" w:color="auto" w:val="dotted"/>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5. Predujmovi za zalihe</w:t>
            </w:r>
          </w:p>
        </w:tc>
        <w:tc>
          <w:tcPr>
            <w:tcW w:type="pct" w:w="985"/>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800.000</w:t>
            </w:r>
          </w:p>
        </w:tc>
      </w:tr>
      <w:tr w:rsidTr="001E3364" w:rsidR="001E3364">
        <w:trPr>
          <w:trHeight w:val="20"/>
        </w:trPr>
        <w:tc>
          <w:tcPr>
            <w:tcW w:type="pct" w:w="4015"/>
            <w:tcBorders>
              <w:top w:space="0" w:sz="4" w:color="auto" w:val="dotted"/>
              <w:left w:space="0" w:sz="4" w:color="auto" w:val="single"/>
              <w:bottom w:space="0" w:sz="4" w:color="auto" w:val="dotted"/>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6. Dugotrajna imovina namijenjena prodaji</w:t>
            </w:r>
          </w:p>
        </w:tc>
        <w:tc>
          <w:tcPr>
            <w:tcW w:type="pct" w:w="985"/>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4015"/>
            <w:tcBorders>
              <w:top w:space="0" w:sz="4" w:color="auto" w:val="dotted"/>
              <w:left w:space="0" w:sz="4" w:color="auto" w:val="single"/>
              <w:bottom w:space="0" w:sz="4" w:color="auto" w:val="dotted"/>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7. Biološka imovina</w:t>
            </w:r>
          </w:p>
        </w:tc>
        <w:tc>
          <w:tcPr>
            <w:tcW w:type="pct" w:w="985"/>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4015"/>
            <w:tcBorders>
              <w:top w:space="0" w:sz="4" w:color="auto" w:val="dotted"/>
              <w:left w:space="0" w:sz="4" w:color="auto" w:val="single"/>
              <w:bottom w:space="0" w:sz="4" w:color="auto" w:val="dotted"/>
              <w:right w:space="0" w:sz="4" w:color="auto" w:val="single"/>
            </w:tcBorders>
            <w:vAlign w:val="center"/>
            <w:hideMark/>
          </w:tcPr>
          <w:p w:rsidRDefault="001E3364" w:rsidR="001E3364">
            <w:pPr>
              <w:spacing w:lineRule="auto" w:line="240" w:after="0"/>
              <w:rPr>
                <w:rFonts w:cs="Arial" w:eastAsia="Times New Roman" w:hAnsi="Arial" w:ascii="Arial"/>
                <w:color w:val="0000FF"/>
                <w:sz w:val="16"/>
                <w:szCs w:val="16"/>
                <w:lang w:eastAsia="hr-HR"/>
              </w:rPr>
            </w:pPr>
            <w:r>
              <w:rPr>
                <w:rFonts w:cs="Arial" w:eastAsia="Times New Roman" w:hAnsi="Arial" w:ascii="Arial"/>
                <w:color w:val="0000FF"/>
                <w:sz w:val="16"/>
                <w:szCs w:val="16"/>
                <w:lang w:eastAsia="hr-HR"/>
              </w:rPr>
              <w:t>II. POTRAŽIVANJA</w:t>
            </w:r>
          </w:p>
        </w:tc>
        <w:tc>
          <w:tcPr>
            <w:tcW w:type="pct" w:w="985"/>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13.100.000</w:t>
            </w:r>
          </w:p>
        </w:tc>
      </w:tr>
      <w:tr w:rsidTr="001E3364" w:rsidR="001E3364">
        <w:trPr>
          <w:trHeight w:val="20"/>
        </w:trPr>
        <w:tc>
          <w:tcPr>
            <w:tcW w:type="pct" w:w="4015"/>
            <w:tcBorders>
              <w:top w:space="0" w:sz="4" w:color="auto" w:val="dotted"/>
              <w:left w:space="0" w:sz="4" w:color="auto" w:val="single"/>
              <w:bottom w:space="0" w:sz="4" w:color="auto" w:val="dotted"/>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1. Potraživanja od poduzetnika unutar grupe </w:t>
            </w:r>
          </w:p>
        </w:tc>
        <w:tc>
          <w:tcPr>
            <w:tcW w:type="pct" w:w="985"/>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4015"/>
            <w:tcBorders>
              <w:top w:space="0" w:sz="4" w:color="auto" w:val="dotted"/>
              <w:left w:space="0" w:sz="4" w:color="auto" w:val="single"/>
              <w:bottom w:space="0" w:sz="4" w:color="auto" w:val="dotted"/>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lastRenderedPageBreak/>
              <w:t xml:space="preserve">    2. Potraživanja od društava povezanih sudjelujućim interesom</w:t>
            </w:r>
          </w:p>
        </w:tc>
        <w:tc>
          <w:tcPr>
            <w:tcW w:type="pct" w:w="985"/>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4015"/>
            <w:tcBorders>
              <w:top w:space="0" w:sz="4" w:color="auto" w:val="dotted"/>
              <w:left w:space="0" w:sz="4" w:color="auto" w:val="single"/>
              <w:bottom w:space="0" w:sz="4" w:color="auto" w:val="dotted"/>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3. Potraživanja od kupaca</w:t>
            </w:r>
          </w:p>
        </w:tc>
        <w:tc>
          <w:tcPr>
            <w:tcW w:type="pct" w:w="985"/>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13.000.000</w:t>
            </w:r>
          </w:p>
        </w:tc>
      </w:tr>
      <w:tr w:rsidTr="001E3364" w:rsidR="001E3364">
        <w:trPr>
          <w:trHeight w:val="20"/>
        </w:trPr>
        <w:tc>
          <w:tcPr>
            <w:tcW w:type="pct" w:w="4015"/>
            <w:tcBorders>
              <w:top w:space="0" w:sz="4" w:color="auto" w:val="dotted"/>
              <w:left w:space="0" w:sz="4" w:color="auto" w:val="single"/>
              <w:bottom w:space="0" w:sz="4" w:color="auto" w:val="dotted"/>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4. Potraživanja od zaposlenika i članova poduzetnika</w:t>
            </w:r>
          </w:p>
        </w:tc>
        <w:tc>
          <w:tcPr>
            <w:tcW w:type="pct" w:w="985"/>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4015"/>
            <w:tcBorders>
              <w:top w:space="0" w:sz="4" w:color="auto" w:val="dotted"/>
              <w:left w:space="0" w:sz="4" w:color="auto" w:val="single"/>
              <w:bottom w:space="0" w:sz="4" w:color="auto" w:val="dotted"/>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5. Potraživanja od države i drugih institucija</w:t>
            </w:r>
          </w:p>
        </w:tc>
        <w:tc>
          <w:tcPr>
            <w:tcW w:type="pct" w:w="985"/>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100.000</w:t>
            </w:r>
          </w:p>
        </w:tc>
      </w:tr>
      <w:tr w:rsidTr="001E3364" w:rsidR="001E3364">
        <w:trPr>
          <w:trHeight w:val="20"/>
        </w:trPr>
        <w:tc>
          <w:tcPr>
            <w:tcW w:type="pct" w:w="4015"/>
            <w:tcBorders>
              <w:top w:space="0" w:sz="4" w:color="auto" w:val="dotted"/>
              <w:left w:space="0" w:sz="4" w:color="auto" w:val="single"/>
              <w:bottom w:space="0" w:sz="4" w:color="auto" w:val="dotted"/>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6. Ostala potraživanja</w:t>
            </w:r>
          </w:p>
        </w:tc>
        <w:tc>
          <w:tcPr>
            <w:tcW w:type="pct" w:w="985"/>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4015"/>
            <w:tcBorders>
              <w:top w:space="0" w:sz="4" w:color="auto" w:val="dotted"/>
              <w:left w:space="0" w:sz="4" w:color="auto" w:val="single"/>
              <w:bottom w:space="0" w:sz="4" w:color="auto" w:val="dotted"/>
              <w:right w:space="0" w:sz="4" w:color="auto" w:val="single"/>
            </w:tcBorders>
            <w:vAlign w:val="center"/>
            <w:hideMark/>
          </w:tcPr>
          <w:p w:rsidRDefault="001E3364" w:rsidR="001E3364">
            <w:pPr>
              <w:spacing w:lineRule="auto" w:line="240" w:after="0"/>
              <w:rPr>
                <w:rFonts w:cs="Arial" w:eastAsia="Times New Roman" w:hAnsi="Arial" w:ascii="Arial"/>
                <w:color w:val="0000FF"/>
                <w:sz w:val="16"/>
                <w:szCs w:val="16"/>
                <w:lang w:eastAsia="hr-HR"/>
              </w:rPr>
            </w:pPr>
            <w:r>
              <w:rPr>
                <w:rFonts w:cs="Arial" w:eastAsia="Times New Roman" w:hAnsi="Arial" w:ascii="Arial"/>
                <w:color w:val="0000FF"/>
                <w:sz w:val="16"/>
                <w:szCs w:val="16"/>
                <w:lang w:eastAsia="hr-HR"/>
              </w:rPr>
              <w:t>III. KRATKOTRAJNA FINANCIJSKA IMOVINA</w:t>
            </w:r>
          </w:p>
        </w:tc>
        <w:tc>
          <w:tcPr>
            <w:tcW w:type="pct" w:w="985"/>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r>
      <w:tr w:rsidTr="001E3364" w:rsidR="001E3364">
        <w:trPr>
          <w:trHeight w:val="20"/>
        </w:trPr>
        <w:tc>
          <w:tcPr>
            <w:tcW w:type="pct" w:w="4015"/>
            <w:tcBorders>
              <w:top w:space="0" w:sz="4" w:color="auto" w:val="dotted"/>
              <w:left w:space="0" w:sz="4" w:color="auto" w:val="single"/>
              <w:bottom w:space="0" w:sz="4" w:color="auto" w:val="dotted"/>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1. Ulaganja u udjele (dionice) poduzetnika unutar grupe</w:t>
            </w:r>
          </w:p>
        </w:tc>
        <w:tc>
          <w:tcPr>
            <w:tcW w:type="pct" w:w="985"/>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4015"/>
            <w:tcBorders>
              <w:top w:space="0" w:sz="4" w:color="auto" w:val="dotted"/>
              <w:left w:space="0" w:sz="4" w:color="auto" w:val="single"/>
              <w:bottom w:space="0" w:sz="4" w:color="auto" w:val="dotted"/>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2. Ulaganja u ostale vrijednosne papire poduzetnika unutar grupe</w:t>
            </w:r>
          </w:p>
        </w:tc>
        <w:tc>
          <w:tcPr>
            <w:tcW w:type="pct" w:w="985"/>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4015"/>
            <w:tcBorders>
              <w:top w:space="0" w:sz="4" w:color="auto" w:val="dotted"/>
              <w:left w:space="0" w:sz="4" w:color="auto" w:val="single"/>
              <w:bottom w:space="0" w:sz="4" w:color="auto" w:val="dotted"/>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3. Dani zajmovi, depoziti i slično poduzetnicima unutar grupe</w:t>
            </w:r>
          </w:p>
        </w:tc>
        <w:tc>
          <w:tcPr>
            <w:tcW w:type="pct" w:w="985"/>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4015"/>
            <w:tcBorders>
              <w:top w:space="0" w:sz="4" w:color="auto" w:val="dotted"/>
              <w:left w:space="0" w:sz="4" w:color="auto" w:val="single"/>
              <w:bottom w:space="0" w:sz="4" w:color="auto" w:val="dotted"/>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4. Ulaganja u udjele (dionice) društava povezanih sudjelujućim interesom</w:t>
            </w:r>
          </w:p>
        </w:tc>
        <w:tc>
          <w:tcPr>
            <w:tcW w:type="pct" w:w="985"/>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4015"/>
            <w:tcBorders>
              <w:top w:space="0" w:sz="4" w:color="auto" w:val="dotted"/>
              <w:left w:space="0" w:sz="4" w:color="auto" w:val="single"/>
              <w:bottom w:space="0" w:sz="4" w:color="auto" w:val="dotted"/>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5. Ulaganja u ostale vrijednosne papire društava povezanih sudjelujućim interesom</w:t>
            </w:r>
          </w:p>
        </w:tc>
        <w:tc>
          <w:tcPr>
            <w:tcW w:type="pct" w:w="985"/>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4015"/>
            <w:tcBorders>
              <w:top w:space="0" w:sz="4" w:color="auto" w:val="dotted"/>
              <w:left w:space="0" w:sz="4" w:color="auto" w:val="single"/>
              <w:bottom w:space="0" w:sz="4" w:color="auto" w:val="dotted"/>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6. Dani zajmovi, depoziti i slično društvima povezanim sudjelujućim interesom</w:t>
            </w:r>
          </w:p>
        </w:tc>
        <w:tc>
          <w:tcPr>
            <w:tcW w:type="pct" w:w="985"/>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4015"/>
            <w:tcBorders>
              <w:top w:space="0" w:sz="4" w:color="auto" w:val="dotted"/>
              <w:left w:space="0" w:sz="4" w:color="auto" w:val="single"/>
              <w:bottom w:space="0" w:sz="4" w:color="auto" w:val="dotted"/>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7. Ulaganja u vrijednosne papire</w:t>
            </w:r>
          </w:p>
        </w:tc>
        <w:tc>
          <w:tcPr>
            <w:tcW w:type="pct" w:w="985"/>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4015"/>
            <w:tcBorders>
              <w:top w:space="0" w:sz="4" w:color="auto" w:val="dotted"/>
              <w:left w:space="0" w:sz="4" w:color="auto" w:val="single"/>
              <w:bottom w:space="0" w:sz="4" w:color="auto" w:val="dotted"/>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8. Dani zajmovi, depoziti i slično</w:t>
            </w:r>
          </w:p>
        </w:tc>
        <w:tc>
          <w:tcPr>
            <w:tcW w:type="pct" w:w="985"/>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4015"/>
            <w:tcBorders>
              <w:top w:space="0" w:sz="4" w:color="auto" w:val="dotted"/>
              <w:left w:space="0" w:sz="4" w:color="auto" w:val="single"/>
              <w:bottom w:space="0" w:sz="4" w:color="auto" w:val="dotted"/>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9. Ostala financijska imovina</w:t>
            </w:r>
          </w:p>
        </w:tc>
        <w:tc>
          <w:tcPr>
            <w:tcW w:type="pct" w:w="985"/>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4015"/>
            <w:tcBorders>
              <w:top w:space="0" w:sz="4" w:color="auto" w:val="dotted"/>
              <w:left w:space="0" w:sz="4" w:color="auto" w:val="single"/>
              <w:bottom w:space="0" w:sz="4" w:color="auto" w:val="dotted"/>
              <w:right w:space="0" w:sz="4" w:color="auto" w:val="single"/>
            </w:tcBorders>
            <w:vAlign w:val="center"/>
            <w:hideMark/>
          </w:tcPr>
          <w:p w:rsidRDefault="001E3364" w:rsidR="001E3364">
            <w:pPr>
              <w:spacing w:lineRule="auto" w:line="240" w:after="0"/>
              <w:rPr>
                <w:rFonts w:cs="Arial" w:eastAsia="Times New Roman" w:hAnsi="Arial" w:ascii="Arial"/>
                <w:color w:val="0000FF"/>
                <w:sz w:val="16"/>
                <w:szCs w:val="16"/>
                <w:lang w:eastAsia="hr-HR"/>
              </w:rPr>
            </w:pPr>
            <w:r>
              <w:rPr>
                <w:rFonts w:cs="Arial" w:eastAsia="Times New Roman" w:hAnsi="Arial" w:ascii="Arial"/>
                <w:color w:val="0000FF"/>
                <w:sz w:val="16"/>
                <w:szCs w:val="16"/>
                <w:lang w:eastAsia="hr-HR"/>
              </w:rPr>
              <w:t>IV. NOVAC U BANCI I BLAGAJNI</w:t>
            </w:r>
          </w:p>
        </w:tc>
        <w:tc>
          <w:tcPr>
            <w:tcW w:type="pct" w:w="985"/>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1.500.000</w:t>
            </w:r>
          </w:p>
        </w:tc>
      </w:tr>
      <w:tr w:rsidTr="001E3364" w:rsidR="001E3364">
        <w:trPr>
          <w:trHeight w:val="20"/>
        </w:trPr>
        <w:tc>
          <w:tcPr>
            <w:tcW w:type="pct" w:w="4015"/>
            <w:tcBorders>
              <w:top w:space="0" w:sz="4" w:color="auto" w:val="dotted"/>
              <w:left w:space="0" w:sz="4" w:color="auto" w:val="single"/>
              <w:bottom w:space="0" w:sz="4" w:color="auto" w:val="dotted"/>
              <w:right w:space="0" w:sz="4" w:color="auto" w:val="single"/>
            </w:tcBorders>
            <w:vAlign w:val="center"/>
            <w:hideMark/>
          </w:tcPr>
          <w:p w:rsidRDefault="001E3364" w:rsidR="001E3364">
            <w:pPr>
              <w:spacing w:lineRule="auto" w:line="240" w:after="0"/>
              <w:rPr>
                <w:rFonts w:cs="Arial" w:eastAsia="Times New Roman" w:hAnsi="Arial" w:ascii="Arial"/>
                <w:color w:val="0000FF"/>
                <w:sz w:val="16"/>
                <w:szCs w:val="16"/>
                <w:lang w:eastAsia="hr-HR"/>
              </w:rPr>
            </w:pPr>
            <w:r>
              <w:rPr>
                <w:rFonts w:cs="Arial" w:eastAsia="Times New Roman" w:hAnsi="Arial" w:ascii="Arial"/>
                <w:color w:val="0000FF"/>
                <w:sz w:val="16"/>
                <w:szCs w:val="16"/>
                <w:lang w:eastAsia="hr-HR"/>
              </w:rPr>
              <w:t>D)  PLAĆENI TROŠKOVI BUDUĆEG RAZDOBLJA I OBRAČUNATI PRIHODI</w:t>
            </w:r>
          </w:p>
        </w:tc>
        <w:tc>
          <w:tcPr>
            <w:tcW w:type="pct" w:w="985"/>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r>
      <w:tr w:rsidTr="001E3364" w:rsidR="001E3364">
        <w:trPr>
          <w:trHeight w:val="20"/>
        </w:trPr>
        <w:tc>
          <w:tcPr>
            <w:tcW w:type="pct" w:w="4015"/>
            <w:tcBorders>
              <w:top w:space="0" w:sz="4" w:color="auto" w:val="dotted"/>
              <w:left w:space="0" w:sz="4" w:color="auto" w:val="single"/>
              <w:bottom w:space="0" w:sz="4" w:color="auto" w:val="dotted"/>
              <w:right w:space="0" w:sz="4" w:color="auto" w:val="single"/>
            </w:tcBorders>
            <w:vAlign w:val="center"/>
            <w:hideMark/>
          </w:tcPr>
          <w:p w:rsidRDefault="001E3364" w:rsidR="001E3364">
            <w:pPr>
              <w:spacing w:lineRule="auto" w:line="240" w:after="0"/>
              <w:rPr>
                <w:rFonts w:cs="Arial" w:eastAsia="Times New Roman" w:hAnsi="Arial" w:ascii="Arial"/>
                <w:color w:val="0000FF"/>
                <w:sz w:val="16"/>
                <w:szCs w:val="16"/>
                <w:lang w:eastAsia="hr-HR"/>
              </w:rPr>
            </w:pPr>
            <w:r>
              <w:rPr>
                <w:rFonts w:cs="Arial" w:eastAsia="Times New Roman" w:hAnsi="Arial" w:ascii="Arial"/>
                <w:color w:val="0000FF"/>
                <w:sz w:val="16"/>
                <w:szCs w:val="16"/>
                <w:lang w:eastAsia="hr-HR"/>
              </w:rPr>
              <w:t xml:space="preserve">E)  UKUPNO AKTIVA </w:t>
            </w:r>
          </w:p>
        </w:tc>
        <w:tc>
          <w:tcPr>
            <w:tcW w:type="pct" w:w="985"/>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67.684.854</w:t>
            </w:r>
          </w:p>
        </w:tc>
      </w:tr>
      <w:tr w:rsidTr="001E3364" w:rsidR="001E3364">
        <w:trPr>
          <w:trHeight w:val="20"/>
        </w:trPr>
        <w:tc>
          <w:tcPr>
            <w:tcW w:type="pct" w:w="4015"/>
            <w:tcBorders>
              <w:top w:space="0" w:sz="4" w:color="auto" w:val="dotted"/>
              <w:left w:space="0" w:sz="4" w:color="auto" w:val="single"/>
              <w:bottom w:space="0" w:sz="4" w:color="auto" w:val="single"/>
              <w:right w:space="0" w:sz="4" w:color="auto" w:val="single"/>
            </w:tcBorders>
            <w:vAlign w:val="center"/>
            <w:hideMark/>
          </w:tcPr>
          <w:p w:rsidRDefault="001E3364" w:rsidR="001E3364">
            <w:pPr>
              <w:spacing w:lineRule="auto" w:line="240" w:after="0"/>
              <w:rPr>
                <w:rFonts w:cs="Arial" w:eastAsia="Times New Roman" w:hAnsi="Arial" w:ascii="Arial"/>
                <w:color w:val="0000FF"/>
                <w:sz w:val="16"/>
                <w:szCs w:val="16"/>
                <w:lang w:eastAsia="hr-HR"/>
              </w:rPr>
            </w:pPr>
            <w:r>
              <w:rPr>
                <w:rFonts w:cs="Arial" w:eastAsia="Times New Roman" w:hAnsi="Arial" w:ascii="Arial"/>
                <w:color w:val="0000FF"/>
                <w:sz w:val="16"/>
                <w:szCs w:val="16"/>
                <w:lang w:eastAsia="hr-HR"/>
              </w:rPr>
              <w:t>F)  IZVANBILANČNI ZAPISI</w:t>
            </w:r>
          </w:p>
        </w:tc>
        <w:tc>
          <w:tcPr>
            <w:tcW w:type="pct" w:w="985"/>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w:t>
            </w:r>
          </w:p>
        </w:tc>
      </w:tr>
    </w:tbl>
    <w:p w:rsidRDefault="001E3364" w:rsidP="001E3364" w:rsidR="001E3364">
      <w:pPr>
        <w:rPr>
          <w:sz w:val="24"/>
          <w:szCs w:val="24"/>
        </w:rPr>
      </w:pPr>
    </w:p>
    <w:p w:rsidRDefault="001E3364" w:rsidP="001E3364" w:rsidR="001E3364">
      <w:pPr>
        <w:rPr>
          <w:sz w:val="24"/>
          <w:szCs w:val="24"/>
        </w:rPr>
      </w:pPr>
      <w:r>
        <w:rPr>
          <w:sz w:val="24"/>
          <w:szCs w:val="24"/>
        </w:rPr>
        <w:br w:type="page"/>
      </w:r>
    </w:p>
    <w:tbl>
      <w:tblPr>
        <w:tblW w:type="pct" w:w="5000"/>
        <w:tblLook w:val="04A0" w:noVBand="1" w:noHBand="0" w:lastColumn="0" w:firstColumn="1" w:lastRow="0" w:firstRow="1"/>
      </w:tblPr>
      <w:tblGrid>
        <w:gridCol w:w="7458"/>
        <w:gridCol w:w="1830"/>
      </w:tblGrid>
      <w:tr w:rsidTr="001E3364" w:rsidR="001E3364">
        <w:trPr>
          <w:trHeight w:val="20"/>
          <w:tblHeader/>
        </w:trPr>
        <w:tc>
          <w:tcPr>
            <w:tcW w:type="pct" w:w="4015"/>
            <w:tcBorders>
              <w:top w:space="0" w:sz="4" w:color="auto" w:val="single"/>
              <w:left w:space="0" w:sz="4" w:color="auto" w:val="single"/>
              <w:bottom w:val="nil"/>
              <w:right w:val="nil"/>
            </w:tcBorders>
            <w:shd w:fill="969696" w:color="auto" w:val="clear"/>
            <w:vAlign w:val="center"/>
            <w:hideMark/>
          </w:tcPr>
          <w:p w:rsidRDefault="001E3364" w:rsidR="001E3364">
            <w:pPr>
              <w:spacing w:lineRule="auto" w:line="240" w:after="0"/>
              <w:jc w:val="center"/>
              <w:rPr>
                <w:rFonts w:cs="Calibri" w:eastAsia="Times New Roman" w:hAnsi="Calibri" w:ascii="Calibri"/>
                <w:b/>
                <w:bCs/>
                <w:color w:val="FFFFFF"/>
                <w:sz w:val="16"/>
                <w:szCs w:val="16"/>
                <w:lang w:eastAsia="hr-HR"/>
              </w:rPr>
            </w:pPr>
            <w:r>
              <w:rPr>
                <w:rFonts w:cs="Calibri" w:eastAsia="Times New Roman" w:hAnsi="Calibri" w:ascii="Calibri"/>
                <w:b/>
                <w:bCs/>
                <w:color w:val="FFFFFF"/>
                <w:sz w:val="16"/>
                <w:szCs w:val="16"/>
                <w:lang w:eastAsia="hr-HR"/>
              </w:rPr>
              <w:lastRenderedPageBreak/>
              <w:t>Naziv pozicije</w:t>
            </w:r>
          </w:p>
        </w:tc>
        <w:tc>
          <w:tcPr>
            <w:tcW w:type="pct" w:w="985"/>
            <w:tcBorders>
              <w:top w:space="0" w:sz="4" w:color="auto" w:val="single"/>
              <w:left w:space="0" w:sz="4" w:color="auto" w:val="single"/>
              <w:bottom w:space="0" w:sz="4" w:color="auto" w:val="single"/>
              <w:right w:val="nil"/>
            </w:tcBorders>
            <w:shd w:fill="969696" w:color="auto" w:val="clear"/>
            <w:vAlign w:val="center"/>
            <w:hideMark/>
          </w:tcPr>
          <w:p w:rsidRDefault="001E3364" w:rsidR="001E3364">
            <w:pPr>
              <w:spacing w:lineRule="auto" w:line="240" w:after="0"/>
              <w:jc w:val="center"/>
              <w:rPr>
                <w:rFonts w:cs="Calibri" w:eastAsia="Times New Roman" w:hAnsi="Calibri" w:ascii="Calibri"/>
                <w:b/>
                <w:bCs/>
                <w:color w:val="FFFFFF"/>
                <w:sz w:val="16"/>
                <w:szCs w:val="16"/>
                <w:lang w:eastAsia="hr-HR"/>
              </w:rPr>
            </w:pPr>
            <w:r>
              <w:rPr>
                <w:rFonts w:cs="Calibri" w:eastAsia="Times New Roman" w:hAnsi="Calibri" w:ascii="Calibri"/>
                <w:b/>
                <w:bCs/>
                <w:color w:val="FFFFFF"/>
                <w:sz w:val="16"/>
                <w:szCs w:val="16"/>
                <w:lang w:eastAsia="hr-HR"/>
              </w:rPr>
              <w:t>31.12.2024.</w:t>
            </w:r>
          </w:p>
        </w:tc>
      </w:tr>
      <w:tr w:rsidTr="001E3364" w:rsidR="001E3364">
        <w:trPr>
          <w:trHeight w:val="20"/>
        </w:trPr>
        <w:tc>
          <w:tcPr>
            <w:tcW w:type="pct" w:w="4015"/>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b/>
                <w:bCs/>
                <w:color w:val="000080"/>
                <w:sz w:val="16"/>
                <w:szCs w:val="16"/>
                <w:lang w:eastAsia="hr-HR"/>
              </w:rPr>
            </w:pPr>
            <w:r>
              <w:rPr>
                <w:rFonts w:cs="Calibri" w:eastAsia="Times New Roman" w:hAnsi="Calibri" w:ascii="Calibri"/>
                <w:b/>
                <w:bCs/>
                <w:color w:val="000080"/>
                <w:sz w:val="16"/>
                <w:szCs w:val="16"/>
                <w:lang w:eastAsia="hr-HR"/>
              </w:rPr>
              <w:t>PASIVA</w:t>
            </w:r>
          </w:p>
        </w:tc>
        <w:tc>
          <w:tcPr>
            <w:tcW w:type="pct" w:w="985"/>
            <w:tcBorders>
              <w:top w:space="0" w:sz="4" w:color="auto" w:val="single"/>
              <w:left w:space="0" w:sz="4" w:color="auto" w:val="single"/>
              <w:bottom w:space="0" w:sz="4" w:color="auto" w:val="single"/>
              <w:right w:space="0" w:sz="4" w:color="auto" w:val="single"/>
            </w:tcBorders>
            <w:noWrap/>
            <w:vAlign w:val="bottom"/>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w:t>
            </w:r>
          </w:p>
        </w:tc>
      </w:tr>
      <w:tr w:rsidTr="001E3364" w:rsidR="001E3364">
        <w:trPr>
          <w:trHeight w:val="20"/>
        </w:trPr>
        <w:tc>
          <w:tcPr>
            <w:tcW w:type="pct" w:w="4015"/>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b/>
                <w:bCs/>
                <w:sz w:val="16"/>
                <w:szCs w:val="16"/>
                <w:lang w:eastAsia="hr-HR"/>
              </w:rPr>
            </w:pPr>
            <w:r>
              <w:rPr>
                <w:rFonts w:cs="Calibri" w:eastAsia="Times New Roman" w:hAnsi="Calibri" w:ascii="Calibri"/>
                <w:b/>
                <w:bCs/>
                <w:sz w:val="16"/>
                <w:szCs w:val="16"/>
                <w:lang w:eastAsia="hr-HR"/>
              </w:rPr>
              <w:t>A)  KAPITAL I REZERVE</w:t>
            </w:r>
          </w:p>
        </w:tc>
        <w:tc>
          <w:tcPr>
            <w:tcW w:type="pct" w:w="985"/>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28.236.699</w:t>
            </w:r>
          </w:p>
        </w:tc>
      </w:tr>
      <w:tr w:rsidTr="001E3364" w:rsidR="001E3364">
        <w:trPr>
          <w:trHeight w:val="20"/>
        </w:trPr>
        <w:tc>
          <w:tcPr>
            <w:tcW w:type="pct" w:w="4015"/>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FF"/>
                <w:sz w:val="16"/>
                <w:szCs w:val="16"/>
                <w:lang w:eastAsia="hr-HR"/>
              </w:rPr>
            </w:pPr>
            <w:r>
              <w:rPr>
                <w:rFonts w:cs="Calibri" w:eastAsia="Times New Roman" w:hAnsi="Calibri" w:ascii="Calibri"/>
                <w:color w:val="0000FF"/>
                <w:sz w:val="16"/>
                <w:szCs w:val="16"/>
                <w:lang w:eastAsia="hr-HR"/>
              </w:rPr>
              <w:t>I. TEMELJNI (UPISANI) KAPITAL</w:t>
            </w:r>
          </w:p>
        </w:tc>
        <w:tc>
          <w:tcPr>
            <w:tcW w:type="pct" w:w="985"/>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10.424.900</w:t>
            </w:r>
          </w:p>
        </w:tc>
      </w:tr>
      <w:tr w:rsidTr="001E3364" w:rsidR="001E3364">
        <w:trPr>
          <w:trHeight w:val="20"/>
        </w:trPr>
        <w:tc>
          <w:tcPr>
            <w:tcW w:type="pct" w:w="4015"/>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FF"/>
                <w:sz w:val="16"/>
                <w:szCs w:val="16"/>
                <w:lang w:eastAsia="hr-HR"/>
              </w:rPr>
            </w:pPr>
            <w:r>
              <w:rPr>
                <w:rFonts w:cs="Calibri" w:eastAsia="Times New Roman" w:hAnsi="Calibri" w:ascii="Calibri"/>
                <w:color w:val="0000FF"/>
                <w:sz w:val="16"/>
                <w:szCs w:val="16"/>
                <w:lang w:eastAsia="hr-HR"/>
              </w:rPr>
              <w:t>II. KAPITALNE REZERVE</w:t>
            </w:r>
          </w:p>
        </w:tc>
        <w:tc>
          <w:tcPr>
            <w:tcW w:type="pct" w:w="985"/>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4015"/>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FF"/>
                <w:sz w:val="16"/>
                <w:szCs w:val="16"/>
                <w:lang w:eastAsia="hr-HR"/>
              </w:rPr>
            </w:pPr>
            <w:r>
              <w:rPr>
                <w:rFonts w:cs="Calibri" w:eastAsia="Times New Roman" w:hAnsi="Calibri" w:ascii="Calibri"/>
                <w:color w:val="0000FF"/>
                <w:sz w:val="16"/>
                <w:szCs w:val="16"/>
                <w:lang w:eastAsia="hr-HR"/>
              </w:rPr>
              <w:t>III. REZERVE IZ DOBITI</w:t>
            </w:r>
          </w:p>
        </w:tc>
        <w:tc>
          <w:tcPr>
            <w:tcW w:type="pct" w:w="985"/>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r>
      <w:tr w:rsidTr="001E3364" w:rsidR="001E3364">
        <w:trPr>
          <w:trHeight w:val="20"/>
        </w:trPr>
        <w:tc>
          <w:tcPr>
            <w:tcW w:type="pct" w:w="4015"/>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1. Zakonske rezerve</w:t>
            </w:r>
          </w:p>
        </w:tc>
        <w:tc>
          <w:tcPr>
            <w:tcW w:type="pct" w:w="985"/>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4015"/>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2. Rezerve za vlastite dionice</w:t>
            </w:r>
          </w:p>
        </w:tc>
        <w:tc>
          <w:tcPr>
            <w:tcW w:type="pct" w:w="985"/>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4015"/>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3. Vlastite dionice i udjeli (odbitna stavka)</w:t>
            </w:r>
          </w:p>
        </w:tc>
        <w:tc>
          <w:tcPr>
            <w:tcW w:type="pct" w:w="985"/>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4015"/>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4. Statutarne rezerve</w:t>
            </w:r>
          </w:p>
        </w:tc>
        <w:tc>
          <w:tcPr>
            <w:tcW w:type="pct" w:w="985"/>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4015"/>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5. Ostale rezerve</w:t>
            </w:r>
          </w:p>
        </w:tc>
        <w:tc>
          <w:tcPr>
            <w:tcW w:type="pct" w:w="985"/>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4015"/>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FF"/>
                <w:sz w:val="16"/>
                <w:szCs w:val="16"/>
                <w:lang w:eastAsia="hr-HR"/>
              </w:rPr>
            </w:pPr>
            <w:r>
              <w:rPr>
                <w:rFonts w:cs="Calibri" w:eastAsia="Times New Roman" w:hAnsi="Calibri" w:ascii="Calibri"/>
                <w:color w:val="0000FF"/>
                <w:sz w:val="16"/>
                <w:szCs w:val="16"/>
                <w:lang w:eastAsia="hr-HR"/>
              </w:rPr>
              <w:t>IV. REVALORIZACIJSKE REZERVE</w:t>
            </w:r>
          </w:p>
        </w:tc>
        <w:tc>
          <w:tcPr>
            <w:tcW w:type="pct" w:w="985"/>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4015"/>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FF"/>
                <w:sz w:val="16"/>
                <w:szCs w:val="16"/>
                <w:lang w:eastAsia="hr-HR"/>
              </w:rPr>
            </w:pPr>
            <w:r>
              <w:rPr>
                <w:rFonts w:cs="Calibri" w:eastAsia="Times New Roman" w:hAnsi="Calibri" w:ascii="Calibri"/>
                <w:color w:val="0000FF"/>
                <w:sz w:val="16"/>
                <w:szCs w:val="16"/>
                <w:lang w:eastAsia="hr-HR"/>
              </w:rPr>
              <w:t>V. REZERVE FER VRIJEDNOSTI</w:t>
            </w:r>
          </w:p>
        </w:tc>
        <w:tc>
          <w:tcPr>
            <w:tcW w:type="pct" w:w="985"/>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r>
      <w:tr w:rsidTr="001E3364" w:rsidR="001E3364">
        <w:trPr>
          <w:trHeight w:val="20"/>
        </w:trPr>
        <w:tc>
          <w:tcPr>
            <w:tcW w:type="pct" w:w="4015"/>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1. Fer vrijednost financijske imovine raspoložive za prodaju</w:t>
            </w:r>
          </w:p>
        </w:tc>
        <w:tc>
          <w:tcPr>
            <w:tcW w:type="pct" w:w="985"/>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4015"/>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2. Učinkoviti dio zaštite novčanih tokova</w:t>
            </w:r>
          </w:p>
        </w:tc>
        <w:tc>
          <w:tcPr>
            <w:tcW w:type="pct" w:w="985"/>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4015"/>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3. Učinkoviti dio zaštite neto ulaganja u inozemstvu</w:t>
            </w:r>
          </w:p>
        </w:tc>
        <w:tc>
          <w:tcPr>
            <w:tcW w:type="pct" w:w="985"/>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4015"/>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FF"/>
                <w:sz w:val="16"/>
                <w:szCs w:val="16"/>
                <w:lang w:eastAsia="hr-HR"/>
              </w:rPr>
            </w:pPr>
            <w:r>
              <w:rPr>
                <w:rFonts w:cs="Calibri" w:eastAsia="Times New Roman" w:hAnsi="Calibri" w:ascii="Calibri"/>
                <w:color w:val="0000FF"/>
                <w:sz w:val="16"/>
                <w:szCs w:val="16"/>
                <w:lang w:eastAsia="hr-HR"/>
              </w:rPr>
              <w:t>VI. ZADRŽANA DOBIT ILI PRENESENI GUBITAK</w:t>
            </w:r>
          </w:p>
        </w:tc>
        <w:tc>
          <w:tcPr>
            <w:tcW w:type="pct" w:w="985"/>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9.632.785</w:t>
            </w:r>
          </w:p>
        </w:tc>
      </w:tr>
      <w:tr w:rsidTr="001E3364" w:rsidR="001E3364">
        <w:trPr>
          <w:trHeight w:val="20"/>
        </w:trPr>
        <w:tc>
          <w:tcPr>
            <w:tcW w:type="pct" w:w="4015"/>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1. Zadržana dobit</w:t>
            </w:r>
          </w:p>
        </w:tc>
        <w:tc>
          <w:tcPr>
            <w:tcW w:type="pct" w:w="985"/>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9.632.785</w:t>
            </w:r>
          </w:p>
        </w:tc>
      </w:tr>
      <w:tr w:rsidTr="001E3364" w:rsidR="001E3364">
        <w:trPr>
          <w:trHeight w:val="20"/>
        </w:trPr>
        <w:tc>
          <w:tcPr>
            <w:tcW w:type="pct" w:w="4015"/>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2. Preneseni gubitak</w:t>
            </w:r>
          </w:p>
        </w:tc>
        <w:tc>
          <w:tcPr>
            <w:tcW w:type="pct" w:w="985"/>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4015"/>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FF"/>
                <w:sz w:val="16"/>
                <w:szCs w:val="16"/>
                <w:lang w:eastAsia="hr-HR"/>
              </w:rPr>
            </w:pPr>
            <w:r>
              <w:rPr>
                <w:rFonts w:cs="Calibri" w:eastAsia="Times New Roman" w:hAnsi="Calibri" w:ascii="Calibri"/>
                <w:color w:val="0000FF"/>
                <w:sz w:val="16"/>
                <w:szCs w:val="16"/>
                <w:lang w:eastAsia="hr-HR"/>
              </w:rPr>
              <w:t>VII. DOBIT ILI GUBITAK POSLOVNE GODINE</w:t>
            </w:r>
          </w:p>
        </w:tc>
        <w:tc>
          <w:tcPr>
            <w:tcW w:type="pct" w:w="985"/>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8.179.014</w:t>
            </w:r>
          </w:p>
        </w:tc>
      </w:tr>
      <w:tr w:rsidTr="001E3364" w:rsidR="001E3364">
        <w:trPr>
          <w:trHeight w:val="20"/>
        </w:trPr>
        <w:tc>
          <w:tcPr>
            <w:tcW w:type="pct" w:w="4015"/>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1. Dobit poslovne godine</w:t>
            </w:r>
          </w:p>
        </w:tc>
        <w:tc>
          <w:tcPr>
            <w:tcW w:type="pct" w:w="985"/>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8.179.014</w:t>
            </w:r>
          </w:p>
        </w:tc>
      </w:tr>
      <w:tr w:rsidTr="001E3364" w:rsidR="001E3364">
        <w:trPr>
          <w:trHeight w:val="20"/>
        </w:trPr>
        <w:tc>
          <w:tcPr>
            <w:tcW w:type="pct" w:w="4015"/>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2. Gubitak poslovne godine</w:t>
            </w:r>
          </w:p>
        </w:tc>
        <w:tc>
          <w:tcPr>
            <w:tcW w:type="pct" w:w="985"/>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4015"/>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FF"/>
                <w:sz w:val="16"/>
                <w:szCs w:val="16"/>
                <w:lang w:eastAsia="hr-HR"/>
              </w:rPr>
            </w:pPr>
            <w:r>
              <w:rPr>
                <w:rFonts w:cs="Calibri" w:eastAsia="Times New Roman" w:hAnsi="Calibri" w:ascii="Calibri"/>
                <w:color w:val="0000FF"/>
                <w:sz w:val="16"/>
                <w:szCs w:val="16"/>
                <w:lang w:eastAsia="hr-HR"/>
              </w:rPr>
              <w:t>VIII. MANJINSKI (NEKONTROLIRAJUĆI) INTERES</w:t>
            </w:r>
          </w:p>
        </w:tc>
        <w:tc>
          <w:tcPr>
            <w:tcW w:type="pct" w:w="985"/>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4015"/>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FF"/>
                <w:sz w:val="16"/>
                <w:szCs w:val="16"/>
                <w:lang w:eastAsia="hr-HR"/>
              </w:rPr>
            </w:pPr>
            <w:r>
              <w:rPr>
                <w:rFonts w:cs="Calibri" w:eastAsia="Times New Roman" w:hAnsi="Calibri" w:ascii="Calibri"/>
                <w:color w:val="0000FF"/>
                <w:sz w:val="16"/>
                <w:szCs w:val="16"/>
                <w:lang w:eastAsia="hr-HR"/>
              </w:rPr>
              <w:t xml:space="preserve">B)  REZERVIRANJA </w:t>
            </w:r>
          </w:p>
        </w:tc>
        <w:tc>
          <w:tcPr>
            <w:tcW w:type="pct" w:w="985"/>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r>
      <w:tr w:rsidTr="001E3364" w:rsidR="001E3364">
        <w:trPr>
          <w:trHeight w:val="20"/>
        </w:trPr>
        <w:tc>
          <w:tcPr>
            <w:tcW w:type="pct" w:w="4015"/>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1. Rezerviranja za mirovine, otpremnine i slične obveze</w:t>
            </w:r>
          </w:p>
        </w:tc>
        <w:tc>
          <w:tcPr>
            <w:tcW w:type="pct" w:w="985"/>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4015"/>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2. Rezerviranja za porezne obveze</w:t>
            </w:r>
          </w:p>
        </w:tc>
        <w:tc>
          <w:tcPr>
            <w:tcW w:type="pct" w:w="985"/>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4015"/>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3. Rezerviranja za započete sudske sporove</w:t>
            </w:r>
          </w:p>
        </w:tc>
        <w:tc>
          <w:tcPr>
            <w:tcW w:type="pct" w:w="985"/>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4015"/>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4. Rezerviranja za troškove obnavljanja prirodnih bogatstava</w:t>
            </w:r>
          </w:p>
        </w:tc>
        <w:tc>
          <w:tcPr>
            <w:tcW w:type="pct" w:w="985"/>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4015"/>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5. Rezerviranja za troškove u jamstvenim rokovima</w:t>
            </w:r>
          </w:p>
        </w:tc>
        <w:tc>
          <w:tcPr>
            <w:tcW w:type="pct" w:w="985"/>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4015"/>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6. Druga rezerviranja</w:t>
            </w:r>
          </w:p>
        </w:tc>
        <w:tc>
          <w:tcPr>
            <w:tcW w:type="pct" w:w="985"/>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4015"/>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FF"/>
                <w:sz w:val="16"/>
                <w:szCs w:val="16"/>
                <w:lang w:eastAsia="hr-HR"/>
              </w:rPr>
            </w:pPr>
            <w:r>
              <w:rPr>
                <w:rFonts w:cs="Calibri" w:eastAsia="Times New Roman" w:hAnsi="Calibri" w:ascii="Calibri"/>
                <w:color w:val="0000FF"/>
                <w:sz w:val="16"/>
                <w:szCs w:val="16"/>
                <w:lang w:eastAsia="hr-HR"/>
              </w:rPr>
              <w:t>C)  DUGOROČNE OBVEZE</w:t>
            </w:r>
          </w:p>
        </w:tc>
        <w:tc>
          <w:tcPr>
            <w:tcW w:type="pct" w:w="985"/>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19.690.838</w:t>
            </w:r>
          </w:p>
        </w:tc>
      </w:tr>
      <w:tr w:rsidTr="001E3364" w:rsidR="001E3364">
        <w:trPr>
          <w:trHeight w:val="20"/>
        </w:trPr>
        <w:tc>
          <w:tcPr>
            <w:tcW w:type="pct" w:w="4015"/>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1. Obveze prema poduzetnicima unutar grupe </w:t>
            </w:r>
          </w:p>
        </w:tc>
        <w:tc>
          <w:tcPr>
            <w:tcW w:type="pct" w:w="985"/>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4015"/>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2. Obveze za zajmove, depozite i slično poduzetnika unutar grupe</w:t>
            </w:r>
          </w:p>
        </w:tc>
        <w:tc>
          <w:tcPr>
            <w:tcW w:type="pct" w:w="985"/>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4015"/>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3. Obveze prema društvima povezanim sudjelujućim interesom </w:t>
            </w:r>
          </w:p>
        </w:tc>
        <w:tc>
          <w:tcPr>
            <w:tcW w:type="pct" w:w="985"/>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4015"/>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4. Obveze za zajmove, depozite i slično društava povezanih sudjelujućim interesom</w:t>
            </w:r>
          </w:p>
        </w:tc>
        <w:tc>
          <w:tcPr>
            <w:tcW w:type="pct" w:w="985"/>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4015"/>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5. Obveze za zajmove, depozite i slično</w:t>
            </w:r>
          </w:p>
        </w:tc>
        <w:tc>
          <w:tcPr>
            <w:tcW w:type="pct" w:w="985"/>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6.781.944</w:t>
            </w:r>
          </w:p>
        </w:tc>
      </w:tr>
      <w:tr w:rsidTr="001E3364" w:rsidR="001E3364">
        <w:trPr>
          <w:trHeight w:val="20"/>
        </w:trPr>
        <w:tc>
          <w:tcPr>
            <w:tcW w:type="pct" w:w="4015"/>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6. Obveze prema bankama i drugim financijskim institucijama</w:t>
            </w:r>
          </w:p>
        </w:tc>
        <w:tc>
          <w:tcPr>
            <w:tcW w:type="pct" w:w="985"/>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12.908.894</w:t>
            </w:r>
          </w:p>
        </w:tc>
      </w:tr>
      <w:tr w:rsidTr="001E3364" w:rsidR="001E3364">
        <w:trPr>
          <w:trHeight w:val="20"/>
        </w:trPr>
        <w:tc>
          <w:tcPr>
            <w:tcW w:type="pct" w:w="4015"/>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7. Obveze za predujmove</w:t>
            </w:r>
          </w:p>
        </w:tc>
        <w:tc>
          <w:tcPr>
            <w:tcW w:type="pct" w:w="985"/>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4015"/>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8. Obveze prema dobavljačima</w:t>
            </w:r>
          </w:p>
        </w:tc>
        <w:tc>
          <w:tcPr>
            <w:tcW w:type="pct" w:w="985"/>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4015"/>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9. Obveze po vrijednosnim papirima</w:t>
            </w:r>
          </w:p>
        </w:tc>
        <w:tc>
          <w:tcPr>
            <w:tcW w:type="pct" w:w="985"/>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4015"/>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10. Ostale dugoročne obveze</w:t>
            </w:r>
          </w:p>
        </w:tc>
        <w:tc>
          <w:tcPr>
            <w:tcW w:type="pct" w:w="985"/>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4015"/>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11. Odgođena porezna obveza</w:t>
            </w:r>
          </w:p>
        </w:tc>
        <w:tc>
          <w:tcPr>
            <w:tcW w:type="pct" w:w="985"/>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r>
    </w:tbl>
    <w:p w:rsidRDefault="001E3364" w:rsidP="001E3364" w:rsidR="001E3364">
      <w:r>
        <w:br w:type="page"/>
      </w:r>
    </w:p>
    <w:tbl>
      <w:tblPr>
        <w:tblW w:type="pct" w:w="5000"/>
        <w:tblLook w:val="04A0" w:noVBand="1" w:noHBand="0" w:lastColumn="0" w:firstColumn="1" w:lastRow="0" w:firstRow="1"/>
      </w:tblPr>
      <w:tblGrid>
        <w:gridCol w:w="7458"/>
        <w:gridCol w:w="1830"/>
      </w:tblGrid>
      <w:tr w:rsidTr="001E3364" w:rsidR="001E3364">
        <w:trPr>
          <w:trHeight w:val="20"/>
          <w:tblHeader/>
        </w:trPr>
        <w:tc>
          <w:tcPr>
            <w:tcW w:type="pct" w:w="4015"/>
            <w:tcBorders>
              <w:top w:space="0" w:sz="4" w:color="auto" w:val="single"/>
              <w:left w:space="0" w:sz="4" w:color="auto" w:val="single"/>
              <w:bottom w:val="nil"/>
              <w:right w:val="nil"/>
            </w:tcBorders>
            <w:shd w:fill="969696" w:color="auto" w:val="clear"/>
            <w:vAlign w:val="center"/>
            <w:hideMark/>
          </w:tcPr>
          <w:p w:rsidRDefault="001E3364" w:rsidR="001E3364">
            <w:pPr>
              <w:spacing w:lineRule="auto" w:line="240" w:after="0"/>
              <w:jc w:val="center"/>
              <w:rPr>
                <w:rFonts w:cs="Calibri" w:eastAsia="Times New Roman" w:hAnsi="Calibri" w:ascii="Calibri"/>
                <w:b/>
                <w:bCs/>
                <w:color w:val="FFFFFF"/>
                <w:sz w:val="16"/>
                <w:szCs w:val="16"/>
                <w:lang w:eastAsia="hr-HR"/>
              </w:rPr>
            </w:pPr>
            <w:r>
              <w:rPr>
                <w:rFonts w:cs="Calibri" w:eastAsia="Times New Roman" w:hAnsi="Calibri" w:ascii="Calibri"/>
                <w:b/>
                <w:bCs/>
                <w:color w:val="FFFFFF"/>
                <w:sz w:val="16"/>
                <w:szCs w:val="16"/>
                <w:lang w:eastAsia="hr-HR"/>
              </w:rPr>
              <w:lastRenderedPageBreak/>
              <w:t>Naziv pozicije</w:t>
            </w:r>
          </w:p>
        </w:tc>
        <w:tc>
          <w:tcPr>
            <w:tcW w:type="pct" w:w="985"/>
            <w:tcBorders>
              <w:top w:space="0" w:sz="4" w:color="auto" w:val="single"/>
              <w:left w:space="0" w:sz="4" w:color="auto" w:val="single"/>
              <w:bottom w:space="0" w:sz="4" w:color="auto" w:val="single"/>
              <w:right w:val="nil"/>
            </w:tcBorders>
            <w:shd w:fill="969696" w:color="auto" w:val="clear"/>
            <w:vAlign w:val="center"/>
            <w:hideMark/>
          </w:tcPr>
          <w:p w:rsidRDefault="001E3364" w:rsidR="001E3364">
            <w:pPr>
              <w:spacing w:lineRule="auto" w:line="240" w:after="0"/>
              <w:jc w:val="center"/>
              <w:rPr>
                <w:rFonts w:cs="Calibri" w:eastAsia="Times New Roman" w:hAnsi="Calibri" w:ascii="Calibri"/>
                <w:b/>
                <w:bCs/>
                <w:color w:val="FFFFFF"/>
                <w:sz w:val="16"/>
                <w:szCs w:val="16"/>
                <w:lang w:eastAsia="hr-HR"/>
              </w:rPr>
            </w:pPr>
            <w:r>
              <w:rPr>
                <w:rFonts w:cs="Calibri" w:eastAsia="Times New Roman" w:hAnsi="Calibri" w:ascii="Calibri"/>
                <w:b/>
                <w:bCs/>
                <w:color w:val="FFFFFF"/>
                <w:sz w:val="16"/>
                <w:szCs w:val="16"/>
                <w:lang w:eastAsia="hr-HR"/>
              </w:rPr>
              <w:t>31.12.2024.</w:t>
            </w:r>
          </w:p>
        </w:tc>
      </w:tr>
      <w:tr w:rsidTr="001E3364" w:rsidR="001E3364">
        <w:trPr>
          <w:trHeight w:val="20"/>
        </w:trPr>
        <w:tc>
          <w:tcPr>
            <w:tcW w:type="pct" w:w="4015"/>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FF"/>
                <w:sz w:val="16"/>
                <w:szCs w:val="16"/>
                <w:lang w:eastAsia="hr-HR"/>
              </w:rPr>
            </w:pPr>
            <w:r>
              <w:rPr>
                <w:rFonts w:cs="Calibri" w:eastAsia="Times New Roman" w:hAnsi="Calibri" w:ascii="Calibri"/>
                <w:color w:val="0000FF"/>
                <w:sz w:val="16"/>
                <w:szCs w:val="16"/>
                <w:lang w:eastAsia="hr-HR"/>
              </w:rPr>
              <w:t>D)  KRATKOROČNE OBVEZE</w:t>
            </w:r>
          </w:p>
        </w:tc>
        <w:tc>
          <w:tcPr>
            <w:tcW w:type="pct" w:w="985"/>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19.757.317</w:t>
            </w:r>
          </w:p>
        </w:tc>
      </w:tr>
      <w:tr w:rsidTr="001E3364" w:rsidR="001E3364">
        <w:trPr>
          <w:trHeight w:val="20"/>
        </w:trPr>
        <w:tc>
          <w:tcPr>
            <w:tcW w:type="pct" w:w="4015"/>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1. Obveze prema poduzetnicima unutar grupe </w:t>
            </w:r>
          </w:p>
        </w:tc>
        <w:tc>
          <w:tcPr>
            <w:tcW w:type="pct" w:w="985"/>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4015"/>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2. Obveze za zajmove, depozite i slično poduzetnika unutar grupe</w:t>
            </w:r>
          </w:p>
        </w:tc>
        <w:tc>
          <w:tcPr>
            <w:tcW w:type="pct" w:w="985"/>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4015"/>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3. Obveze prema društvima povezanim sudjelujućim interesom </w:t>
            </w:r>
          </w:p>
        </w:tc>
        <w:tc>
          <w:tcPr>
            <w:tcW w:type="pct" w:w="985"/>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4015"/>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4. Obveze za zajmove, depozite i slično društava povezanih sudjelujućim interesom</w:t>
            </w:r>
          </w:p>
        </w:tc>
        <w:tc>
          <w:tcPr>
            <w:tcW w:type="pct" w:w="985"/>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4015"/>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5. Obveze za zajmove, depozite i slično</w:t>
            </w:r>
          </w:p>
        </w:tc>
        <w:tc>
          <w:tcPr>
            <w:tcW w:type="pct" w:w="985"/>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3.390.972</w:t>
            </w:r>
          </w:p>
        </w:tc>
      </w:tr>
      <w:tr w:rsidTr="001E3364" w:rsidR="001E3364">
        <w:trPr>
          <w:trHeight w:val="20"/>
        </w:trPr>
        <w:tc>
          <w:tcPr>
            <w:tcW w:type="pct" w:w="4015"/>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6. Obveze prema bankama i drugim financijskim institucijama</w:t>
            </w:r>
          </w:p>
        </w:tc>
        <w:tc>
          <w:tcPr>
            <w:tcW w:type="pct" w:w="985"/>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6.454.447</w:t>
            </w:r>
          </w:p>
        </w:tc>
      </w:tr>
      <w:tr w:rsidTr="001E3364" w:rsidR="001E3364">
        <w:trPr>
          <w:trHeight w:val="20"/>
        </w:trPr>
        <w:tc>
          <w:tcPr>
            <w:tcW w:type="pct" w:w="4015"/>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7. Obveze za predujmove</w:t>
            </w:r>
          </w:p>
        </w:tc>
        <w:tc>
          <w:tcPr>
            <w:tcW w:type="pct" w:w="985"/>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500.000</w:t>
            </w:r>
          </w:p>
        </w:tc>
      </w:tr>
      <w:tr w:rsidTr="001E3364" w:rsidR="001E3364">
        <w:trPr>
          <w:trHeight w:val="20"/>
        </w:trPr>
        <w:tc>
          <w:tcPr>
            <w:tcW w:type="pct" w:w="4015"/>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8. Obveze prema dobavljačima</w:t>
            </w:r>
          </w:p>
        </w:tc>
        <w:tc>
          <w:tcPr>
            <w:tcW w:type="pct" w:w="985"/>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8.428.565</w:t>
            </w:r>
          </w:p>
        </w:tc>
      </w:tr>
      <w:tr w:rsidTr="001E3364" w:rsidR="001E3364">
        <w:trPr>
          <w:trHeight w:val="20"/>
        </w:trPr>
        <w:tc>
          <w:tcPr>
            <w:tcW w:type="pct" w:w="4015"/>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9. Obveze po vrijednosnim papirima</w:t>
            </w:r>
          </w:p>
        </w:tc>
        <w:tc>
          <w:tcPr>
            <w:tcW w:type="pct" w:w="985"/>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4015"/>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10. Obveze prema zaposlenicima</w:t>
            </w:r>
          </w:p>
        </w:tc>
        <w:tc>
          <w:tcPr>
            <w:tcW w:type="pct" w:w="985"/>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250.000</w:t>
            </w:r>
          </w:p>
        </w:tc>
      </w:tr>
      <w:tr w:rsidTr="001E3364" w:rsidR="001E3364">
        <w:trPr>
          <w:trHeight w:val="20"/>
        </w:trPr>
        <w:tc>
          <w:tcPr>
            <w:tcW w:type="pct" w:w="4015"/>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11. Obveze  za poreze, doprinose i slična davanja</w:t>
            </w:r>
          </w:p>
        </w:tc>
        <w:tc>
          <w:tcPr>
            <w:tcW w:type="pct" w:w="985"/>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733.333</w:t>
            </w:r>
          </w:p>
        </w:tc>
      </w:tr>
      <w:tr w:rsidTr="001E3364" w:rsidR="001E3364">
        <w:trPr>
          <w:trHeight w:val="20"/>
        </w:trPr>
        <w:tc>
          <w:tcPr>
            <w:tcW w:type="pct" w:w="4015"/>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12. Obveze s osnove udjela u rezultatu</w:t>
            </w:r>
          </w:p>
        </w:tc>
        <w:tc>
          <w:tcPr>
            <w:tcW w:type="pct" w:w="985"/>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4015"/>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13. Obveze po osnovi dugotrajne imovine namijenjene prodaji</w:t>
            </w:r>
          </w:p>
        </w:tc>
        <w:tc>
          <w:tcPr>
            <w:tcW w:type="pct" w:w="985"/>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4015"/>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xml:space="preserve">   14. Ostale kratkoročne obveze</w:t>
            </w:r>
          </w:p>
        </w:tc>
        <w:tc>
          <w:tcPr>
            <w:tcW w:type="pct" w:w="985"/>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rPr>
                <w:rFonts w:cs="Calibri" w:hAnsi="Calibri" w:ascii="Calibri"/>
                <w:sz w:val="16"/>
                <w:szCs w:val="16"/>
              </w:rPr>
            </w:pPr>
            <w:r>
              <w:rPr>
                <w:rFonts w:cs="Calibri" w:hAnsi="Calibri" w:ascii="Calibri"/>
                <w:sz w:val="16"/>
                <w:szCs w:val="16"/>
              </w:rPr>
              <w:t> </w:t>
            </w:r>
          </w:p>
        </w:tc>
      </w:tr>
      <w:tr w:rsidTr="001E3364" w:rsidR="001E3364">
        <w:trPr>
          <w:trHeight w:val="20"/>
        </w:trPr>
        <w:tc>
          <w:tcPr>
            <w:tcW w:type="pct" w:w="4015"/>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FF"/>
                <w:sz w:val="16"/>
                <w:szCs w:val="16"/>
                <w:lang w:eastAsia="hr-HR"/>
              </w:rPr>
            </w:pPr>
            <w:r>
              <w:rPr>
                <w:rFonts w:cs="Calibri" w:eastAsia="Times New Roman" w:hAnsi="Calibri" w:ascii="Calibri"/>
                <w:color w:val="0000FF"/>
                <w:sz w:val="16"/>
                <w:szCs w:val="16"/>
                <w:lang w:eastAsia="hr-HR"/>
              </w:rPr>
              <w:t>E) ODGOĐENO PLAĆANJE TROŠKOVA I PRIHOD BUDUĆEGA RAZDOBLJA</w:t>
            </w:r>
          </w:p>
        </w:tc>
        <w:tc>
          <w:tcPr>
            <w:tcW w:type="pct" w:w="985"/>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0</w:t>
            </w:r>
          </w:p>
        </w:tc>
      </w:tr>
      <w:tr w:rsidTr="001E3364" w:rsidR="001E3364">
        <w:trPr>
          <w:trHeight w:val="20"/>
        </w:trPr>
        <w:tc>
          <w:tcPr>
            <w:tcW w:type="pct" w:w="4015"/>
            <w:tcBorders>
              <w:top w:val="nil"/>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FF"/>
                <w:sz w:val="16"/>
                <w:szCs w:val="16"/>
                <w:lang w:eastAsia="hr-HR"/>
              </w:rPr>
            </w:pPr>
            <w:r>
              <w:rPr>
                <w:rFonts w:cs="Calibri" w:eastAsia="Times New Roman" w:hAnsi="Calibri" w:ascii="Calibri"/>
                <w:color w:val="0000FF"/>
                <w:sz w:val="16"/>
                <w:szCs w:val="16"/>
                <w:lang w:eastAsia="hr-HR"/>
              </w:rPr>
              <w:t>F) UKUPNO – PASIVA</w:t>
            </w:r>
          </w:p>
        </w:tc>
        <w:tc>
          <w:tcPr>
            <w:tcW w:type="pct" w:w="985"/>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after="0"/>
              <w:jc w:val="right"/>
              <w:rPr>
                <w:rFonts w:cs="Calibri" w:hAnsi="Calibri" w:ascii="Calibri"/>
                <w:sz w:val="16"/>
                <w:szCs w:val="16"/>
              </w:rPr>
            </w:pPr>
            <w:r>
              <w:rPr>
                <w:rFonts w:cs="Calibri" w:hAnsi="Calibri" w:ascii="Calibri"/>
                <w:sz w:val="16"/>
                <w:szCs w:val="16"/>
              </w:rPr>
              <w:t>67.684.854</w:t>
            </w:r>
          </w:p>
        </w:tc>
      </w:tr>
      <w:tr w:rsidTr="001E3364" w:rsidR="001E3364">
        <w:trPr>
          <w:trHeight w:val="20"/>
        </w:trPr>
        <w:tc>
          <w:tcPr>
            <w:tcW w:type="pct" w:w="4015"/>
            <w:tcBorders>
              <w:top w:val="nil"/>
              <w:left w:space="0" w:sz="4" w:color="auto" w:val="single"/>
              <w:bottom w:space="0" w:sz="4" w:color="000000" w:val="single"/>
              <w:right w:space="0" w:sz="4" w:color="auto" w:val="single"/>
            </w:tcBorders>
            <w:vAlign w:val="center"/>
            <w:hideMark/>
          </w:tcPr>
          <w:p w:rsidRDefault="001E3364" w:rsidR="001E3364">
            <w:pPr>
              <w:spacing w:lineRule="auto" w:line="240" w:after="0"/>
              <w:rPr>
                <w:rFonts w:cs="Calibri" w:eastAsia="Times New Roman" w:hAnsi="Calibri" w:ascii="Calibri"/>
                <w:color w:val="0000FF"/>
                <w:sz w:val="16"/>
                <w:szCs w:val="16"/>
                <w:lang w:eastAsia="hr-HR"/>
              </w:rPr>
            </w:pPr>
            <w:r>
              <w:rPr>
                <w:rFonts w:cs="Calibri" w:eastAsia="Times New Roman" w:hAnsi="Calibri" w:ascii="Calibri"/>
                <w:color w:val="0000FF"/>
                <w:sz w:val="16"/>
                <w:szCs w:val="16"/>
                <w:lang w:eastAsia="hr-HR"/>
              </w:rPr>
              <w:t>G)  IZVANBILANČNI ZAPISI</w:t>
            </w:r>
          </w:p>
        </w:tc>
        <w:tc>
          <w:tcPr>
            <w:tcW w:type="pct" w:w="985"/>
            <w:tcBorders>
              <w:top w:space="0" w:sz="4" w:color="auto" w:val="single"/>
              <w:left w:space="0" w:sz="4" w:color="auto" w:val="single"/>
              <w:bottom w:space="0" w:sz="4" w:color="auto" w:val="single"/>
              <w:right w:space="0" w:sz="4" w:color="auto" w:val="single"/>
            </w:tcBorders>
            <w:shd w:fill="auto" w:color="C0C0C0" w:val="pct25"/>
            <w:noWrap/>
            <w:vAlign w:val="center"/>
            <w:hideMark/>
          </w:tcPr>
          <w:p w:rsidRDefault="001E3364" w:rsidR="001E3364">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 </w:t>
            </w:r>
          </w:p>
        </w:tc>
      </w:tr>
    </w:tbl>
    <w:p w:rsidRDefault="001E3364" w:rsidP="001E3364" w:rsidR="001E3364">
      <w:pPr>
        <w:pStyle w:val="Style1"/>
        <w:tabs>
          <w:tab w:pos="2604" w:val="left"/>
          <w:tab w:pos="3048" w:val="left"/>
        </w:tabs>
        <w:adjustRightInd/>
        <w:spacing w:after="240"/>
        <w:rPr>
          <w:rFonts w:hAnsiTheme="minorHAnsi" w:asciiTheme="minorHAnsi" w:cs="Arial"/>
          <w:b/>
          <w:sz w:val="24"/>
          <w:szCs w:val="24"/>
          <w:lang w:val="hr-HR"/>
        </w:rPr>
      </w:pPr>
    </w:p>
    <w:p w:rsidRDefault="001E3364" w:rsidP="001E3364" w:rsidR="001E3364">
      <w:pPr>
        <w:spacing w:after="0"/>
        <w:rPr>
          <w:rFonts w:cstheme="majorBidi" w:eastAsiaTheme="majorEastAsia"/>
          <w:b/>
          <w:bCs/>
          <w:color w:themeShade="BF" w:themeColor="accent1" w:val="365F91"/>
          <w:sz w:val="24"/>
          <w:szCs w:val="24"/>
        </w:rPr>
        <w:sectPr w:rsidR="001E3364">
          <w:pgSz w:h="16838" w:w="11906"/>
          <w:pgMar w:gutter="0" w:footer="133" w:header="708" w:left="1417" w:bottom="1135" w:right="1417" w:top="1417"/>
          <w:cols w:space="720"/>
        </w:sectPr>
      </w:pPr>
    </w:p>
    <w:p w:rsidRDefault="001E3364" w:rsidP="001E3364" w:rsidR="001E3364">
      <w:pPr>
        <w:pStyle w:val="Naslov1"/>
        <w:numPr>
          <w:ilvl w:val="0"/>
          <w:numId w:val="2"/>
        </w:numPr>
        <w:rPr>
          <w:rFonts w:hAnsiTheme="minorHAnsi" w:asciiTheme="minorHAnsi"/>
          <w:sz w:val="24"/>
          <w:szCs w:val="24"/>
        </w:rPr>
      </w:pPr>
      <w:bookmarkStart w:name="_Toc521023692" w:id="13"/>
      <w:r>
        <w:rPr>
          <w:rFonts w:hAnsiTheme="minorHAnsi" w:asciiTheme="minorHAnsi"/>
          <w:sz w:val="24"/>
          <w:szCs w:val="24"/>
        </w:rPr>
        <w:lastRenderedPageBreak/>
        <w:t>Analiza svih tražbina prema visini i vrsti (tražbine radnika i prijašnjih dužnikovih radnika, tražbine za koje se vodi postupak, neosigurane tražbine i druge tražbine)</w:t>
      </w:r>
      <w:bookmarkEnd w:id="13"/>
    </w:p>
    <w:p w:rsidRDefault="001E3364" w:rsidP="001E3364" w:rsidR="001E3364">
      <w:pPr>
        <w:jc w:val="both"/>
        <w:rPr>
          <w:rFonts w:cs="Times New Roman" w:eastAsia="Times New Roman"/>
          <w:color w:val="000000"/>
          <w:sz w:val="24"/>
          <w:szCs w:val="24"/>
          <w:lang w:eastAsia="hr-HR"/>
        </w:rPr>
      </w:pPr>
      <w:r>
        <w:rPr>
          <w:rFonts w:cs="Times New Roman" w:eastAsia="Times New Roman"/>
          <w:color w:val="000000"/>
          <w:sz w:val="24"/>
          <w:szCs w:val="24"/>
          <w:lang w:eastAsia="hr-HR"/>
        </w:rPr>
        <w:t>Rekapitulacija vjerovnika po kategorijama je sljedeća:</w:t>
      </w:r>
    </w:p>
    <w:tbl>
      <w:tblPr>
        <w:tblW w:type="pct" w:w="4957"/>
        <w:tblLook w:val="04A0" w:noVBand="1" w:noHBand="0" w:lastColumn="0" w:firstColumn="1" w:lastRow="0" w:firstRow="1"/>
      </w:tblPr>
      <w:tblGrid>
        <w:gridCol w:w="304"/>
        <w:gridCol w:w="4851"/>
        <w:gridCol w:w="1084"/>
        <w:gridCol w:w="1168"/>
        <w:gridCol w:w="1492"/>
        <w:gridCol w:w="790"/>
        <w:gridCol w:w="1084"/>
        <w:gridCol w:w="1219"/>
        <w:gridCol w:w="979"/>
        <w:gridCol w:w="933"/>
        <w:gridCol w:w="983"/>
        <w:gridCol w:w="958"/>
        <w:gridCol w:w="2786"/>
        <w:gridCol w:w="1168"/>
        <w:gridCol w:w="1215"/>
      </w:tblGrid>
      <w:tr w:rsidTr="001E3364" w:rsidR="001E3364">
        <w:trPr>
          <w:trHeight w:val="20"/>
        </w:trPr>
        <w:tc>
          <w:tcPr>
            <w:tcW w:type="pct" w:w="72"/>
            <w:tcBorders>
              <w:top w:space="0" w:sz="8" w:color="95B3D7" w:val="single"/>
              <w:left w:space="0" w:sz="8" w:color="95B3D7" w:val="single"/>
              <w:bottom w:space="0" w:sz="8" w:color="95B3D7" w:val="single"/>
              <w:right w:space="0" w:sz="8" w:color="95B3D7" w:val="single"/>
            </w:tcBorders>
            <w:shd w:fill="95B3D7" w:color="auto" w:val="clear"/>
            <w:noWrap/>
            <w:vAlign w:val="center"/>
            <w:hideMark/>
          </w:tcPr>
          <w:p w:rsidRDefault="001E3364" w:rsidR="001E3364">
            <w:pPr>
              <w:spacing w:lineRule="auto" w:line="240" w:after="0"/>
              <w:jc w:val="center"/>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 </w:t>
            </w:r>
          </w:p>
        </w:tc>
        <w:tc>
          <w:tcPr>
            <w:tcW w:type="pct" w:w="1154"/>
            <w:tcBorders>
              <w:top w:space="0" w:sz="8" w:color="95B3D7" w:val="single"/>
              <w:left w:val="nil"/>
              <w:bottom w:space="0" w:sz="8" w:color="95B3D7" w:val="single"/>
              <w:right w:space="0" w:sz="8" w:color="95B3D7" w:val="single"/>
            </w:tcBorders>
            <w:shd w:fill="95B3D7" w:color="auto" w:val="clear"/>
            <w:noWrap/>
            <w:vAlign w:val="center"/>
            <w:hideMark/>
          </w:tcPr>
          <w:p w:rsidRDefault="001E3364" w:rsidR="001E3364">
            <w:pPr>
              <w:spacing w:lineRule="auto" w:line="240" w:after="0"/>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U kn</w:t>
            </w:r>
          </w:p>
        </w:tc>
        <w:tc>
          <w:tcPr>
            <w:tcW w:type="pct" w:w="891"/>
            <w:gridSpan w:val="3"/>
            <w:tcBorders>
              <w:top w:space="0" w:sz="8" w:color="95B3D7" w:val="single"/>
              <w:left w:val="nil"/>
              <w:bottom w:space="0" w:sz="8" w:color="95B3D7" w:val="single"/>
              <w:right w:space="0" w:sz="8" w:color="95B3D7" w:val="single"/>
            </w:tcBorders>
            <w:shd w:fill="95B3D7" w:color="auto" w:val="clear"/>
            <w:vAlign w:val="center"/>
            <w:hideMark/>
          </w:tcPr>
          <w:p w:rsidRDefault="001E3364" w:rsidR="001E3364">
            <w:pPr>
              <w:spacing w:lineRule="auto" w:line="240" w:after="0"/>
              <w:jc w:val="center"/>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IZNOS UTVRĐENE TRAŽBINE NA DAN 06.07.2018.</w:t>
            </w:r>
          </w:p>
        </w:tc>
        <w:tc>
          <w:tcPr>
            <w:tcW w:type="pct" w:w="736"/>
            <w:gridSpan w:val="3"/>
            <w:tcBorders>
              <w:top w:space="0" w:sz="8" w:color="95B3D7" w:val="single"/>
              <w:left w:val="nil"/>
              <w:bottom w:space="0" w:sz="8" w:color="95B3D7" w:val="single"/>
              <w:right w:space="0" w:sz="8" w:color="95B3D7" w:val="single"/>
            </w:tcBorders>
            <w:shd w:fill="95B3D7" w:color="auto" w:val="clear"/>
            <w:vAlign w:val="center"/>
            <w:hideMark/>
          </w:tcPr>
          <w:p w:rsidRDefault="001E3364" w:rsidR="001E3364">
            <w:pPr>
              <w:spacing w:lineRule="auto" w:line="240" w:after="0"/>
              <w:jc w:val="center"/>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IZNOS ZA OTPLATU NAKON NAGODBE</w:t>
            </w:r>
          </w:p>
        </w:tc>
        <w:tc>
          <w:tcPr>
            <w:tcW w:type="pct" w:w="233"/>
            <w:tcBorders>
              <w:top w:space="0" w:sz="8" w:color="95B3D7" w:val="single"/>
              <w:left w:val="nil"/>
              <w:bottom w:space="0" w:sz="8" w:color="95B3D7" w:val="single"/>
              <w:right w:space="0" w:sz="8" w:color="95B3D7" w:val="single"/>
            </w:tcBorders>
            <w:shd w:fill="95B3D7" w:color="auto" w:val="clear"/>
            <w:vAlign w:val="center"/>
            <w:hideMark/>
          </w:tcPr>
          <w:p w:rsidRDefault="001E3364" w:rsidR="001E3364">
            <w:pPr>
              <w:spacing w:lineRule="auto" w:line="240" w:after="0"/>
              <w:jc w:val="center"/>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MJERA</w:t>
            </w:r>
          </w:p>
        </w:tc>
        <w:tc>
          <w:tcPr>
            <w:tcW w:type="pct" w:w="456"/>
            <w:gridSpan w:val="2"/>
            <w:tcBorders>
              <w:top w:space="0" w:sz="8" w:color="95B3D7" w:val="single"/>
              <w:left w:val="nil"/>
              <w:bottom w:space="0" w:sz="8" w:color="95B3D7" w:val="single"/>
              <w:right w:space="0" w:sz="8" w:color="95B3D7" w:val="single"/>
            </w:tcBorders>
            <w:shd w:fill="95B3D7" w:color="auto" w:val="clear"/>
            <w:vAlign w:val="center"/>
            <w:hideMark/>
          </w:tcPr>
          <w:p w:rsidRDefault="001E3364" w:rsidR="001E3364">
            <w:pPr>
              <w:spacing w:lineRule="auto" w:line="240" w:after="0"/>
              <w:jc w:val="center"/>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UVJETI NAMIRENJA</w:t>
            </w:r>
          </w:p>
        </w:tc>
        <w:tc>
          <w:tcPr>
            <w:tcW w:type="pct" w:w="1169"/>
            <w:gridSpan w:val="3"/>
            <w:tcBorders>
              <w:top w:space="0" w:sz="8" w:color="95B3D7" w:val="single"/>
              <w:left w:val="nil"/>
              <w:bottom w:space="0" w:sz="8" w:color="95B3D7" w:val="single"/>
              <w:right w:space="0" w:sz="8" w:color="95B3D7" w:val="single"/>
            </w:tcBorders>
            <w:shd w:fill="95B3D7" w:color="auto" w:val="clear"/>
            <w:vAlign w:val="center"/>
            <w:hideMark/>
          </w:tcPr>
          <w:p w:rsidRDefault="001E3364" w:rsidR="001E3364">
            <w:pPr>
              <w:spacing w:lineRule="auto" w:line="240" w:after="0"/>
              <w:jc w:val="center"/>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OSIGURANE</w:t>
            </w:r>
          </w:p>
        </w:tc>
        <w:tc>
          <w:tcPr>
            <w:tcW w:type="pct" w:w="289"/>
            <w:tcBorders>
              <w:top w:space="0" w:sz="8" w:color="95B3D7" w:val="single"/>
              <w:left w:val="nil"/>
              <w:bottom w:space="0" w:sz="8" w:color="95B3D7" w:val="single"/>
              <w:right w:space="0" w:sz="8" w:color="95B3D7" w:val="single"/>
            </w:tcBorders>
            <w:shd w:fill="95B3D7" w:color="auto" w:val="clear"/>
            <w:vAlign w:val="center"/>
            <w:hideMark/>
          </w:tcPr>
          <w:p w:rsidRDefault="001E3364" w:rsidR="001E3364">
            <w:pPr>
              <w:spacing w:lineRule="auto" w:line="240" w:after="0"/>
              <w:jc w:val="center"/>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NEOSIGURANE</w:t>
            </w:r>
          </w:p>
        </w:tc>
      </w:tr>
      <w:tr w:rsidTr="001E3364" w:rsidR="001E3364">
        <w:trPr>
          <w:trHeight w:val="20"/>
        </w:trPr>
        <w:tc>
          <w:tcPr>
            <w:tcW w:type="pct" w:w="72"/>
            <w:tcBorders>
              <w:top w:val="nil"/>
              <w:left w:space="0" w:sz="8" w:color="95B3D7" w:val="single"/>
              <w:bottom w:space="0" w:sz="8" w:color="95B3D7" w:val="single"/>
              <w:right w:space="0" w:sz="8" w:color="95B3D7" w:val="single"/>
            </w:tcBorders>
            <w:shd w:fill="95B3D7" w:color="auto" w:val="clear"/>
            <w:noWrap/>
            <w:vAlign w:val="center"/>
            <w:hideMark/>
          </w:tcPr>
          <w:p w:rsidRDefault="001E3364" w:rsidR="001E3364">
            <w:pPr>
              <w:spacing w:lineRule="auto" w:line="240" w:after="0"/>
              <w:jc w:val="center"/>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 </w:t>
            </w:r>
          </w:p>
        </w:tc>
        <w:tc>
          <w:tcPr>
            <w:tcW w:type="pct" w:w="1154"/>
            <w:tcBorders>
              <w:top w:val="nil"/>
              <w:left w:val="nil"/>
              <w:bottom w:space="0" w:sz="8" w:color="95B3D7" w:val="single"/>
              <w:right w:space="0" w:sz="8" w:color="95B3D7" w:val="single"/>
            </w:tcBorders>
            <w:shd w:fill="95B3D7" w:color="auto" w:val="clear"/>
            <w:noWrap/>
            <w:vAlign w:val="center"/>
            <w:hideMark/>
          </w:tcPr>
          <w:p w:rsidRDefault="001E3364" w:rsidR="001E3364">
            <w:pPr>
              <w:spacing w:lineRule="auto" w:line="240" w:after="0"/>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 </w:t>
            </w:r>
          </w:p>
        </w:tc>
        <w:tc>
          <w:tcPr>
            <w:tcW w:type="pct" w:w="258"/>
            <w:tcBorders>
              <w:top w:val="nil"/>
              <w:left w:val="nil"/>
              <w:bottom w:space="0" w:sz="8" w:color="95B3D7" w:val="single"/>
              <w:right w:space="0" w:sz="8" w:color="95B3D7" w:val="single"/>
            </w:tcBorders>
            <w:shd w:fill="95B3D7" w:color="auto" w:val="clear"/>
            <w:vAlign w:val="center"/>
            <w:hideMark/>
          </w:tcPr>
          <w:p w:rsidRDefault="001E3364" w:rsidR="001E3364">
            <w:pPr>
              <w:spacing w:lineRule="auto" w:line="240" w:after="0"/>
              <w:jc w:val="center"/>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Redovne kamate, zatezne kamate, troškovi</w:t>
            </w:r>
          </w:p>
        </w:tc>
        <w:tc>
          <w:tcPr>
            <w:tcW w:type="pct" w:w="278"/>
            <w:tcBorders>
              <w:top w:val="nil"/>
              <w:left w:val="nil"/>
              <w:bottom w:space="0" w:sz="8" w:color="95B3D7" w:val="single"/>
              <w:right w:space="0" w:sz="8" w:color="95B3D7" w:val="single"/>
            </w:tcBorders>
            <w:shd w:fill="95B3D7" w:color="auto" w:val="clear"/>
            <w:noWrap/>
            <w:vAlign w:val="center"/>
            <w:hideMark/>
          </w:tcPr>
          <w:p w:rsidRDefault="001E3364" w:rsidR="001E3364">
            <w:pPr>
              <w:spacing w:lineRule="auto" w:line="240" w:after="0"/>
              <w:jc w:val="center"/>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Glavnica</w:t>
            </w:r>
          </w:p>
        </w:tc>
        <w:tc>
          <w:tcPr>
            <w:tcW w:type="pct" w:w="355"/>
            <w:tcBorders>
              <w:top w:val="nil"/>
              <w:left w:val="nil"/>
              <w:bottom w:space="0" w:sz="8" w:color="95B3D7" w:val="single"/>
              <w:right w:space="0" w:sz="8" w:color="95B3D7" w:val="single"/>
            </w:tcBorders>
            <w:shd w:fill="95B3D7" w:color="auto" w:val="clear"/>
            <w:noWrap/>
            <w:vAlign w:val="center"/>
            <w:hideMark/>
          </w:tcPr>
          <w:p w:rsidRDefault="001E3364" w:rsidR="001E3364">
            <w:pPr>
              <w:spacing w:lineRule="auto" w:line="240" w:after="0"/>
              <w:jc w:val="center"/>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Ukupno tražbine</w:t>
            </w:r>
          </w:p>
        </w:tc>
        <w:tc>
          <w:tcPr>
            <w:tcW w:type="pct" w:w="188"/>
            <w:tcBorders>
              <w:top w:val="nil"/>
              <w:left w:val="nil"/>
              <w:bottom w:space="0" w:sz="8" w:color="95B3D7" w:val="single"/>
              <w:right w:space="0" w:sz="8" w:color="95B3D7" w:val="single"/>
            </w:tcBorders>
            <w:shd w:fill="95B3D7" w:color="auto" w:val="clear"/>
            <w:noWrap/>
            <w:vAlign w:val="center"/>
            <w:hideMark/>
          </w:tcPr>
          <w:p w:rsidRDefault="001E3364" w:rsidR="001E3364">
            <w:pPr>
              <w:spacing w:lineRule="auto" w:line="240" w:after="0"/>
              <w:jc w:val="center"/>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Udio %</w:t>
            </w:r>
          </w:p>
        </w:tc>
        <w:tc>
          <w:tcPr>
            <w:tcW w:type="pct" w:w="258"/>
            <w:tcBorders>
              <w:top w:val="nil"/>
              <w:left w:val="nil"/>
              <w:bottom w:space="0" w:sz="8" w:color="95B3D7" w:val="single"/>
              <w:right w:space="0" w:sz="8" w:color="95B3D7" w:val="single"/>
            </w:tcBorders>
            <w:shd w:fill="95B3D7" w:color="auto" w:val="clear"/>
            <w:vAlign w:val="center"/>
            <w:hideMark/>
          </w:tcPr>
          <w:p w:rsidRDefault="001E3364" w:rsidR="001E3364">
            <w:pPr>
              <w:spacing w:lineRule="auto" w:line="240" w:after="0"/>
              <w:jc w:val="center"/>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Redovne kamate, zatezne kamate, troškovi</w:t>
            </w:r>
          </w:p>
        </w:tc>
        <w:tc>
          <w:tcPr>
            <w:tcW w:type="pct" w:w="290"/>
            <w:tcBorders>
              <w:top w:val="nil"/>
              <w:left w:val="nil"/>
              <w:bottom w:space="0" w:sz="8" w:color="95B3D7" w:val="single"/>
              <w:right w:space="0" w:sz="8" w:color="95B3D7" w:val="single"/>
            </w:tcBorders>
            <w:shd w:fill="95B3D7" w:color="auto" w:val="clear"/>
            <w:noWrap/>
            <w:vAlign w:val="center"/>
            <w:hideMark/>
          </w:tcPr>
          <w:p w:rsidRDefault="001E3364" w:rsidR="001E3364">
            <w:pPr>
              <w:spacing w:lineRule="auto" w:line="240" w:after="0"/>
              <w:jc w:val="center"/>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Glavnica</w:t>
            </w:r>
          </w:p>
        </w:tc>
        <w:tc>
          <w:tcPr>
            <w:tcW w:type="pct" w:w="233"/>
            <w:tcBorders>
              <w:top w:val="nil"/>
              <w:left w:val="nil"/>
              <w:bottom w:space="0" w:sz="8" w:color="95B3D7" w:val="single"/>
              <w:right w:space="0" w:sz="8" w:color="95B3D7" w:val="single"/>
            </w:tcBorders>
            <w:shd w:fill="95B3D7" w:color="auto" w:val="clear"/>
            <w:vAlign w:val="center"/>
            <w:hideMark/>
          </w:tcPr>
          <w:p w:rsidRDefault="001E3364" w:rsidR="001E3364">
            <w:pPr>
              <w:spacing w:lineRule="auto" w:line="240" w:after="0"/>
              <w:jc w:val="center"/>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Razina očekivanog namirenja</w:t>
            </w:r>
          </w:p>
        </w:tc>
        <w:tc>
          <w:tcPr>
            <w:tcW w:type="pct" w:w="222"/>
            <w:tcBorders>
              <w:top w:val="nil"/>
              <w:left w:val="nil"/>
              <w:bottom w:space="0" w:sz="8" w:color="95B3D7" w:val="single"/>
              <w:right w:space="0" w:sz="8" w:color="95B3D7" w:val="single"/>
            </w:tcBorders>
            <w:shd w:fill="95B3D7" w:color="auto" w:val="clear"/>
            <w:noWrap/>
            <w:vAlign w:val="center"/>
            <w:hideMark/>
          </w:tcPr>
          <w:p w:rsidRDefault="001E3364" w:rsidR="001E3364">
            <w:pPr>
              <w:spacing w:lineRule="auto" w:line="240" w:after="0"/>
              <w:jc w:val="center"/>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 </w:t>
            </w:r>
          </w:p>
        </w:tc>
        <w:tc>
          <w:tcPr>
            <w:tcW w:type="pct" w:w="234"/>
            <w:tcBorders>
              <w:top w:val="nil"/>
              <w:left w:val="nil"/>
              <w:bottom w:space="0" w:sz="8" w:color="95B3D7" w:val="single"/>
              <w:right w:space="0" w:sz="8" w:color="95B3D7" w:val="single"/>
            </w:tcBorders>
            <w:shd w:fill="95B3D7" w:color="auto" w:val="clear"/>
            <w:vAlign w:val="center"/>
            <w:hideMark/>
          </w:tcPr>
          <w:p w:rsidRDefault="001E3364" w:rsidR="001E3364">
            <w:pPr>
              <w:spacing w:lineRule="auto" w:line="240" w:after="0"/>
              <w:jc w:val="center"/>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KAMATNA STOPA</w:t>
            </w:r>
          </w:p>
        </w:tc>
        <w:tc>
          <w:tcPr>
            <w:tcW w:type="pct" w:w="228"/>
            <w:tcBorders>
              <w:top w:val="nil"/>
              <w:left w:val="nil"/>
              <w:bottom w:space="0" w:sz="8" w:color="95B3D7" w:val="single"/>
              <w:right w:space="0" w:sz="8" w:color="95B3D7" w:val="single"/>
            </w:tcBorders>
            <w:shd w:fill="95B3D7" w:color="auto" w:val="clear"/>
            <w:vAlign w:val="center"/>
            <w:hideMark/>
          </w:tcPr>
          <w:p w:rsidRDefault="001E3364" w:rsidR="001E3364">
            <w:pPr>
              <w:spacing w:lineRule="auto" w:line="240" w:after="0"/>
              <w:jc w:val="center"/>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POČEK</w:t>
            </w:r>
          </w:p>
        </w:tc>
        <w:tc>
          <w:tcPr>
            <w:tcW w:type="pct" w:w="663"/>
            <w:tcBorders>
              <w:top w:val="nil"/>
              <w:left w:val="nil"/>
              <w:bottom w:space="0" w:sz="8" w:color="95B3D7" w:val="single"/>
              <w:right w:space="0" w:sz="8" w:color="95B3D7" w:val="single"/>
            </w:tcBorders>
            <w:shd w:fill="95B3D7" w:color="auto" w:val="clear"/>
            <w:vAlign w:val="center"/>
            <w:hideMark/>
          </w:tcPr>
          <w:p w:rsidRDefault="001E3364" w:rsidR="001E3364">
            <w:pPr>
              <w:spacing w:lineRule="auto" w:line="240" w:after="0"/>
              <w:jc w:val="center"/>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ROK OTPLATE</w:t>
            </w:r>
          </w:p>
        </w:tc>
        <w:tc>
          <w:tcPr>
            <w:tcW w:type="pct" w:w="278"/>
            <w:tcBorders>
              <w:top w:val="nil"/>
              <w:left w:val="nil"/>
              <w:bottom w:val="nil"/>
              <w:right w:space="0" w:sz="8" w:color="95B3D7" w:val="single"/>
            </w:tcBorders>
            <w:shd w:fill="95B3D7" w:color="auto" w:val="clear"/>
            <w:vAlign w:val="center"/>
            <w:hideMark/>
          </w:tcPr>
          <w:p w:rsidRDefault="001E3364" w:rsidR="001E3364">
            <w:pPr>
              <w:spacing w:lineRule="auto" w:line="240" w:after="0"/>
              <w:jc w:val="center"/>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TRAŽBINE</w:t>
            </w:r>
          </w:p>
        </w:tc>
        <w:tc>
          <w:tcPr>
            <w:tcW w:type="pct" w:w="289"/>
            <w:tcBorders>
              <w:top w:val="nil"/>
              <w:left w:val="nil"/>
              <w:bottom w:val="nil"/>
              <w:right w:space="0" w:sz="8" w:color="95B3D7" w:val="single"/>
            </w:tcBorders>
            <w:shd w:fill="95B3D7" w:color="auto" w:val="clear"/>
            <w:vAlign w:val="center"/>
            <w:hideMark/>
          </w:tcPr>
          <w:p w:rsidRDefault="001E3364" w:rsidR="001E3364">
            <w:pPr>
              <w:spacing w:lineRule="auto" w:line="240" w:after="0"/>
              <w:jc w:val="center"/>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TRAŽBINE</w:t>
            </w:r>
          </w:p>
        </w:tc>
      </w:tr>
      <w:tr w:rsidTr="001E3364" w:rsidR="001E3364">
        <w:trPr>
          <w:trHeight w:val="20"/>
        </w:trPr>
        <w:tc>
          <w:tcPr>
            <w:tcW w:type="pct" w:w="72"/>
            <w:tcBorders>
              <w:top w:space="0" w:sz="8" w:color="B8CCE4" w:val="single"/>
              <w:left w:space="0" w:sz="8" w:color="B8CCE4" w:val="single"/>
              <w:bottom w:space="0" w:sz="8" w:color="B8CCE4" w:val="single"/>
              <w:right w:space="0" w:sz="8" w:color="B8CCE4" w:val="single"/>
            </w:tcBorders>
            <w:shd w:fill="DCE6F1" w:color="auto" w:val="clear"/>
            <w:noWrap/>
            <w:vAlign w:val="center"/>
            <w:hideMark/>
          </w:tcPr>
          <w:p w:rsidRDefault="001E3364" w:rsidR="001E3364">
            <w:pPr>
              <w:spacing w:lineRule="auto" w:line="240" w:after="0"/>
              <w:jc w:val="center"/>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1</w:t>
            </w:r>
          </w:p>
        </w:tc>
        <w:tc>
          <w:tcPr>
            <w:tcW w:type="pct" w:w="1154"/>
            <w:tcBorders>
              <w:top w:space="0" w:sz="8" w:color="B8CCE4" w:val="single"/>
              <w:left w:val="nil"/>
              <w:bottom w:space="0" w:sz="8" w:color="B8CCE4" w:val="single"/>
              <w:right w:space="0" w:sz="8" w:color="B8CCE4" w:val="single"/>
            </w:tcBorders>
            <w:shd w:fill="DCE6F1" w:color="auto" w:val="clear"/>
            <w:noWrap/>
            <w:vAlign w:val="center"/>
            <w:hideMark/>
          </w:tcPr>
          <w:p w:rsidRDefault="001E3364" w:rsidR="001E3364">
            <w:pPr>
              <w:spacing w:lineRule="auto" w:line="240" w:after="0"/>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Razlučni vjerovnici s pravom odvojenoga namirenja</w:t>
            </w:r>
          </w:p>
        </w:tc>
        <w:tc>
          <w:tcPr>
            <w:tcW w:type="pct" w:w="258"/>
            <w:tcBorders>
              <w:top w:space="0" w:sz="8" w:color="B8CCE4" w:val="single"/>
              <w:left w:val="nil"/>
              <w:bottom w:space="0" w:sz="8" w:color="B8CCE4" w:val="single"/>
              <w:right w:space="0" w:sz="8" w:color="B8CCE4" w:val="single"/>
            </w:tcBorders>
            <w:shd w:fill="DCE6F1" w:color="auto" w:val="clear"/>
            <w:noWrap/>
            <w:vAlign w:val="center"/>
            <w:hideMark/>
          </w:tcPr>
          <w:p w:rsidRDefault="001E3364" w:rsidR="001E3364">
            <w:pPr>
              <w:spacing w:lineRule="auto" w:line="240" w:after="0"/>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 </w:t>
            </w:r>
          </w:p>
        </w:tc>
        <w:tc>
          <w:tcPr>
            <w:tcW w:type="pct" w:w="278"/>
            <w:tcBorders>
              <w:top w:space="0" w:sz="8" w:color="B8CCE4" w:val="single"/>
              <w:left w:val="nil"/>
              <w:bottom w:space="0" w:sz="8" w:color="B8CCE4" w:val="single"/>
              <w:right w:space="0" w:sz="8" w:color="B8CCE4" w:val="single"/>
            </w:tcBorders>
            <w:shd w:fill="DCE6F1" w:color="auto" w:val="clear"/>
            <w:noWrap/>
            <w:vAlign w:val="center"/>
            <w:hideMark/>
          </w:tcPr>
          <w:p w:rsidRDefault="001E3364" w:rsidR="001E3364">
            <w:pPr>
              <w:spacing w:lineRule="auto" w:line="240" w:after="0"/>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 </w:t>
            </w:r>
          </w:p>
        </w:tc>
        <w:tc>
          <w:tcPr>
            <w:tcW w:type="pct" w:w="355"/>
            <w:tcBorders>
              <w:top w:space="0" w:sz="8" w:color="B8CCE4" w:val="single"/>
              <w:left w:val="nil"/>
              <w:bottom w:space="0" w:sz="8" w:color="B8CCE4" w:val="single"/>
              <w:right w:space="0" w:sz="8" w:color="B8CCE4" w:val="single"/>
            </w:tcBorders>
            <w:shd w:fill="DCE6F1" w:color="auto" w:val="clear"/>
            <w:noWrap/>
            <w:vAlign w:val="center"/>
            <w:hideMark/>
          </w:tcPr>
          <w:p w:rsidRDefault="001E3364" w:rsidR="001E3364">
            <w:pPr>
              <w:spacing w:lineRule="auto" w:line="240" w:after="0"/>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 </w:t>
            </w:r>
          </w:p>
        </w:tc>
        <w:tc>
          <w:tcPr>
            <w:tcW w:type="pct" w:w="188"/>
            <w:tcBorders>
              <w:top w:space="0" w:sz="8" w:color="B8CCE4" w:val="single"/>
              <w:left w:val="nil"/>
              <w:bottom w:space="0" w:sz="8" w:color="B8CCE4" w:val="single"/>
              <w:right w:space="0" w:sz="8" w:color="B8CCE4" w:val="single"/>
            </w:tcBorders>
            <w:shd w:fill="DCE6F1" w:color="auto" w:val="clear"/>
            <w:noWrap/>
            <w:vAlign w:val="center"/>
            <w:hideMark/>
          </w:tcPr>
          <w:p w:rsidRDefault="001E3364" w:rsidR="001E3364">
            <w:pPr>
              <w:spacing w:lineRule="auto" w:line="240" w:after="0"/>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 </w:t>
            </w:r>
          </w:p>
        </w:tc>
        <w:tc>
          <w:tcPr>
            <w:tcW w:type="pct" w:w="258"/>
            <w:tcBorders>
              <w:top w:space="0" w:sz="8" w:color="B8CCE4" w:val="single"/>
              <w:left w:val="nil"/>
              <w:bottom w:space="0" w:sz="8" w:color="B8CCE4" w:val="single"/>
              <w:right w:space="0" w:sz="8" w:color="B8CCE4" w:val="single"/>
            </w:tcBorders>
            <w:shd w:fill="DCE6F1" w:color="auto" w:val="clear"/>
            <w:noWrap/>
            <w:vAlign w:val="center"/>
            <w:hideMark/>
          </w:tcPr>
          <w:p w:rsidRDefault="001E3364" w:rsidR="001E3364">
            <w:pPr>
              <w:spacing w:lineRule="auto" w:line="240" w:after="0"/>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 </w:t>
            </w:r>
          </w:p>
        </w:tc>
        <w:tc>
          <w:tcPr>
            <w:tcW w:type="pct" w:w="290"/>
            <w:tcBorders>
              <w:top w:space="0" w:sz="8" w:color="B8CCE4" w:val="single"/>
              <w:left w:val="nil"/>
              <w:bottom w:space="0" w:sz="8" w:color="B8CCE4" w:val="single"/>
              <w:right w:space="0" w:sz="8" w:color="B8CCE4" w:val="single"/>
            </w:tcBorders>
            <w:shd w:fill="DCE6F1" w:color="auto" w:val="clear"/>
            <w:noWrap/>
            <w:vAlign w:val="center"/>
            <w:hideMark/>
          </w:tcPr>
          <w:p w:rsidRDefault="001E3364" w:rsidR="001E3364">
            <w:pPr>
              <w:spacing w:lineRule="auto" w:line="240" w:after="0"/>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 </w:t>
            </w:r>
          </w:p>
        </w:tc>
        <w:tc>
          <w:tcPr>
            <w:tcW w:type="pct" w:w="233"/>
            <w:tcBorders>
              <w:top w:space="0" w:sz="8" w:color="B8CCE4" w:val="single"/>
              <w:left w:val="nil"/>
              <w:bottom w:space="0" w:sz="8" w:color="B8CCE4" w:val="single"/>
              <w:right w:space="0" w:sz="8" w:color="B8CCE4" w:val="single"/>
            </w:tcBorders>
            <w:shd w:fill="DCE6F1" w:color="auto" w:val="clear"/>
            <w:noWrap/>
            <w:vAlign w:val="center"/>
            <w:hideMark/>
          </w:tcPr>
          <w:p w:rsidRDefault="001E3364" w:rsidR="001E3364">
            <w:pPr>
              <w:spacing w:lineRule="auto" w:line="240" w:after="0"/>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 </w:t>
            </w:r>
          </w:p>
        </w:tc>
        <w:tc>
          <w:tcPr>
            <w:tcW w:type="pct" w:w="222"/>
            <w:tcBorders>
              <w:top w:space="0" w:sz="8" w:color="B8CCE4" w:val="single"/>
              <w:left w:val="nil"/>
              <w:bottom w:space="0" w:sz="8" w:color="B8CCE4" w:val="single"/>
              <w:right w:space="0" w:sz="8" w:color="B8CCE4" w:val="single"/>
            </w:tcBorders>
            <w:shd w:fill="DCE6F1" w:color="auto" w:val="clear"/>
            <w:noWrap/>
            <w:vAlign w:val="center"/>
            <w:hideMark/>
          </w:tcPr>
          <w:p w:rsidRDefault="001E3364" w:rsidR="001E3364">
            <w:pPr>
              <w:spacing w:lineRule="auto" w:line="240" w:after="0"/>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 </w:t>
            </w:r>
          </w:p>
        </w:tc>
        <w:tc>
          <w:tcPr>
            <w:tcW w:type="pct" w:w="234"/>
            <w:tcBorders>
              <w:top w:space="0" w:sz="8" w:color="B8CCE4" w:val="single"/>
              <w:left w:val="nil"/>
              <w:bottom w:space="0" w:sz="8" w:color="B8CCE4" w:val="single"/>
              <w:right w:space="0" w:sz="8" w:color="B8CCE4" w:val="single"/>
            </w:tcBorders>
            <w:shd w:fill="DCE6F1" w:color="auto" w:val="clear"/>
            <w:noWrap/>
            <w:vAlign w:val="center"/>
            <w:hideMark/>
          </w:tcPr>
          <w:p w:rsidRDefault="001E3364" w:rsidR="001E3364">
            <w:pPr>
              <w:spacing w:lineRule="auto" w:line="240" w:after="0"/>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 </w:t>
            </w:r>
          </w:p>
        </w:tc>
        <w:tc>
          <w:tcPr>
            <w:tcW w:type="pct" w:w="228"/>
            <w:tcBorders>
              <w:top w:space="0" w:sz="8" w:color="B8CCE4" w:val="single"/>
              <w:left w:val="nil"/>
              <w:bottom w:space="0" w:sz="8" w:color="B8CCE4" w:val="single"/>
              <w:right w:space="0" w:sz="8" w:color="B8CCE4" w:val="single"/>
            </w:tcBorders>
            <w:shd w:fill="DCE6F1" w:color="auto" w:val="clear"/>
            <w:noWrap/>
            <w:vAlign w:val="center"/>
            <w:hideMark/>
          </w:tcPr>
          <w:p w:rsidRDefault="001E3364" w:rsidR="001E3364">
            <w:pPr>
              <w:spacing w:lineRule="auto" w:line="240" w:after="0"/>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 </w:t>
            </w:r>
          </w:p>
        </w:tc>
        <w:tc>
          <w:tcPr>
            <w:tcW w:type="pct" w:w="663"/>
            <w:tcBorders>
              <w:top w:space="0" w:sz="8" w:color="B8CCE4" w:val="single"/>
              <w:left w:val="nil"/>
              <w:bottom w:space="0" w:sz="8" w:color="B8CCE4" w:val="single"/>
              <w:right w:space="0" w:sz="8" w:color="B8CCE4" w:val="single"/>
            </w:tcBorders>
            <w:shd w:fill="DCE6F1" w:color="auto" w:val="clear"/>
            <w:noWrap/>
            <w:vAlign w:val="center"/>
            <w:hideMark/>
          </w:tcPr>
          <w:p w:rsidRDefault="001E3364" w:rsidR="001E3364">
            <w:pPr>
              <w:spacing w:lineRule="auto" w:line="240" w:after="0"/>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 </w:t>
            </w:r>
          </w:p>
        </w:tc>
        <w:tc>
          <w:tcPr>
            <w:tcW w:type="pct" w:w="278"/>
            <w:tcBorders>
              <w:top w:space="0" w:sz="8" w:color="B8CCE4" w:val="single"/>
              <w:left w:val="nil"/>
              <w:bottom w:space="0" w:sz="8" w:color="B8CCE4" w:val="single"/>
              <w:right w:space="0" w:sz="8" w:color="B8CCE4" w:val="single"/>
            </w:tcBorders>
            <w:shd w:fill="DCE6F1" w:color="auto" w:val="clear"/>
            <w:noWrap/>
            <w:vAlign w:val="center"/>
            <w:hideMark/>
          </w:tcPr>
          <w:p w:rsidRDefault="001E3364" w:rsidR="001E3364">
            <w:pPr>
              <w:spacing w:lineRule="auto" w:line="240" w:after="0"/>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 </w:t>
            </w:r>
          </w:p>
        </w:tc>
        <w:tc>
          <w:tcPr>
            <w:tcW w:type="pct" w:w="289"/>
            <w:tcBorders>
              <w:top w:space="0" w:sz="8" w:color="B8CCE4" w:val="single"/>
              <w:left w:val="nil"/>
              <w:bottom w:space="0" w:sz="8" w:color="B8CCE4" w:val="single"/>
              <w:right w:space="0" w:sz="8" w:color="B8CCE4" w:val="single"/>
            </w:tcBorders>
            <w:shd w:fill="DCE6F1" w:color="auto" w:val="clear"/>
            <w:noWrap/>
            <w:vAlign w:val="center"/>
            <w:hideMark/>
          </w:tcPr>
          <w:p w:rsidRDefault="001E3364" w:rsidR="001E3364">
            <w:pPr>
              <w:spacing w:lineRule="auto" w:line="240" w:after="0"/>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 </w:t>
            </w:r>
          </w:p>
        </w:tc>
      </w:tr>
      <w:tr w:rsidTr="001E3364" w:rsidR="001E3364">
        <w:trPr>
          <w:trHeight w:val="20"/>
        </w:trPr>
        <w:tc>
          <w:tcPr>
            <w:tcW w:type="pct" w:w="72"/>
            <w:tcBorders>
              <w:top w:val="nil"/>
              <w:left w:space="0" w:sz="8" w:color="B8CCE4" w:val="single"/>
              <w:bottom w:space="0" w:sz="8" w:color="B8CCE4" w:val="single"/>
              <w:right w:space="0" w:sz="8" w:color="B8CCE4" w:val="single"/>
            </w:tcBorders>
            <w:noWrap/>
            <w:vAlign w:val="center"/>
            <w:hideMark/>
          </w:tcPr>
          <w:p w:rsidRDefault="001E3364" w:rsidR="001E3364">
            <w:pPr>
              <w:spacing w:lineRule="auto" w:line="240" w:after="0"/>
              <w:jc w:val="center"/>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w:t>
            </w:r>
          </w:p>
        </w:tc>
        <w:tc>
          <w:tcPr>
            <w:tcW w:type="pct" w:w="1154"/>
            <w:tcBorders>
              <w:top w:val="nil"/>
              <w:left w:val="nil"/>
              <w:bottom w:space="0" w:sz="8" w:color="B8CCE4" w:val="single"/>
              <w:right w:space="0" w:sz="8" w:color="B8CCE4" w:val="single"/>
            </w:tcBorders>
            <w:noWrap/>
            <w:vAlign w:val="center"/>
            <w:hideMark/>
          </w:tcPr>
          <w:p w:rsidRDefault="001E3364" w:rsidR="001E3364">
            <w:pPr>
              <w:spacing w:after="0"/>
              <w:rPr>
                <w:rFonts w:cs="Calibri" w:hAnsi="Calibri" w:ascii="Calibri"/>
                <w:color w:val="000000"/>
                <w:sz w:val="16"/>
                <w:szCs w:val="16"/>
              </w:rPr>
            </w:pPr>
            <w:r>
              <w:rPr>
                <w:rFonts w:cs="Calibri" w:hAnsi="Calibri" w:ascii="Calibri"/>
                <w:color w:val="000000"/>
                <w:sz w:val="16"/>
                <w:szCs w:val="16"/>
              </w:rPr>
              <w:t>Svi vjerovnici</w:t>
            </w:r>
          </w:p>
        </w:tc>
        <w:tc>
          <w:tcPr>
            <w:tcW w:type="pct" w:w="258"/>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color w:val="000000"/>
                <w:sz w:val="16"/>
                <w:szCs w:val="16"/>
              </w:rPr>
            </w:pPr>
            <w:r>
              <w:rPr>
                <w:rFonts w:cs="Calibri" w:hAnsi="Calibri" w:ascii="Calibri"/>
                <w:color w:val="000000"/>
                <w:sz w:val="16"/>
                <w:szCs w:val="16"/>
              </w:rPr>
              <w:t>687.082,98</w:t>
            </w:r>
          </w:p>
        </w:tc>
        <w:tc>
          <w:tcPr>
            <w:tcW w:type="pct" w:w="278"/>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color w:val="000000"/>
                <w:sz w:val="16"/>
                <w:szCs w:val="16"/>
              </w:rPr>
            </w:pPr>
            <w:r>
              <w:rPr>
                <w:rFonts w:cs="Calibri" w:hAnsi="Calibri" w:ascii="Calibri"/>
                <w:color w:val="000000"/>
                <w:sz w:val="16"/>
                <w:szCs w:val="16"/>
              </w:rPr>
              <w:t>68.230.849,84</w:t>
            </w:r>
          </w:p>
        </w:tc>
        <w:tc>
          <w:tcPr>
            <w:tcW w:type="pct" w:w="355"/>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color w:val="000000"/>
                <w:sz w:val="16"/>
                <w:szCs w:val="16"/>
              </w:rPr>
            </w:pPr>
            <w:r>
              <w:rPr>
                <w:rFonts w:cs="Calibri" w:hAnsi="Calibri" w:ascii="Calibri"/>
                <w:color w:val="000000"/>
                <w:sz w:val="16"/>
                <w:szCs w:val="16"/>
              </w:rPr>
              <w:t>68.917.932,82</w:t>
            </w:r>
          </w:p>
        </w:tc>
        <w:tc>
          <w:tcPr>
            <w:tcW w:type="pct" w:w="188"/>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color w:val="000000"/>
                <w:sz w:val="16"/>
                <w:szCs w:val="16"/>
              </w:rPr>
            </w:pPr>
            <w:r>
              <w:rPr>
                <w:rFonts w:cs="Calibri" w:hAnsi="Calibri" w:ascii="Calibri"/>
                <w:color w:val="000000"/>
                <w:sz w:val="16"/>
                <w:szCs w:val="16"/>
              </w:rPr>
              <w:t>68,22%</w:t>
            </w:r>
          </w:p>
        </w:tc>
        <w:tc>
          <w:tcPr>
            <w:tcW w:type="pct" w:w="258"/>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color w:val="000000"/>
                <w:sz w:val="16"/>
                <w:szCs w:val="16"/>
              </w:rPr>
            </w:pPr>
            <w:r>
              <w:rPr>
                <w:rFonts w:cs="Calibri" w:hAnsi="Calibri" w:ascii="Calibri"/>
                <w:color w:val="000000"/>
                <w:sz w:val="16"/>
                <w:szCs w:val="16"/>
              </w:rPr>
              <w:t>687.082,98</w:t>
            </w:r>
          </w:p>
        </w:tc>
        <w:tc>
          <w:tcPr>
            <w:tcW w:type="pct" w:w="290"/>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color w:val="000000"/>
                <w:sz w:val="16"/>
                <w:szCs w:val="16"/>
              </w:rPr>
            </w:pPr>
            <w:r>
              <w:rPr>
                <w:rFonts w:cs="Calibri" w:hAnsi="Calibri" w:ascii="Calibri"/>
                <w:color w:val="000000"/>
                <w:sz w:val="16"/>
                <w:szCs w:val="16"/>
              </w:rPr>
              <w:t>68.230.849,84</w:t>
            </w:r>
          </w:p>
        </w:tc>
        <w:tc>
          <w:tcPr>
            <w:tcW w:type="pct" w:w="233"/>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color w:val="000000"/>
                <w:sz w:val="16"/>
                <w:szCs w:val="16"/>
              </w:rPr>
            </w:pPr>
            <w:r>
              <w:rPr>
                <w:rFonts w:cs="Calibri" w:hAnsi="Calibri" w:ascii="Calibri"/>
                <w:color w:val="000000"/>
                <w:sz w:val="16"/>
                <w:szCs w:val="16"/>
              </w:rPr>
              <w:t>100,00%</w:t>
            </w:r>
          </w:p>
        </w:tc>
        <w:tc>
          <w:tcPr>
            <w:tcW w:type="pct" w:w="222"/>
            <w:tcBorders>
              <w:top w:val="nil"/>
              <w:left w:val="nil"/>
              <w:bottom w:space="0" w:sz="8" w:color="B8CCE4" w:val="single"/>
              <w:right w:space="0" w:sz="8" w:color="B8CCE4" w:val="single"/>
            </w:tcBorders>
            <w:vAlign w:val="center"/>
            <w:hideMark/>
          </w:tcPr>
          <w:p w:rsidRDefault="001E3364" w:rsidR="001E3364">
            <w:pPr>
              <w:spacing w:after="0"/>
              <w:jc w:val="center"/>
              <w:rPr>
                <w:rFonts w:cs="Calibri" w:hAnsi="Calibri" w:ascii="Calibri"/>
                <w:color w:val="000000"/>
                <w:sz w:val="16"/>
                <w:szCs w:val="16"/>
              </w:rPr>
            </w:pPr>
            <w:r>
              <w:rPr>
                <w:rFonts w:cs="Calibri" w:hAnsi="Calibri" w:ascii="Calibri"/>
                <w:color w:val="000000"/>
                <w:sz w:val="16"/>
                <w:szCs w:val="16"/>
              </w:rPr>
              <w:t>Odgoda dospjelosti</w:t>
            </w:r>
          </w:p>
        </w:tc>
        <w:tc>
          <w:tcPr>
            <w:tcW w:type="pct" w:w="234"/>
            <w:tcBorders>
              <w:top w:val="nil"/>
              <w:left w:val="nil"/>
              <w:bottom w:space="0" w:sz="8" w:color="B8CCE4" w:val="single"/>
              <w:right w:space="0" w:sz="8" w:color="B8CCE4" w:val="single"/>
            </w:tcBorders>
            <w:noWrap/>
            <w:vAlign w:val="center"/>
            <w:hideMark/>
          </w:tcPr>
          <w:p w:rsidRDefault="001E3364" w:rsidR="001E3364">
            <w:pPr>
              <w:spacing w:after="0"/>
              <w:jc w:val="center"/>
              <w:rPr>
                <w:rFonts w:cs="Calibri" w:hAnsi="Calibri" w:ascii="Calibri"/>
                <w:color w:val="000000"/>
                <w:sz w:val="16"/>
                <w:szCs w:val="16"/>
              </w:rPr>
            </w:pPr>
            <w:r>
              <w:rPr>
                <w:rFonts w:cs="Calibri" w:hAnsi="Calibri" w:ascii="Calibri"/>
                <w:color w:val="000000"/>
                <w:sz w:val="16"/>
                <w:szCs w:val="16"/>
              </w:rPr>
              <w:t>2,50%</w:t>
            </w:r>
          </w:p>
        </w:tc>
        <w:tc>
          <w:tcPr>
            <w:tcW w:type="pct" w:w="228"/>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color w:val="000000"/>
                <w:sz w:val="16"/>
                <w:szCs w:val="16"/>
              </w:rPr>
            </w:pPr>
            <w:r>
              <w:rPr>
                <w:rFonts w:cs="Calibri" w:hAnsi="Calibri" w:ascii="Calibri"/>
                <w:color w:val="000000"/>
                <w:sz w:val="16"/>
                <w:szCs w:val="16"/>
              </w:rPr>
              <w:t>24 mjeseca</w:t>
            </w:r>
          </w:p>
        </w:tc>
        <w:tc>
          <w:tcPr>
            <w:tcW w:type="pct" w:w="663"/>
            <w:tcBorders>
              <w:top w:val="nil"/>
              <w:left w:val="nil"/>
              <w:bottom w:space="0" w:sz="8" w:color="B8CCE4" w:val="single"/>
              <w:right w:space="0" w:sz="8" w:color="B8CCE4" w:val="single"/>
            </w:tcBorders>
            <w:vAlign w:val="center"/>
            <w:hideMark/>
          </w:tcPr>
          <w:p w:rsidRDefault="001E3364" w:rsidR="001E3364">
            <w:pPr>
              <w:spacing w:after="0"/>
              <w:rPr>
                <w:rFonts w:cs="Calibri" w:hAnsi="Calibri" w:ascii="Calibri"/>
                <w:color w:val="000000"/>
                <w:sz w:val="16"/>
                <w:szCs w:val="16"/>
              </w:rPr>
            </w:pPr>
            <w:r>
              <w:rPr>
                <w:rFonts w:cs="Calibri" w:hAnsi="Calibri" w:ascii="Calibri"/>
                <w:color w:val="000000"/>
                <w:sz w:val="16"/>
                <w:szCs w:val="16"/>
              </w:rPr>
              <w:t>9 godina (24 mjeseca poček plus 7 godina otplate u kvartalnim ratama, plus kamata)</w:t>
            </w:r>
          </w:p>
        </w:tc>
        <w:tc>
          <w:tcPr>
            <w:tcW w:type="pct" w:w="278"/>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color w:val="000000"/>
                <w:sz w:val="16"/>
                <w:szCs w:val="16"/>
              </w:rPr>
            </w:pPr>
            <w:r>
              <w:rPr>
                <w:rFonts w:cs="Calibri" w:hAnsi="Calibri" w:ascii="Calibri"/>
                <w:color w:val="000000"/>
                <w:sz w:val="16"/>
                <w:szCs w:val="16"/>
              </w:rPr>
              <w:t>68.917.932,82</w:t>
            </w:r>
          </w:p>
        </w:tc>
        <w:tc>
          <w:tcPr>
            <w:tcW w:type="pct" w:w="289"/>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color w:val="000000"/>
                <w:sz w:val="16"/>
                <w:szCs w:val="16"/>
              </w:rPr>
            </w:pPr>
            <w:r>
              <w:rPr>
                <w:rFonts w:cs="Calibri" w:hAnsi="Calibri" w:ascii="Calibri"/>
                <w:color w:val="000000"/>
                <w:sz w:val="16"/>
                <w:szCs w:val="16"/>
              </w:rPr>
              <w:t> </w:t>
            </w:r>
          </w:p>
        </w:tc>
      </w:tr>
      <w:tr w:rsidTr="001E3364" w:rsidR="001E3364">
        <w:trPr>
          <w:trHeight w:val="20"/>
        </w:trPr>
        <w:tc>
          <w:tcPr>
            <w:tcW w:type="pct" w:w="72"/>
            <w:tcBorders>
              <w:top w:val="nil"/>
              <w:left w:space="0" w:sz="8" w:color="B8CCE4" w:val="single"/>
              <w:bottom w:space="0" w:sz="8" w:color="B8CCE4" w:val="single"/>
              <w:right w:space="0" w:sz="8" w:color="B8CCE4" w:val="single"/>
            </w:tcBorders>
            <w:noWrap/>
            <w:vAlign w:val="center"/>
            <w:hideMark/>
          </w:tcPr>
          <w:p w:rsidRDefault="001E3364" w:rsidR="001E3364">
            <w:pPr>
              <w:spacing w:lineRule="auto" w:line="240" w:after="0"/>
              <w:jc w:val="center"/>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 </w:t>
            </w:r>
          </w:p>
        </w:tc>
        <w:tc>
          <w:tcPr>
            <w:tcW w:type="pct" w:w="1154"/>
            <w:tcBorders>
              <w:top w:val="nil"/>
              <w:left w:val="nil"/>
              <w:bottom w:space="0" w:sz="8" w:color="B8CCE4" w:val="single"/>
              <w:right w:space="0" w:sz="8" w:color="B8CCE4" w:val="single"/>
            </w:tcBorders>
            <w:noWrap/>
            <w:vAlign w:val="center"/>
            <w:hideMark/>
          </w:tcPr>
          <w:p w:rsidRDefault="001E3364" w:rsidR="001E3364">
            <w:pPr>
              <w:spacing w:after="0"/>
              <w:rPr>
                <w:rFonts w:cs="Calibri" w:hAnsi="Calibri" w:ascii="Calibri"/>
                <w:b/>
                <w:bCs/>
                <w:color w:val="000000"/>
                <w:sz w:val="16"/>
                <w:szCs w:val="16"/>
              </w:rPr>
            </w:pPr>
            <w:r>
              <w:rPr>
                <w:rFonts w:cs="Calibri" w:hAnsi="Calibri" w:ascii="Calibri"/>
                <w:b/>
                <w:bCs/>
                <w:color w:val="000000"/>
                <w:sz w:val="16"/>
                <w:szCs w:val="16"/>
              </w:rPr>
              <w:t>UKUPNO</w:t>
            </w:r>
          </w:p>
        </w:tc>
        <w:tc>
          <w:tcPr>
            <w:tcW w:type="pct" w:w="258"/>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b/>
                <w:bCs/>
                <w:color w:val="000000"/>
                <w:sz w:val="16"/>
                <w:szCs w:val="16"/>
              </w:rPr>
            </w:pPr>
            <w:r>
              <w:rPr>
                <w:rFonts w:cs="Calibri" w:hAnsi="Calibri" w:ascii="Calibri"/>
                <w:b/>
                <w:bCs/>
                <w:color w:val="000000"/>
                <w:sz w:val="16"/>
                <w:szCs w:val="16"/>
              </w:rPr>
              <w:t>687.082,98</w:t>
            </w:r>
          </w:p>
        </w:tc>
        <w:tc>
          <w:tcPr>
            <w:tcW w:type="pct" w:w="278"/>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b/>
                <w:bCs/>
                <w:color w:val="000000"/>
                <w:sz w:val="16"/>
                <w:szCs w:val="16"/>
              </w:rPr>
            </w:pPr>
            <w:r>
              <w:rPr>
                <w:rFonts w:cs="Calibri" w:hAnsi="Calibri" w:ascii="Calibri"/>
                <w:b/>
                <w:bCs/>
                <w:color w:val="000000"/>
                <w:sz w:val="16"/>
                <w:szCs w:val="16"/>
              </w:rPr>
              <w:t>68.230.849,84</w:t>
            </w:r>
          </w:p>
        </w:tc>
        <w:tc>
          <w:tcPr>
            <w:tcW w:type="pct" w:w="355"/>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b/>
                <w:bCs/>
                <w:color w:val="000000"/>
                <w:sz w:val="16"/>
                <w:szCs w:val="16"/>
              </w:rPr>
            </w:pPr>
            <w:r>
              <w:rPr>
                <w:rFonts w:cs="Calibri" w:hAnsi="Calibri" w:ascii="Calibri"/>
                <w:b/>
                <w:bCs/>
                <w:color w:val="000000"/>
                <w:sz w:val="16"/>
                <w:szCs w:val="16"/>
              </w:rPr>
              <w:t>68.917.932,82</w:t>
            </w:r>
          </w:p>
        </w:tc>
        <w:tc>
          <w:tcPr>
            <w:tcW w:type="pct" w:w="188"/>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b/>
                <w:bCs/>
                <w:color w:val="000000"/>
                <w:sz w:val="16"/>
                <w:szCs w:val="16"/>
              </w:rPr>
            </w:pPr>
            <w:r>
              <w:rPr>
                <w:rFonts w:cs="Calibri" w:hAnsi="Calibri" w:ascii="Calibri"/>
                <w:b/>
                <w:bCs/>
                <w:color w:val="000000"/>
                <w:sz w:val="16"/>
                <w:szCs w:val="16"/>
              </w:rPr>
              <w:t>68,22%</w:t>
            </w:r>
          </w:p>
        </w:tc>
        <w:tc>
          <w:tcPr>
            <w:tcW w:type="pct" w:w="258"/>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b/>
                <w:bCs/>
                <w:color w:val="000000"/>
                <w:sz w:val="16"/>
                <w:szCs w:val="16"/>
              </w:rPr>
            </w:pPr>
            <w:r>
              <w:rPr>
                <w:rFonts w:cs="Calibri" w:hAnsi="Calibri" w:ascii="Calibri"/>
                <w:b/>
                <w:bCs/>
                <w:color w:val="000000"/>
                <w:sz w:val="16"/>
                <w:szCs w:val="16"/>
              </w:rPr>
              <w:t>687.082,98</w:t>
            </w:r>
          </w:p>
        </w:tc>
        <w:tc>
          <w:tcPr>
            <w:tcW w:type="pct" w:w="290"/>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b/>
                <w:bCs/>
                <w:color w:val="000000"/>
                <w:sz w:val="16"/>
                <w:szCs w:val="16"/>
              </w:rPr>
            </w:pPr>
            <w:r>
              <w:rPr>
                <w:rFonts w:cs="Calibri" w:hAnsi="Calibri" w:ascii="Calibri"/>
                <w:b/>
                <w:bCs/>
                <w:color w:val="000000"/>
                <w:sz w:val="16"/>
                <w:szCs w:val="16"/>
              </w:rPr>
              <w:t>68.230.849,84</w:t>
            </w:r>
          </w:p>
        </w:tc>
        <w:tc>
          <w:tcPr>
            <w:tcW w:type="pct" w:w="233"/>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b/>
                <w:bCs/>
                <w:color w:val="000000"/>
                <w:sz w:val="16"/>
                <w:szCs w:val="16"/>
              </w:rPr>
            </w:pPr>
            <w:r>
              <w:rPr>
                <w:rFonts w:cs="Calibri" w:hAnsi="Calibri" w:ascii="Calibri"/>
                <w:b/>
                <w:bCs/>
                <w:color w:val="000000"/>
                <w:sz w:val="16"/>
                <w:szCs w:val="16"/>
              </w:rPr>
              <w:t>100,00%</w:t>
            </w:r>
          </w:p>
        </w:tc>
        <w:tc>
          <w:tcPr>
            <w:tcW w:type="pct" w:w="222"/>
            <w:tcBorders>
              <w:top w:val="nil"/>
              <w:left w:val="nil"/>
              <w:bottom w:space="0" w:sz="8" w:color="B8CCE4" w:val="single"/>
              <w:right w:space="0" w:sz="8" w:color="B8CCE4" w:val="single"/>
            </w:tcBorders>
            <w:noWrap/>
            <w:vAlign w:val="center"/>
            <w:hideMark/>
          </w:tcPr>
          <w:p w:rsidRDefault="001E3364" w:rsidR="001E3364">
            <w:pPr>
              <w:spacing w:after="0"/>
              <w:jc w:val="center"/>
              <w:rPr>
                <w:rFonts w:cs="Calibri" w:hAnsi="Calibri" w:ascii="Calibri"/>
                <w:b/>
                <w:bCs/>
                <w:color w:val="000000"/>
                <w:sz w:val="16"/>
                <w:szCs w:val="16"/>
              </w:rPr>
            </w:pPr>
            <w:r>
              <w:rPr>
                <w:rFonts w:cs="Calibri" w:hAnsi="Calibri" w:ascii="Calibri"/>
                <w:b/>
                <w:bCs/>
                <w:color w:val="000000"/>
                <w:sz w:val="16"/>
                <w:szCs w:val="16"/>
              </w:rPr>
              <w:t> </w:t>
            </w:r>
          </w:p>
        </w:tc>
        <w:tc>
          <w:tcPr>
            <w:tcW w:type="pct" w:w="234"/>
            <w:tcBorders>
              <w:top w:val="nil"/>
              <w:left w:val="nil"/>
              <w:bottom w:space="0" w:sz="8" w:color="B8CCE4" w:val="single"/>
              <w:right w:space="0" w:sz="8" w:color="B8CCE4" w:val="single"/>
            </w:tcBorders>
            <w:noWrap/>
            <w:vAlign w:val="center"/>
            <w:hideMark/>
          </w:tcPr>
          <w:p w:rsidRDefault="001E3364" w:rsidR="001E3364">
            <w:pPr>
              <w:spacing w:after="0"/>
              <w:rPr>
                <w:rFonts w:cs="Calibri" w:hAnsi="Calibri" w:ascii="Calibri"/>
                <w:b/>
                <w:bCs/>
                <w:color w:val="000000"/>
                <w:sz w:val="16"/>
                <w:szCs w:val="16"/>
              </w:rPr>
            </w:pPr>
            <w:r>
              <w:rPr>
                <w:rFonts w:cs="Calibri" w:hAnsi="Calibri" w:ascii="Calibri"/>
                <w:b/>
                <w:bCs/>
                <w:color w:val="000000"/>
                <w:sz w:val="16"/>
                <w:szCs w:val="16"/>
              </w:rPr>
              <w:t> </w:t>
            </w:r>
          </w:p>
        </w:tc>
        <w:tc>
          <w:tcPr>
            <w:tcW w:type="pct" w:w="228"/>
            <w:tcBorders>
              <w:top w:val="nil"/>
              <w:left w:val="nil"/>
              <w:bottom w:space="0" w:sz="8" w:color="B8CCE4" w:val="single"/>
              <w:right w:space="0" w:sz="8" w:color="B8CCE4" w:val="single"/>
            </w:tcBorders>
            <w:noWrap/>
            <w:vAlign w:val="center"/>
            <w:hideMark/>
          </w:tcPr>
          <w:p w:rsidRDefault="001E3364" w:rsidR="001E3364">
            <w:pPr>
              <w:spacing w:after="0"/>
              <w:rPr>
                <w:rFonts w:cs="Calibri" w:hAnsi="Calibri" w:ascii="Calibri"/>
                <w:b/>
                <w:bCs/>
                <w:color w:val="000000"/>
                <w:sz w:val="16"/>
                <w:szCs w:val="16"/>
              </w:rPr>
            </w:pPr>
            <w:r>
              <w:rPr>
                <w:rFonts w:cs="Calibri" w:hAnsi="Calibri" w:ascii="Calibri"/>
                <w:b/>
                <w:bCs/>
                <w:color w:val="000000"/>
                <w:sz w:val="16"/>
                <w:szCs w:val="16"/>
              </w:rPr>
              <w:t> </w:t>
            </w:r>
          </w:p>
        </w:tc>
        <w:tc>
          <w:tcPr>
            <w:tcW w:type="pct" w:w="663"/>
            <w:tcBorders>
              <w:top w:val="nil"/>
              <w:left w:val="nil"/>
              <w:bottom w:space="0" w:sz="8" w:color="B8CCE4" w:val="single"/>
              <w:right w:space="0" w:sz="8" w:color="B8CCE4" w:val="single"/>
            </w:tcBorders>
            <w:noWrap/>
            <w:vAlign w:val="center"/>
            <w:hideMark/>
          </w:tcPr>
          <w:p w:rsidRDefault="001E3364" w:rsidR="001E3364">
            <w:pPr>
              <w:spacing w:after="0"/>
              <w:rPr>
                <w:rFonts w:cs="Calibri" w:hAnsi="Calibri" w:ascii="Calibri"/>
                <w:b/>
                <w:bCs/>
                <w:color w:val="000000"/>
                <w:sz w:val="16"/>
                <w:szCs w:val="16"/>
              </w:rPr>
            </w:pPr>
            <w:r>
              <w:rPr>
                <w:rFonts w:cs="Calibri" w:hAnsi="Calibri" w:ascii="Calibri"/>
                <w:b/>
                <w:bCs/>
                <w:color w:val="000000"/>
                <w:sz w:val="16"/>
                <w:szCs w:val="16"/>
              </w:rPr>
              <w:t> </w:t>
            </w:r>
          </w:p>
        </w:tc>
        <w:tc>
          <w:tcPr>
            <w:tcW w:type="pct" w:w="278"/>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b/>
                <w:bCs/>
                <w:color w:val="000000"/>
                <w:sz w:val="16"/>
                <w:szCs w:val="16"/>
              </w:rPr>
            </w:pPr>
            <w:r>
              <w:rPr>
                <w:rFonts w:cs="Calibri" w:hAnsi="Calibri" w:ascii="Calibri"/>
                <w:b/>
                <w:bCs/>
                <w:color w:val="000000"/>
                <w:sz w:val="16"/>
                <w:szCs w:val="16"/>
              </w:rPr>
              <w:t>68.917.932,82</w:t>
            </w:r>
          </w:p>
        </w:tc>
        <w:tc>
          <w:tcPr>
            <w:tcW w:type="pct" w:w="289"/>
            <w:tcBorders>
              <w:top w:val="nil"/>
              <w:left w:val="nil"/>
              <w:bottom w:space="0" w:sz="8" w:color="B8CCE4" w:val="single"/>
              <w:right w:space="0" w:sz="8" w:color="B8CCE4" w:val="single"/>
            </w:tcBorders>
            <w:noWrap/>
            <w:vAlign w:val="center"/>
            <w:hideMark/>
          </w:tcPr>
          <w:p w:rsidRDefault="001E3364" w:rsidR="001E3364">
            <w:pPr>
              <w:spacing w:after="0"/>
              <w:rPr>
                <w:rFonts w:cs="Calibri" w:hAnsi="Calibri" w:ascii="Calibri"/>
                <w:b/>
                <w:bCs/>
                <w:color w:val="000000"/>
                <w:sz w:val="16"/>
                <w:szCs w:val="16"/>
              </w:rPr>
            </w:pPr>
            <w:r>
              <w:rPr>
                <w:rFonts w:cs="Calibri" w:hAnsi="Calibri" w:ascii="Calibri"/>
                <w:b/>
                <w:bCs/>
                <w:color w:val="000000"/>
                <w:sz w:val="16"/>
                <w:szCs w:val="16"/>
              </w:rPr>
              <w:t> </w:t>
            </w:r>
          </w:p>
        </w:tc>
      </w:tr>
      <w:tr w:rsidTr="001E3364" w:rsidR="001E3364">
        <w:trPr>
          <w:trHeight w:val="20"/>
        </w:trPr>
        <w:tc>
          <w:tcPr>
            <w:tcW w:type="pct" w:w="72"/>
            <w:tcBorders>
              <w:top w:val="nil"/>
              <w:left w:space="0" w:sz="8" w:color="B8CCE4" w:val="single"/>
              <w:bottom w:space="0" w:sz="8" w:color="B8CCE4" w:val="single"/>
              <w:right w:space="0" w:sz="8" w:color="B8CCE4" w:val="single"/>
            </w:tcBorders>
            <w:noWrap/>
            <w:vAlign w:val="center"/>
            <w:hideMark/>
          </w:tcPr>
          <w:p w:rsidRDefault="001E3364" w:rsidR="001E3364">
            <w:pPr>
              <w:spacing w:lineRule="auto" w:line="240" w:after="0"/>
              <w:jc w:val="center"/>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 </w:t>
            </w:r>
          </w:p>
        </w:tc>
        <w:tc>
          <w:tcPr>
            <w:tcW w:type="pct" w:w="1154"/>
            <w:tcBorders>
              <w:top w:val="nil"/>
              <w:left w:val="nil"/>
              <w:bottom w:space="0" w:sz="8" w:color="B8CCE4" w:val="single"/>
              <w:right w:space="0" w:sz="8" w:color="B8CCE4" w:val="single"/>
            </w:tcBorders>
            <w:noWrap/>
            <w:vAlign w:val="center"/>
            <w:hideMark/>
          </w:tcPr>
          <w:p w:rsidRDefault="001E3364" w:rsidR="001E3364">
            <w:pPr>
              <w:spacing w:lineRule="auto" w:line="240" w:after="0"/>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 </w:t>
            </w:r>
          </w:p>
        </w:tc>
        <w:tc>
          <w:tcPr>
            <w:tcW w:type="pct" w:w="258"/>
            <w:tcBorders>
              <w:top w:val="nil"/>
              <w:left w:val="nil"/>
              <w:bottom w:space="0" w:sz="8" w:color="B8CCE4" w:val="single"/>
              <w:right w:space="0" w:sz="8" w:color="B8CCE4" w:val="single"/>
            </w:tcBorders>
            <w:noWrap/>
            <w:vAlign w:val="center"/>
            <w:hideMark/>
          </w:tcPr>
          <w:p w:rsidRDefault="001E3364" w:rsidR="001E3364">
            <w:pPr>
              <w:spacing w:after="0"/>
              <w:rPr>
                <w:rFonts w:cs="Calibri" w:hAnsi="Calibri" w:ascii="Calibri"/>
                <w:b/>
                <w:bCs/>
                <w:color w:val="000000"/>
                <w:sz w:val="16"/>
                <w:szCs w:val="16"/>
              </w:rPr>
            </w:pPr>
            <w:r>
              <w:rPr>
                <w:rFonts w:cs="Calibri" w:hAnsi="Calibri" w:ascii="Calibri"/>
                <w:b/>
                <w:bCs/>
                <w:color w:val="000000"/>
                <w:sz w:val="16"/>
                <w:szCs w:val="16"/>
              </w:rPr>
              <w:t> </w:t>
            </w:r>
          </w:p>
        </w:tc>
        <w:tc>
          <w:tcPr>
            <w:tcW w:type="pct" w:w="278"/>
            <w:tcBorders>
              <w:top w:val="nil"/>
              <w:left w:val="nil"/>
              <w:bottom w:space="0" w:sz="8" w:color="B8CCE4" w:val="single"/>
              <w:right w:space="0" w:sz="8" w:color="B8CCE4" w:val="single"/>
            </w:tcBorders>
            <w:noWrap/>
            <w:vAlign w:val="center"/>
            <w:hideMark/>
          </w:tcPr>
          <w:p w:rsidRDefault="001E3364" w:rsidR="001E3364">
            <w:pPr>
              <w:spacing w:after="0"/>
              <w:rPr>
                <w:rFonts w:cs="Calibri" w:hAnsi="Calibri" w:ascii="Calibri"/>
                <w:b/>
                <w:bCs/>
                <w:color w:val="000000"/>
                <w:sz w:val="16"/>
                <w:szCs w:val="16"/>
              </w:rPr>
            </w:pPr>
            <w:r>
              <w:rPr>
                <w:rFonts w:cs="Calibri" w:hAnsi="Calibri" w:ascii="Calibri"/>
                <w:b/>
                <w:bCs/>
                <w:color w:val="000000"/>
                <w:sz w:val="16"/>
                <w:szCs w:val="16"/>
              </w:rPr>
              <w:t> </w:t>
            </w:r>
          </w:p>
        </w:tc>
        <w:tc>
          <w:tcPr>
            <w:tcW w:type="pct" w:w="355"/>
            <w:tcBorders>
              <w:top w:val="nil"/>
              <w:left w:val="nil"/>
              <w:bottom w:space="0" w:sz="8" w:color="B8CCE4" w:val="single"/>
              <w:right w:space="0" w:sz="8" w:color="B8CCE4" w:val="single"/>
            </w:tcBorders>
            <w:noWrap/>
            <w:vAlign w:val="center"/>
            <w:hideMark/>
          </w:tcPr>
          <w:p w:rsidRDefault="001E3364" w:rsidR="001E3364">
            <w:pPr>
              <w:spacing w:after="0"/>
              <w:rPr>
                <w:rFonts w:cs="Calibri" w:hAnsi="Calibri" w:ascii="Calibri"/>
                <w:b/>
                <w:bCs/>
                <w:color w:val="000000"/>
                <w:sz w:val="16"/>
                <w:szCs w:val="16"/>
              </w:rPr>
            </w:pPr>
            <w:r>
              <w:rPr>
                <w:rFonts w:cs="Calibri" w:hAnsi="Calibri" w:ascii="Calibri"/>
                <w:b/>
                <w:bCs/>
                <w:color w:val="000000"/>
                <w:sz w:val="16"/>
                <w:szCs w:val="16"/>
              </w:rPr>
              <w:t> </w:t>
            </w:r>
          </w:p>
        </w:tc>
        <w:tc>
          <w:tcPr>
            <w:tcW w:type="pct" w:w="188"/>
            <w:tcBorders>
              <w:top w:val="nil"/>
              <w:left w:val="nil"/>
              <w:bottom w:space="0" w:sz="8" w:color="B8CCE4" w:val="single"/>
              <w:right w:space="0" w:sz="8" w:color="B8CCE4" w:val="single"/>
            </w:tcBorders>
            <w:noWrap/>
            <w:vAlign w:val="center"/>
            <w:hideMark/>
          </w:tcPr>
          <w:p w:rsidRDefault="001E3364" w:rsidR="001E3364">
            <w:pPr>
              <w:spacing w:after="0"/>
              <w:rPr>
                <w:rFonts w:cs="Calibri" w:hAnsi="Calibri" w:ascii="Calibri"/>
                <w:b/>
                <w:bCs/>
                <w:color w:val="000000"/>
                <w:sz w:val="16"/>
                <w:szCs w:val="16"/>
              </w:rPr>
            </w:pPr>
            <w:r>
              <w:rPr>
                <w:rFonts w:cs="Calibri" w:hAnsi="Calibri" w:ascii="Calibri"/>
                <w:b/>
                <w:bCs/>
                <w:color w:val="000000"/>
                <w:sz w:val="16"/>
                <w:szCs w:val="16"/>
              </w:rPr>
              <w:t> </w:t>
            </w:r>
          </w:p>
        </w:tc>
        <w:tc>
          <w:tcPr>
            <w:tcW w:type="pct" w:w="258"/>
            <w:tcBorders>
              <w:top w:val="nil"/>
              <w:left w:val="nil"/>
              <w:bottom w:space="0" w:sz="8" w:color="B8CCE4" w:val="single"/>
              <w:right w:space="0" w:sz="8" w:color="B8CCE4" w:val="single"/>
            </w:tcBorders>
            <w:noWrap/>
            <w:vAlign w:val="center"/>
            <w:hideMark/>
          </w:tcPr>
          <w:p w:rsidRDefault="001E3364" w:rsidR="001E3364">
            <w:pPr>
              <w:spacing w:after="0"/>
              <w:rPr>
                <w:rFonts w:cs="Calibri" w:hAnsi="Calibri" w:ascii="Calibri"/>
                <w:b/>
                <w:bCs/>
                <w:color w:val="000000"/>
                <w:sz w:val="16"/>
                <w:szCs w:val="16"/>
              </w:rPr>
            </w:pPr>
            <w:r>
              <w:rPr>
                <w:rFonts w:cs="Calibri" w:hAnsi="Calibri" w:ascii="Calibri"/>
                <w:b/>
                <w:bCs/>
                <w:color w:val="000000"/>
                <w:sz w:val="16"/>
                <w:szCs w:val="16"/>
              </w:rPr>
              <w:t> </w:t>
            </w:r>
          </w:p>
        </w:tc>
        <w:tc>
          <w:tcPr>
            <w:tcW w:type="pct" w:w="290"/>
            <w:tcBorders>
              <w:top w:val="nil"/>
              <w:left w:val="nil"/>
              <w:bottom w:space="0" w:sz="8" w:color="B8CCE4" w:val="single"/>
              <w:right w:space="0" w:sz="8" w:color="B8CCE4" w:val="single"/>
            </w:tcBorders>
            <w:noWrap/>
            <w:vAlign w:val="center"/>
            <w:hideMark/>
          </w:tcPr>
          <w:p w:rsidRDefault="001E3364" w:rsidR="001E3364">
            <w:pPr>
              <w:spacing w:after="0"/>
              <w:rPr>
                <w:rFonts w:cs="Calibri" w:hAnsi="Calibri" w:ascii="Calibri"/>
                <w:b/>
                <w:bCs/>
                <w:color w:val="000000"/>
                <w:sz w:val="16"/>
                <w:szCs w:val="16"/>
              </w:rPr>
            </w:pPr>
            <w:r>
              <w:rPr>
                <w:rFonts w:cs="Calibri" w:hAnsi="Calibri" w:ascii="Calibri"/>
                <w:b/>
                <w:bCs/>
                <w:color w:val="000000"/>
                <w:sz w:val="16"/>
                <w:szCs w:val="16"/>
              </w:rPr>
              <w:t> </w:t>
            </w:r>
          </w:p>
        </w:tc>
        <w:tc>
          <w:tcPr>
            <w:tcW w:type="pct" w:w="233"/>
            <w:tcBorders>
              <w:top w:val="nil"/>
              <w:left w:val="nil"/>
              <w:bottom w:space="0" w:sz="8" w:color="B8CCE4" w:val="single"/>
              <w:right w:space="0" w:sz="8" w:color="B8CCE4" w:val="single"/>
            </w:tcBorders>
            <w:noWrap/>
            <w:vAlign w:val="center"/>
            <w:hideMark/>
          </w:tcPr>
          <w:p w:rsidRDefault="001E3364" w:rsidR="001E3364">
            <w:pPr>
              <w:spacing w:after="0"/>
              <w:rPr>
                <w:rFonts w:cs="Calibri" w:hAnsi="Calibri" w:ascii="Calibri"/>
                <w:b/>
                <w:bCs/>
                <w:color w:val="000000"/>
                <w:sz w:val="16"/>
                <w:szCs w:val="16"/>
              </w:rPr>
            </w:pPr>
            <w:r>
              <w:rPr>
                <w:rFonts w:cs="Calibri" w:hAnsi="Calibri" w:ascii="Calibri"/>
                <w:b/>
                <w:bCs/>
                <w:color w:val="000000"/>
                <w:sz w:val="16"/>
                <w:szCs w:val="16"/>
              </w:rPr>
              <w:t> </w:t>
            </w:r>
          </w:p>
        </w:tc>
        <w:tc>
          <w:tcPr>
            <w:tcW w:type="pct" w:w="222"/>
            <w:tcBorders>
              <w:top w:val="nil"/>
              <w:left w:val="nil"/>
              <w:bottom w:space="0" w:sz="8" w:color="B8CCE4" w:val="single"/>
              <w:right w:space="0" w:sz="8" w:color="B8CCE4" w:val="single"/>
            </w:tcBorders>
            <w:noWrap/>
            <w:vAlign w:val="center"/>
            <w:hideMark/>
          </w:tcPr>
          <w:p w:rsidRDefault="001E3364" w:rsidR="001E3364">
            <w:pPr>
              <w:spacing w:lineRule="auto" w:line="240" w:after="0"/>
              <w:jc w:val="center"/>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 </w:t>
            </w:r>
          </w:p>
        </w:tc>
        <w:tc>
          <w:tcPr>
            <w:tcW w:type="pct" w:w="234"/>
            <w:tcBorders>
              <w:top w:val="nil"/>
              <w:left w:val="nil"/>
              <w:bottom w:space="0" w:sz="8" w:color="B8CCE4" w:val="single"/>
              <w:right w:space="0" w:sz="8" w:color="B8CCE4" w:val="single"/>
            </w:tcBorders>
            <w:noWrap/>
            <w:vAlign w:val="center"/>
            <w:hideMark/>
          </w:tcPr>
          <w:p w:rsidRDefault="001E3364" w:rsidR="001E3364">
            <w:pPr>
              <w:spacing w:lineRule="auto" w:line="240" w:after="0"/>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 </w:t>
            </w:r>
          </w:p>
        </w:tc>
        <w:tc>
          <w:tcPr>
            <w:tcW w:type="pct" w:w="228"/>
            <w:tcBorders>
              <w:top w:val="nil"/>
              <w:left w:val="nil"/>
              <w:bottom w:space="0" w:sz="8" w:color="B8CCE4" w:val="single"/>
              <w:right w:space="0" w:sz="8" w:color="B8CCE4" w:val="single"/>
            </w:tcBorders>
            <w:noWrap/>
            <w:vAlign w:val="center"/>
            <w:hideMark/>
          </w:tcPr>
          <w:p w:rsidRDefault="001E3364" w:rsidR="001E3364">
            <w:pPr>
              <w:spacing w:lineRule="auto" w:line="240" w:after="0"/>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 </w:t>
            </w:r>
          </w:p>
        </w:tc>
        <w:tc>
          <w:tcPr>
            <w:tcW w:type="pct" w:w="663"/>
            <w:tcBorders>
              <w:top w:val="nil"/>
              <w:left w:val="nil"/>
              <w:bottom w:space="0" w:sz="8" w:color="B8CCE4" w:val="single"/>
              <w:right w:space="0" w:sz="8" w:color="B8CCE4" w:val="single"/>
            </w:tcBorders>
            <w:noWrap/>
            <w:vAlign w:val="center"/>
            <w:hideMark/>
          </w:tcPr>
          <w:p w:rsidRDefault="001E3364" w:rsidR="001E3364">
            <w:pPr>
              <w:spacing w:lineRule="auto" w:line="240" w:after="0"/>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 </w:t>
            </w:r>
          </w:p>
        </w:tc>
        <w:tc>
          <w:tcPr>
            <w:tcW w:type="pct" w:w="278"/>
            <w:tcBorders>
              <w:top w:val="nil"/>
              <w:left w:val="nil"/>
              <w:bottom w:space="0" w:sz="8" w:color="B8CCE4" w:val="single"/>
              <w:right w:space="0" w:sz="8" w:color="B8CCE4" w:val="single"/>
            </w:tcBorders>
            <w:noWrap/>
            <w:vAlign w:val="center"/>
            <w:hideMark/>
          </w:tcPr>
          <w:p w:rsidRDefault="001E3364" w:rsidR="001E3364">
            <w:pPr>
              <w:spacing w:after="0"/>
              <w:rPr>
                <w:rFonts w:cs="Calibri" w:hAnsi="Calibri" w:ascii="Calibri"/>
                <w:b/>
                <w:bCs/>
                <w:color w:val="000000"/>
                <w:sz w:val="16"/>
                <w:szCs w:val="16"/>
              </w:rPr>
            </w:pPr>
            <w:r>
              <w:rPr>
                <w:rFonts w:cs="Calibri" w:hAnsi="Calibri" w:ascii="Calibri"/>
                <w:b/>
                <w:bCs/>
                <w:color w:val="000000"/>
                <w:sz w:val="16"/>
                <w:szCs w:val="16"/>
              </w:rPr>
              <w:t> </w:t>
            </w:r>
          </w:p>
        </w:tc>
        <w:tc>
          <w:tcPr>
            <w:tcW w:type="pct" w:w="289"/>
            <w:tcBorders>
              <w:top w:val="nil"/>
              <w:left w:val="nil"/>
              <w:bottom w:space="0" w:sz="8" w:color="B8CCE4" w:val="single"/>
              <w:right w:space="0" w:sz="8" w:color="B8CCE4" w:val="single"/>
            </w:tcBorders>
            <w:noWrap/>
            <w:vAlign w:val="center"/>
            <w:hideMark/>
          </w:tcPr>
          <w:p w:rsidRDefault="001E3364" w:rsidR="001E3364">
            <w:pPr>
              <w:spacing w:after="0"/>
              <w:rPr>
                <w:rFonts w:cs="Calibri" w:hAnsi="Calibri" w:ascii="Calibri"/>
                <w:b/>
                <w:bCs/>
                <w:color w:val="000000"/>
                <w:sz w:val="16"/>
                <w:szCs w:val="16"/>
              </w:rPr>
            </w:pPr>
            <w:r>
              <w:rPr>
                <w:rFonts w:cs="Calibri" w:hAnsi="Calibri" w:ascii="Calibri"/>
                <w:b/>
                <w:bCs/>
                <w:color w:val="000000"/>
                <w:sz w:val="16"/>
                <w:szCs w:val="16"/>
              </w:rPr>
              <w:t> </w:t>
            </w:r>
          </w:p>
        </w:tc>
      </w:tr>
      <w:tr w:rsidTr="001E3364" w:rsidR="001E3364">
        <w:trPr>
          <w:trHeight w:val="20"/>
        </w:trPr>
        <w:tc>
          <w:tcPr>
            <w:tcW w:type="pct" w:w="72"/>
            <w:tcBorders>
              <w:top w:val="nil"/>
              <w:left w:space="0" w:sz="8" w:color="B8CCE4" w:val="single"/>
              <w:bottom w:space="0" w:sz="8" w:color="B8CCE4" w:val="single"/>
              <w:right w:space="0" w:sz="8" w:color="B8CCE4" w:val="single"/>
            </w:tcBorders>
            <w:shd w:fill="DCE6F1" w:color="auto" w:val="clear"/>
            <w:noWrap/>
            <w:vAlign w:val="center"/>
            <w:hideMark/>
          </w:tcPr>
          <w:p w:rsidRDefault="001E3364" w:rsidR="001E3364">
            <w:pPr>
              <w:spacing w:lineRule="auto" w:line="240" w:after="0"/>
              <w:jc w:val="center"/>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2</w:t>
            </w:r>
          </w:p>
        </w:tc>
        <w:tc>
          <w:tcPr>
            <w:tcW w:type="pct" w:w="1154"/>
            <w:tcBorders>
              <w:top w:val="nil"/>
              <w:left w:val="nil"/>
              <w:bottom w:space="0" w:sz="8" w:color="B8CCE4" w:val="single"/>
              <w:right w:space="0" w:sz="8" w:color="B8CCE4" w:val="single"/>
            </w:tcBorders>
            <w:shd w:fill="DCE6F1" w:color="auto" w:val="clear"/>
            <w:noWrap/>
            <w:vAlign w:val="center"/>
            <w:hideMark/>
          </w:tcPr>
          <w:p w:rsidRDefault="001E3364" w:rsidR="001E3364">
            <w:pPr>
              <w:spacing w:lineRule="auto" w:line="240" w:after="0"/>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Izlučni vjerovnici s pravom povrata stvari</w:t>
            </w:r>
          </w:p>
        </w:tc>
        <w:tc>
          <w:tcPr>
            <w:tcW w:type="pct" w:w="258"/>
            <w:tcBorders>
              <w:top w:val="nil"/>
              <w:left w:val="nil"/>
              <w:bottom w:space="0" w:sz="8" w:color="B8CCE4" w:val="single"/>
              <w:right w:space="0" w:sz="8" w:color="B8CCE4" w:val="single"/>
            </w:tcBorders>
            <w:shd w:fill="DCE6F1" w:color="auto" w:val="clear"/>
            <w:noWrap/>
            <w:vAlign w:val="center"/>
            <w:hideMark/>
          </w:tcPr>
          <w:p w:rsidRDefault="001E3364" w:rsidR="001E3364">
            <w:pPr>
              <w:spacing w:after="0"/>
              <w:rPr>
                <w:rFonts w:cs="Calibri" w:hAnsi="Calibri" w:ascii="Calibri"/>
                <w:b/>
                <w:bCs/>
                <w:color w:val="000000"/>
                <w:sz w:val="16"/>
                <w:szCs w:val="16"/>
              </w:rPr>
            </w:pPr>
            <w:r>
              <w:rPr>
                <w:rFonts w:cs="Calibri" w:hAnsi="Calibri" w:ascii="Calibri"/>
                <w:b/>
                <w:bCs/>
                <w:color w:val="000000"/>
                <w:sz w:val="16"/>
                <w:szCs w:val="16"/>
              </w:rPr>
              <w:t> </w:t>
            </w:r>
          </w:p>
        </w:tc>
        <w:tc>
          <w:tcPr>
            <w:tcW w:type="pct" w:w="278"/>
            <w:tcBorders>
              <w:top w:val="nil"/>
              <w:left w:val="nil"/>
              <w:bottom w:space="0" w:sz="8" w:color="B8CCE4" w:val="single"/>
              <w:right w:space="0" w:sz="8" w:color="B8CCE4" w:val="single"/>
            </w:tcBorders>
            <w:shd w:fill="DCE6F1" w:color="auto" w:val="clear"/>
            <w:noWrap/>
            <w:vAlign w:val="center"/>
            <w:hideMark/>
          </w:tcPr>
          <w:p w:rsidRDefault="001E3364" w:rsidR="001E3364">
            <w:pPr>
              <w:spacing w:after="0"/>
              <w:rPr>
                <w:rFonts w:cs="Calibri" w:hAnsi="Calibri" w:ascii="Calibri"/>
                <w:b/>
                <w:bCs/>
                <w:color w:val="000000"/>
                <w:sz w:val="16"/>
                <w:szCs w:val="16"/>
              </w:rPr>
            </w:pPr>
            <w:r>
              <w:rPr>
                <w:rFonts w:cs="Calibri" w:hAnsi="Calibri" w:ascii="Calibri"/>
                <w:b/>
                <w:bCs/>
                <w:color w:val="000000"/>
                <w:sz w:val="16"/>
                <w:szCs w:val="16"/>
              </w:rPr>
              <w:t> </w:t>
            </w:r>
          </w:p>
        </w:tc>
        <w:tc>
          <w:tcPr>
            <w:tcW w:type="pct" w:w="355"/>
            <w:tcBorders>
              <w:top w:val="nil"/>
              <w:left w:val="nil"/>
              <w:bottom w:space="0" w:sz="8" w:color="B8CCE4" w:val="single"/>
              <w:right w:space="0" w:sz="8" w:color="B8CCE4" w:val="single"/>
            </w:tcBorders>
            <w:shd w:fill="DCE6F1" w:color="auto" w:val="clear"/>
            <w:noWrap/>
            <w:vAlign w:val="center"/>
            <w:hideMark/>
          </w:tcPr>
          <w:p w:rsidRDefault="001E3364" w:rsidR="001E3364">
            <w:pPr>
              <w:spacing w:after="0"/>
              <w:rPr>
                <w:rFonts w:cs="Calibri" w:hAnsi="Calibri" w:ascii="Calibri"/>
                <w:b/>
                <w:bCs/>
                <w:color w:val="000000"/>
                <w:sz w:val="16"/>
                <w:szCs w:val="16"/>
              </w:rPr>
            </w:pPr>
            <w:r>
              <w:rPr>
                <w:rFonts w:cs="Calibri" w:hAnsi="Calibri" w:ascii="Calibri"/>
                <w:b/>
                <w:bCs/>
                <w:color w:val="000000"/>
                <w:sz w:val="16"/>
                <w:szCs w:val="16"/>
              </w:rPr>
              <w:t> </w:t>
            </w:r>
          </w:p>
        </w:tc>
        <w:tc>
          <w:tcPr>
            <w:tcW w:type="pct" w:w="188"/>
            <w:tcBorders>
              <w:top w:val="nil"/>
              <w:left w:val="nil"/>
              <w:bottom w:space="0" w:sz="8" w:color="B8CCE4" w:val="single"/>
              <w:right w:space="0" w:sz="8" w:color="B8CCE4" w:val="single"/>
            </w:tcBorders>
            <w:shd w:fill="DCE6F1" w:color="auto" w:val="clear"/>
            <w:noWrap/>
            <w:vAlign w:val="center"/>
            <w:hideMark/>
          </w:tcPr>
          <w:p w:rsidRDefault="001E3364" w:rsidR="001E3364">
            <w:pPr>
              <w:spacing w:after="0"/>
              <w:rPr>
                <w:rFonts w:cs="Calibri" w:hAnsi="Calibri" w:ascii="Calibri"/>
                <w:b/>
                <w:bCs/>
                <w:color w:val="000000"/>
                <w:sz w:val="16"/>
                <w:szCs w:val="16"/>
              </w:rPr>
            </w:pPr>
            <w:r>
              <w:rPr>
                <w:rFonts w:cs="Calibri" w:hAnsi="Calibri" w:ascii="Calibri"/>
                <w:b/>
                <w:bCs/>
                <w:color w:val="000000"/>
                <w:sz w:val="16"/>
                <w:szCs w:val="16"/>
              </w:rPr>
              <w:t> </w:t>
            </w:r>
          </w:p>
        </w:tc>
        <w:tc>
          <w:tcPr>
            <w:tcW w:type="pct" w:w="258"/>
            <w:tcBorders>
              <w:top w:val="nil"/>
              <w:left w:val="nil"/>
              <w:bottom w:space="0" w:sz="8" w:color="B8CCE4" w:val="single"/>
              <w:right w:space="0" w:sz="8" w:color="B8CCE4" w:val="single"/>
            </w:tcBorders>
            <w:shd w:fill="DCE6F1" w:color="auto" w:val="clear"/>
            <w:noWrap/>
            <w:vAlign w:val="center"/>
            <w:hideMark/>
          </w:tcPr>
          <w:p w:rsidRDefault="001E3364" w:rsidR="001E3364">
            <w:pPr>
              <w:spacing w:after="0"/>
              <w:rPr>
                <w:rFonts w:cs="Calibri" w:hAnsi="Calibri" w:ascii="Calibri"/>
                <w:b/>
                <w:bCs/>
                <w:color w:val="000000"/>
                <w:sz w:val="16"/>
                <w:szCs w:val="16"/>
              </w:rPr>
            </w:pPr>
            <w:r>
              <w:rPr>
                <w:rFonts w:cs="Calibri" w:hAnsi="Calibri" w:ascii="Calibri"/>
                <w:b/>
                <w:bCs/>
                <w:color w:val="000000"/>
                <w:sz w:val="16"/>
                <w:szCs w:val="16"/>
              </w:rPr>
              <w:t> </w:t>
            </w:r>
          </w:p>
        </w:tc>
        <w:tc>
          <w:tcPr>
            <w:tcW w:type="pct" w:w="290"/>
            <w:tcBorders>
              <w:top w:val="nil"/>
              <w:left w:val="nil"/>
              <w:bottom w:space="0" w:sz="8" w:color="B8CCE4" w:val="single"/>
              <w:right w:space="0" w:sz="8" w:color="B8CCE4" w:val="single"/>
            </w:tcBorders>
            <w:shd w:fill="DCE6F1" w:color="auto" w:val="clear"/>
            <w:noWrap/>
            <w:vAlign w:val="center"/>
            <w:hideMark/>
          </w:tcPr>
          <w:p w:rsidRDefault="001E3364" w:rsidR="001E3364">
            <w:pPr>
              <w:spacing w:after="0"/>
              <w:rPr>
                <w:rFonts w:cs="Calibri" w:hAnsi="Calibri" w:ascii="Calibri"/>
                <w:b/>
                <w:bCs/>
                <w:color w:val="000000"/>
                <w:sz w:val="16"/>
                <w:szCs w:val="16"/>
              </w:rPr>
            </w:pPr>
            <w:r>
              <w:rPr>
                <w:rFonts w:cs="Calibri" w:hAnsi="Calibri" w:ascii="Calibri"/>
                <w:b/>
                <w:bCs/>
                <w:color w:val="000000"/>
                <w:sz w:val="16"/>
                <w:szCs w:val="16"/>
              </w:rPr>
              <w:t> </w:t>
            </w:r>
          </w:p>
        </w:tc>
        <w:tc>
          <w:tcPr>
            <w:tcW w:type="pct" w:w="233"/>
            <w:tcBorders>
              <w:top w:val="nil"/>
              <w:left w:val="nil"/>
              <w:bottom w:space="0" w:sz="8" w:color="B8CCE4" w:val="single"/>
              <w:right w:space="0" w:sz="8" w:color="B8CCE4" w:val="single"/>
            </w:tcBorders>
            <w:shd w:fill="DCE6F1" w:color="auto" w:val="clear"/>
            <w:noWrap/>
            <w:vAlign w:val="center"/>
            <w:hideMark/>
          </w:tcPr>
          <w:p w:rsidRDefault="001E3364" w:rsidR="001E3364">
            <w:pPr>
              <w:spacing w:after="0"/>
              <w:rPr>
                <w:rFonts w:cs="Calibri" w:hAnsi="Calibri" w:ascii="Calibri"/>
                <w:b/>
                <w:bCs/>
                <w:color w:val="000000"/>
                <w:sz w:val="16"/>
                <w:szCs w:val="16"/>
              </w:rPr>
            </w:pPr>
            <w:r>
              <w:rPr>
                <w:rFonts w:cs="Calibri" w:hAnsi="Calibri" w:ascii="Calibri"/>
                <w:b/>
                <w:bCs/>
                <w:color w:val="000000"/>
                <w:sz w:val="16"/>
                <w:szCs w:val="16"/>
              </w:rPr>
              <w:t> </w:t>
            </w:r>
          </w:p>
        </w:tc>
        <w:tc>
          <w:tcPr>
            <w:tcW w:type="pct" w:w="222"/>
            <w:tcBorders>
              <w:top w:val="nil"/>
              <w:left w:val="nil"/>
              <w:bottom w:space="0" w:sz="8" w:color="B8CCE4" w:val="single"/>
              <w:right w:space="0" w:sz="8" w:color="B8CCE4" w:val="single"/>
            </w:tcBorders>
            <w:shd w:fill="DCE6F1" w:color="auto" w:val="clear"/>
            <w:noWrap/>
            <w:vAlign w:val="center"/>
            <w:hideMark/>
          </w:tcPr>
          <w:p w:rsidRDefault="001E3364" w:rsidR="001E3364">
            <w:pPr>
              <w:spacing w:lineRule="auto" w:line="240" w:after="0"/>
              <w:jc w:val="center"/>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 </w:t>
            </w:r>
          </w:p>
        </w:tc>
        <w:tc>
          <w:tcPr>
            <w:tcW w:type="pct" w:w="234"/>
            <w:tcBorders>
              <w:top w:val="nil"/>
              <w:left w:val="nil"/>
              <w:bottom w:space="0" w:sz="8" w:color="B8CCE4" w:val="single"/>
              <w:right w:space="0" w:sz="8" w:color="B8CCE4" w:val="single"/>
            </w:tcBorders>
            <w:shd w:fill="DCE6F1" w:color="auto" w:val="clear"/>
            <w:noWrap/>
            <w:vAlign w:val="center"/>
            <w:hideMark/>
          </w:tcPr>
          <w:p w:rsidRDefault="001E3364" w:rsidR="001E3364">
            <w:pPr>
              <w:spacing w:lineRule="auto" w:line="240" w:after="0"/>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 </w:t>
            </w:r>
          </w:p>
        </w:tc>
        <w:tc>
          <w:tcPr>
            <w:tcW w:type="pct" w:w="228"/>
            <w:tcBorders>
              <w:top w:val="nil"/>
              <w:left w:val="nil"/>
              <w:bottom w:space="0" w:sz="8" w:color="B8CCE4" w:val="single"/>
              <w:right w:space="0" w:sz="8" w:color="B8CCE4" w:val="single"/>
            </w:tcBorders>
            <w:shd w:fill="DCE6F1" w:color="auto" w:val="clear"/>
            <w:noWrap/>
            <w:vAlign w:val="center"/>
            <w:hideMark/>
          </w:tcPr>
          <w:p w:rsidRDefault="001E3364" w:rsidR="001E3364">
            <w:pPr>
              <w:spacing w:lineRule="auto" w:line="240" w:after="0"/>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 </w:t>
            </w:r>
          </w:p>
        </w:tc>
        <w:tc>
          <w:tcPr>
            <w:tcW w:type="pct" w:w="663"/>
            <w:tcBorders>
              <w:top w:val="nil"/>
              <w:left w:val="nil"/>
              <w:bottom w:space="0" w:sz="8" w:color="B8CCE4" w:val="single"/>
              <w:right w:space="0" w:sz="8" w:color="B8CCE4" w:val="single"/>
            </w:tcBorders>
            <w:shd w:fill="DCE6F1" w:color="auto" w:val="clear"/>
            <w:noWrap/>
            <w:vAlign w:val="center"/>
            <w:hideMark/>
          </w:tcPr>
          <w:p w:rsidRDefault="001E3364" w:rsidR="001E3364">
            <w:pPr>
              <w:spacing w:lineRule="auto" w:line="240" w:after="0"/>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 </w:t>
            </w:r>
          </w:p>
        </w:tc>
        <w:tc>
          <w:tcPr>
            <w:tcW w:type="pct" w:w="278"/>
            <w:tcBorders>
              <w:top w:val="nil"/>
              <w:left w:val="nil"/>
              <w:bottom w:space="0" w:sz="8" w:color="B8CCE4" w:val="single"/>
              <w:right w:space="0" w:sz="8" w:color="B8CCE4" w:val="single"/>
            </w:tcBorders>
            <w:shd w:fill="DCE6F1" w:color="auto" w:val="clear"/>
            <w:noWrap/>
            <w:vAlign w:val="center"/>
            <w:hideMark/>
          </w:tcPr>
          <w:p w:rsidRDefault="001E3364" w:rsidR="001E3364">
            <w:pPr>
              <w:spacing w:after="0"/>
              <w:rPr>
                <w:rFonts w:cs="Calibri" w:hAnsi="Calibri" w:ascii="Calibri"/>
                <w:b/>
                <w:bCs/>
                <w:color w:val="000000"/>
                <w:sz w:val="16"/>
                <w:szCs w:val="16"/>
              </w:rPr>
            </w:pPr>
            <w:r>
              <w:rPr>
                <w:rFonts w:cs="Calibri" w:hAnsi="Calibri" w:ascii="Calibri"/>
                <w:b/>
                <w:bCs/>
                <w:color w:val="000000"/>
                <w:sz w:val="16"/>
                <w:szCs w:val="16"/>
              </w:rPr>
              <w:t> </w:t>
            </w:r>
          </w:p>
        </w:tc>
        <w:tc>
          <w:tcPr>
            <w:tcW w:type="pct" w:w="289"/>
            <w:tcBorders>
              <w:top w:val="nil"/>
              <w:left w:val="nil"/>
              <w:bottom w:space="0" w:sz="8" w:color="B8CCE4" w:val="single"/>
              <w:right w:space="0" w:sz="8" w:color="B8CCE4" w:val="single"/>
            </w:tcBorders>
            <w:shd w:fill="DCE6F1" w:color="auto" w:val="clear"/>
            <w:noWrap/>
            <w:vAlign w:val="center"/>
            <w:hideMark/>
          </w:tcPr>
          <w:p w:rsidRDefault="001E3364" w:rsidR="001E3364">
            <w:pPr>
              <w:spacing w:after="0"/>
              <w:rPr>
                <w:rFonts w:cs="Calibri" w:hAnsi="Calibri" w:ascii="Calibri"/>
                <w:b/>
                <w:bCs/>
                <w:color w:val="000000"/>
                <w:sz w:val="16"/>
                <w:szCs w:val="16"/>
              </w:rPr>
            </w:pPr>
            <w:r>
              <w:rPr>
                <w:rFonts w:cs="Calibri" w:hAnsi="Calibri" w:ascii="Calibri"/>
                <w:b/>
                <w:bCs/>
                <w:color w:val="000000"/>
                <w:sz w:val="16"/>
                <w:szCs w:val="16"/>
              </w:rPr>
              <w:t> </w:t>
            </w:r>
          </w:p>
        </w:tc>
      </w:tr>
      <w:tr w:rsidTr="001E3364" w:rsidR="001E3364">
        <w:trPr>
          <w:trHeight w:val="20"/>
        </w:trPr>
        <w:tc>
          <w:tcPr>
            <w:tcW w:type="pct" w:w="72"/>
            <w:tcBorders>
              <w:top w:val="nil"/>
              <w:left w:space="0" w:sz="8" w:color="B8CCE4" w:val="single"/>
              <w:bottom w:space="0" w:sz="8" w:color="B8CCE4" w:val="single"/>
              <w:right w:space="0" w:sz="8" w:color="B8CCE4" w:val="single"/>
            </w:tcBorders>
            <w:noWrap/>
            <w:vAlign w:val="center"/>
            <w:hideMark/>
          </w:tcPr>
          <w:p w:rsidRDefault="001E3364" w:rsidR="001E3364">
            <w:pPr>
              <w:spacing w:lineRule="auto" w:line="240" w:after="0"/>
              <w:jc w:val="center"/>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w:t>
            </w:r>
          </w:p>
        </w:tc>
        <w:tc>
          <w:tcPr>
            <w:tcW w:type="pct" w:w="1154"/>
            <w:tcBorders>
              <w:top w:val="nil"/>
              <w:left w:val="nil"/>
              <w:bottom w:space="0" w:sz="8" w:color="B8CCE4" w:val="single"/>
              <w:right w:space="0" w:sz="8" w:color="B8CCE4" w:val="single"/>
            </w:tcBorders>
            <w:noWrap/>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Svi vjerovnici</w:t>
            </w:r>
          </w:p>
        </w:tc>
        <w:tc>
          <w:tcPr>
            <w:tcW w:type="pct" w:w="258"/>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color w:val="000000"/>
                <w:sz w:val="16"/>
                <w:szCs w:val="16"/>
              </w:rPr>
            </w:pPr>
            <w:r>
              <w:rPr>
                <w:rFonts w:cs="Calibri" w:hAnsi="Calibri" w:ascii="Calibri"/>
                <w:color w:val="000000"/>
                <w:sz w:val="16"/>
                <w:szCs w:val="16"/>
              </w:rPr>
              <w:t>0,00</w:t>
            </w:r>
          </w:p>
        </w:tc>
        <w:tc>
          <w:tcPr>
            <w:tcW w:type="pct" w:w="278"/>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color w:val="000000"/>
                <w:sz w:val="16"/>
                <w:szCs w:val="16"/>
              </w:rPr>
            </w:pPr>
            <w:r>
              <w:rPr>
                <w:rFonts w:cs="Calibri" w:hAnsi="Calibri" w:ascii="Calibri"/>
                <w:color w:val="000000"/>
                <w:sz w:val="16"/>
                <w:szCs w:val="16"/>
              </w:rPr>
              <w:t>1.835.752,41</w:t>
            </w:r>
          </w:p>
        </w:tc>
        <w:tc>
          <w:tcPr>
            <w:tcW w:type="pct" w:w="355"/>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color w:val="000000"/>
                <w:sz w:val="16"/>
                <w:szCs w:val="16"/>
              </w:rPr>
            </w:pPr>
            <w:r>
              <w:rPr>
                <w:rFonts w:cs="Calibri" w:hAnsi="Calibri" w:ascii="Calibri"/>
                <w:color w:val="000000"/>
                <w:sz w:val="16"/>
                <w:szCs w:val="16"/>
              </w:rPr>
              <w:t>1.835.752,41</w:t>
            </w:r>
          </w:p>
        </w:tc>
        <w:tc>
          <w:tcPr>
            <w:tcW w:type="pct" w:w="188"/>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color w:val="000000"/>
                <w:sz w:val="16"/>
                <w:szCs w:val="16"/>
              </w:rPr>
            </w:pPr>
            <w:r>
              <w:rPr>
                <w:rFonts w:cs="Calibri" w:hAnsi="Calibri" w:ascii="Calibri"/>
                <w:color w:val="000000"/>
                <w:sz w:val="16"/>
                <w:szCs w:val="16"/>
              </w:rPr>
              <w:t>1,82%</w:t>
            </w:r>
          </w:p>
        </w:tc>
        <w:tc>
          <w:tcPr>
            <w:tcW w:type="pct" w:w="258"/>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color w:val="000000"/>
                <w:sz w:val="16"/>
                <w:szCs w:val="16"/>
              </w:rPr>
            </w:pPr>
            <w:r>
              <w:rPr>
                <w:rFonts w:cs="Calibri" w:hAnsi="Calibri" w:ascii="Calibri"/>
                <w:color w:val="000000"/>
                <w:sz w:val="16"/>
                <w:szCs w:val="16"/>
              </w:rPr>
              <w:t>0,00</w:t>
            </w:r>
          </w:p>
        </w:tc>
        <w:tc>
          <w:tcPr>
            <w:tcW w:type="pct" w:w="290"/>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color w:val="000000"/>
                <w:sz w:val="16"/>
                <w:szCs w:val="16"/>
              </w:rPr>
            </w:pPr>
            <w:r>
              <w:rPr>
                <w:rFonts w:cs="Calibri" w:hAnsi="Calibri" w:ascii="Calibri"/>
                <w:color w:val="000000"/>
                <w:sz w:val="16"/>
                <w:szCs w:val="16"/>
              </w:rPr>
              <w:t>1.835.752,41</w:t>
            </w:r>
          </w:p>
        </w:tc>
        <w:tc>
          <w:tcPr>
            <w:tcW w:type="pct" w:w="233"/>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color w:val="000000"/>
                <w:sz w:val="16"/>
                <w:szCs w:val="16"/>
              </w:rPr>
            </w:pPr>
            <w:r>
              <w:rPr>
                <w:rFonts w:cs="Calibri" w:hAnsi="Calibri" w:ascii="Calibri"/>
                <w:color w:val="000000"/>
                <w:sz w:val="16"/>
                <w:szCs w:val="16"/>
              </w:rPr>
              <w:t>100,00%</w:t>
            </w:r>
          </w:p>
        </w:tc>
        <w:tc>
          <w:tcPr>
            <w:tcW w:type="pct" w:w="222"/>
            <w:tcBorders>
              <w:top w:val="nil"/>
              <w:left w:val="nil"/>
              <w:bottom w:space="0" w:sz="8" w:color="B8CCE4" w:val="single"/>
              <w:right w:space="0" w:sz="8" w:color="B8CCE4" w:val="single"/>
            </w:tcBorders>
            <w:vAlign w:val="center"/>
            <w:hideMark/>
          </w:tcPr>
          <w:p w:rsidRDefault="001E3364" w:rsidR="001E3364">
            <w:pPr>
              <w:spacing w:lineRule="auto" w:line="240" w:after="0"/>
              <w:jc w:val="center"/>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Isplata</w:t>
            </w:r>
          </w:p>
        </w:tc>
        <w:tc>
          <w:tcPr>
            <w:tcW w:type="pct" w:w="234"/>
            <w:tcBorders>
              <w:top w:val="nil"/>
              <w:left w:val="nil"/>
              <w:bottom w:space="0" w:sz="8" w:color="B8CCE4" w:val="single"/>
              <w:right w:space="0" w:sz="8" w:color="B8CCE4" w:val="single"/>
            </w:tcBorders>
            <w:noWrap/>
            <w:vAlign w:val="center"/>
          </w:tcPr>
          <w:p w:rsidRDefault="001E3364" w:rsidR="001E3364">
            <w:pPr>
              <w:spacing w:lineRule="auto" w:line="240" w:after="0"/>
              <w:jc w:val="center"/>
              <w:rPr>
                <w:rFonts w:cs="Calibri" w:eastAsia="Times New Roman" w:hAnsi="Calibri" w:ascii="Calibri"/>
                <w:color w:val="000000"/>
                <w:sz w:val="16"/>
                <w:szCs w:val="16"/>
                <w:lang w:eastAsia="hr-HR"/>
              </w:rPr>
            </w:pPr>
          </w:p>
        </w:tc>
        <w:tc>
          <w:tcPr>
            <w:tcW w:type="pct" w:w="228"/>
            <w:tcBorders>
              <w:top w:val="nil"/>
              <w:left w:val="nil"/>
              <w:bottom w:space="0" w:sz="8" w:color="B8CCE4" w:val="single"/>
              <w:right w:space="0" w:sz="8" w:color="B8CCE4" w:val="single"/>
            </w:tcBorders>
            <w:noWrap/>
            <w:vAlign w:val="center"/>
          </w:tcPr>
          <w:p w:rsidRDefault="001E3364" w:rsidR="001E3364">
            <w:pPr>
              <w:spacing w:lineRule="auto" w:line="240" w:after="0"/>
              <w:jc w:val="right"/>
              <w:rPr>
                <w:rFonts w:cs="Calibri" w:eastAsia="Times New Roman" w:hAnsi="Calibri" w:ascii="Calibri"/>
                <w:color w:val="000000"/>
                <w:sz w:val="16"/>
                <w:szCs w:val="16"/>
                <w:lang w:eastAsia="hr-HR"/>
              </w:rPr>
            </w:pPr>
          </w:p>
        </w:tc>
        <w:tc>
          <w:tcPr>
            <w:tcW w:type="pct" w:w="663"/>
            <w:tcBorders>
              <w:top w:val="nil"/>
              <w:left w:val="nil"/>
              <w:bottom w:space="0" w:sz="8" w:color="B8CCE4" w:val="single"/>
              <w:right w:space="0" w:sz="8" w:color="B8CCE4"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hAnsi="Calibri" w:ascii="Calibri"/>
                <w:color w:val="000000"/>
                <w:sz w:val="16"/>
                <w:szCs w:val="16"/>
              </w:rPr>
              <w:t>Prema inicijalno ugovorenim uvjetima</w:t>
            </w:r>
          </w:p>
        </w:tc>
        <w:tc>
          <w:tcPr>
            <w:tcW w:type="pct" w:w="278"/>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color w:val="000000"/>
                <w:sz w:val="16"/>
                <w:szCs w:val="16"/>
              </w:rPr>
            </w:pPr>
            <w:r>
              <w:rPr>
                <w:rFonts w:cs="Calibri" w:hAnsi="Calibri" w:ascii="Calibri"/>
                <w:color w:val="000000"/>
                <w:sz w:val="16"/>
                <w:szCs w:val="16"/>
              </w:rPr>
              <w:t>1.835.752,41</w:t>
            </w:r>
          </w:p>
        </w:tc>
        <w:tc>
          <w:tcPr>
            <w:tcW w:type="pct" w:w="289"/>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color w:val="000000"/>
                <w:sz w:val="16"/>
                <w:szCs w:val="16"/>
              </w:rPr>
            </w:pPr>
            <w:r>
              <w:rPr>
                <w:rFonts w:cs="Calibri" w:hAnsi="Calibri" w:ascii="Calibri"/>
                <w:color w:val="000000"/>
                <w:sz w:val="16"/>
                <w:szCs w:val="16"/>
              </w:rPr>
              <w:t> </w:t>
            </w:r>
          </w:p>
        </w:tc>
      </w:tr>
      <w:tr w:rsidTr="001E3364" w:rsidR="001E3364">
        <w:trPr>
          <w:trHeight w:val="20"/>
        </w:trPr>
        <w:tc>
          <w:tcPr>
            <w:tcW w:type="pct" w:w="72"/>
            <w:tcBorders>
              <w:top w:val="nil"/>
              <w:left w:space="0" w:sz="8" w:color="B8CCE4" w:val="single"/>
              <w:bottom w:space="0" w:sz="8" w:color="B8CCE4" w:val="single"/>
              <w:right w:space="0" w:sz="8" w:color="B8CCE4" w:val="single"/>
            </w:tcBorders>
            <w:noWrap/>
            <w:vAlign w:val="center"/>
            <w:hideMark/>
          </w:tcPr>
          <w:p w:rsidRDefault="001E3364" w:rsidR="001E3364">
            <w:pPr>
              <w:spacing w:lineRule="auto" w:line="240" w:after="0"/>
              <w:jc w:val="center"/>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 </w:t>
            </w:r>
          </w:p>
        </w:tc>
        <w:tc>
          <w:tcPr>
            <w:tcW w:type="pct" w:w="1154"/>
            <w:tcBorders>
              <w:top w:val="nil"/>
              <w:left w:val="nil"/>
              <w:bottom w:space="0" w:sz="8" w:color="B8CCE4" w:val="single"/>
              <w:right w:space="0" w:sz="8" w:color="B8CCE4" w:val="single"/>
            </w:tcBorders>
            <w:noWrap/>
            <w:vAlign w:val="center"/>
            <w:hideMark/>
          </w:tcPr>
          <w:p w:rsidRDefault="001E3364" w:rsidR="001E3364">
            <w:pPr>
              <w:spacing w:lineRule="auto" w:line="240" w:after="0"/>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UKUPNO</w:t>
            </w:r>
          </w:p>
        </w:tc>
        <w:tc>
          <w:tcPr>
            <w:tcW w:type="pct" w:w="258"/>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b/>
                <w:bCs/>
                <w:color w:val="000000"/>
                <w:sz w:val="16"/>
                <w:szCs w:val="16"/>
              </w:rPr>
            </w:pPr>
            <w:r>
              <w:rPr>
                <w:rFonts w:cs="Calibri" w:hAnsi="Calibri" w:ascii="Calibri"/>
                <w:b/>
                <w:bCs/>
                <w:color w:val="000000"/>
                <w:sz w:val="16"/>
                <w:szCs w:val="16"/>
              </w:rPr>
              <w:t>0,00</w:t>
            </w:r>
          </w:p>
        </w:tc>
        <w:tc>
          <w:tcPr>
            <w:tcW w:type="pct" w:w="278"/>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b/>
                <w:bCs/>
                <w:color w:val="000000"/>
                <w:sz w:val="16"/>
                <w:szCs w:val="16"/>
              </w:rPr>
            </w:pPr>
            <w:r>
              <w:rPr>
                <w:rFonts w:cs="Calibri" w:hAnsi="Calibri" w:ascii="Calibri"/>
                <w:b/>
                <w:bCs/>
                <w:color w:val="000000"/>
                <w:sz w:val="16"/>
                <w:szCs w:val="16"/>
              </w:rPr>
              <w:t>1.835.752,41</w:t>
            </w:r>
          </w:p>
        </w:tc>
        <w:tc>
          <w:tcPr>
            <w:tcW w:type="pct" w:w="355"/>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b/>
                <w:bCs/>
                <w:color w:val="000000"/>
                <w:sz w:val="16"/>
                <w:szCs w:val="16"/>
              </w:rPr>
            </w:pPr>
            <w:r>
              <w:rPr>
                <w:rFonts w:cs="Calibri" w:hAnsi="Calibri" w:ascii="Calibri"/>
                <w:b/>
                <w:bCs/>
                <w:color w:val="000000"/>
                <w:sz w:val="16"/>
                <w:szCs w:val="16"/>
              </w:rPr>
              <w:t>1.835.752,41</w:t>
            </w:r>
          </w:p>
        </w:tc>
        <w:tc>
          <w:tcPr>
            <w:tcW w:type="pct" w:w="188"/>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b/>
                <w:bCs/>
                <w:color w:val="000000"/>
                <w:sz w:val="16"/>
                <w:szCs w:val="16"/>
              </w:rPr>
            </w:pPr>
            <w:r>
              <w:rPr>
                <w:rFonts w:cs="Calibri" w:hAnsi="Calibri" w:ascii="Calibri"/>
                <w:b/>
                <w:bCs/>
                <w:color w:val="000000"/>
                <w:sz w:val="16"/>
                <w:szCs w:val="16"/>
              </w:rPr>
              <w:t>1,82%</w:t>
            </w:r>
          </w:p>
        </w:tc>
        <w:tc>
          <w:tcPr>
            <w:tcW w:type="pct" w:w="258"/>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b/>
                <w:bCs/>
                <w:color w:val="000000"/>
                <w:sz w:val="16"/>
                <w:szCs w:val="16"/>
              </w:rPr>
            </w:pPr>
            <w:r>
              <w:rPr>
                <w:rFonts w:cs="Calibri" w:hAnsi="Calibri" w:ascii="Calibri"/>
                <w:b/>
                <w:bCs/>
                <w:color w:val="000000"/>
                <w:sz w:val="16"/>
                <w:szCs w:val="16"/>
              </w:rPr>
              <w:t>0,00</w:t>
            </w:r>
          </w:p>
        </w:tc>
        <w:tc>
          <w:tcPr>
            <w:tcW w:type="pct" w:w="290"/>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b/>
                <w:bCs/>
                <w:color w:val="000000"/>
                <w:sz w:val="16"/>
                <w:szCs w:val="16"/>
              </w:rPr>
            </w:pPr>
            <w:r>
              <w:rPr>
                <w:rFonts w:cs="Calibri" w:hAnsi="Calibri" w:ascii="Calibri"/>
                <w:b/>
                <w:bCs/>
                <w:color w:val="000000"/>
                <w:sz w:val="16"/>
                <w:szCs w:val="16"/>
              </w:rPr>
              <w:t>1.835.752,41</w:t>
            </w:r>
          </w:p>
        </w:tc>
        <w:tc>
          <w:tcPr>
            <w:tcW w:type="pct" w:w="233"/>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b/>
                <w:bCs/>
                <w:color w:val="000000"/>
                <w:sz w:val="16"/>
                <w:szCs w:val="16"/>
              </w:rPr>
            </w:pPr>
            <w:r>
              <w:rPr>
                <w:rFonts w:cs="Calibri" w:hAnsi="Calibri" w:ascii="Calibri"/>
                <w:b/>
                <w:bCs/>
                <w:color w:val="000000"/>
                <w:sz w:val="16"/>
                <w:szCs w:val="16"/>
              </w:rPr>
              <w:t>100,00%</w:t>
            </w:r>
          </w:p>
        </w:tc>
        <w:tc>
          <w:tcPr>
            <w:tcW w:type="pct" w:w="222"/>
            <w:tcBorders>
              <w:top w:val="nil"/>
              <w:left w:val="nil"/>
              <w:bottom w:space="0" w:sz="8" w:color="B8CCE4" w:val="single"/>
              <w:right w:space="0" w:sz="8" w:color="B8CCE4" w:val="single"/>
            </w:tcBorders>
            <w:noWrap/>
            <w:vAlign w:val="center"/>
            <w:hideMark/>
          </w:tcPr>
          <w:p w:rsidRDefault="001E3364" w:rsidR="001E3364">
            <w:pPr>
              <w:spacing w:lineRule="auto" w:line="240" w:after="0"/>
              <w:jc w:val="center"/>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 </w:t>
            </w:r>
          </w:p>
        </w:tc>
        <w:tc>
          <w:tcPr>
            <w:tcW w:type="pct" w:w="234"/>
            <w:tcBorders>
              <w:top w:val="nil"/>
              <w:left w:val="nil"/>
              <w:bottom w:space="0" w:sz="8" w:color="B8CCE4" w:val="single"/>
              <w:right w:space="0" w:sz="8" w:color="B8CCE4" w:val="single"/>
            </w:tcBorders>
            <w:noWrap/>
            <w:vAlign w:val="center"/>
            <w:hideMark/>
          </w:tcPr>
          <w:p w:rsidRDefault="001E3364" w:rsidR="001E3364">
            <w:pPr>
              <w:spacing w:lineRule="auto" w:line="240" w:after="0"/>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 </w:t>
            </w:r>
          </w:p>
        </w:tc>
        <w:tc>
          <w:tcPr>
            <w:tcW w:type="pct" w:w="228"/>
            <w:tcBorders>
              <w:top w:val="nil"/>
              <w:left w:val="nil"/>
              <w:bottom w:space="0" w:sz="8" w:color="B8CCE4" w:val="single"/>
              <w:right w:space="0" w:sz="8" w:color="B8CCE4" w:val="single"/>
            </w:tcBorders>
            <w:noWrap/>
            <w:vAlign w:val="center"/>
            <w:hideMark/>
          </w:tcPr>
          <w:p w:rsidRDefault="001E3364" w:rsidR="001E3364">
            <w:pPr>
              <w:spacing w:lineRule="auto" w:line="240" w:after="0"/>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 </w:t>
            </w:r>
          </w:p>
        </w:tc>
        <w:tc>
          <w:tcPr>
            <w:tcW w:type="pct" w:w="663"/>
            <w:tcBorders>
              <w:top w:val="nil"/>
              <w:left w:val="nil"/>
              <w:bottom w:space="0" w:sz="8" w:color="B8CCE4" w:val="single"/>
              <w:right w:space="0" w:sz="8" w:color="B8CCE4" w:val="single"/>
            </w:tcBorders>
            <w:noWrap/>
            <w:vAlign w:val="center"/>
            <w:hideMark/>
          </w:tcPr>
          <w:p w:rsidRDefault="001E3364" w:rsidR="001E3364">
            <w:pPr>
              <w:spacing w:lineRule="auto" w:line="240" w:after="0"/>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 </w:t>
            </w:r>
          </w:p>
        </w:tc>
        <w:tc>
          <w:tcPr>
            <w:tcW w:type="pct" w:w="278"/>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b/>
                <w:bCs/>
                <w:color w:val="000000"/>
                <w:sz w:val="16"/>
                <w:szCs w:val="16"/>
              </w:rPr>
            </w:pPr>
            <w:r>
              <w:rPr>
                <w:rFonts w:cs="Calibri" w:hAnsi="Calibri" w:ascii="Calibri"/>
                <w:b/>
                <w:bCs/>
                <w:color w:val="000000"/>
                <w:sz w:val="16"/>
                <w:szCs w:val="16"/>
              </w:rPr>
              <w:t>1.835.752,41</w:t>
            </w:r>
          </w:p>
        </w:tc>
        <w:tc>
          <w:tcPr>
            <w:tcW w:type="pct" w:w="289"/>
            <w:tcBorders>
              <w:top w:val="nil"/>
              <w:left w:val="nil"/>
              <w:bottom w:space="0" w:sz="8" w:color="B8CCE4" w:val="single"/>
              <w:right w:space="0" w:sz="8" w:color="B8CCE4" w:val="single"/>
            </w:tcBorders>
            <w:noWrap/>
            <w:vAlign w:val="center"/>
            <w:hideMark/>
          </w:tcPr>
          <w:p w:rsidRDefault="001E3364" w:rsidR="001E3364">
            <w:pPr>
              <w:spacing w:after="0"/>
              <w:rPr>
                <w:rFonts w:cs="Calibri" w:hAnsi="Calibri" w:ascii="Calibri"/>
                <w:b/>
                <w:bCs/>
                <w:color w:val="000000"/>
                <w:sz w:val="16"/>
                <w:szCs w:val="16"/>
              </w:rPr>
            </w:pPr>
            <w:r>
              <w:rPr>
                <w:rFonts w:cs="Calibri" w:hAnsi="Calibri" w:ascii="Calibri"/>
                <w:b/>
                <w:bCs/>
                <w:color w:val="000000"/>
                <w:sz w:val="16"/>
                <w:szCs w:val="16"/>
              </w:rPr>
              <w:t> </w:t>
            </w:r>
          </w:p>
        </w:tc>
      </w:tr>
      <w:tr w:rsidTr="001E3364" w:rsidR="001E3364">
        <w:trPr>
          <w:trHeight w:val="20"/>
        </w:trPr>
        <w:tc>
          <w:tcPr>
            <w:tcW w:type="pct" w:w="72"/>
            <w:tcBorders>
              <w:top w:val="nil"/>
              <w:left w:space="0" w:sz="8" w:color="B8CCE4" w:val="single"/>
              <w:bottom w:space="0" w:sz="8" w:color="B8CCE4" w:val="single"/>
              <w:right w:space="0" w:sz="8" w:color="B8CCE4" w:val="single"/>
            </w:tcBorders>
            <w:noWrap/>
            <w:vAlign w:val="center"/>
            <w:hideMark/>
          </w:tcPr>
          <w:p w:rsidRDefault="001E3364" w:rsidR="001E3364">
            <w:pPr>
              <w:spacing w:lineRule="auto" w:line="240" w:after="0"/>
              <w:jc w:val="center"/>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 </w:t>
            </w:r>
          </w:p>
        </w:tc>
        <w:tc>
          <w:tcPr>
            <w:tcW w:type="pct" w:w="1154"/>
            <w:tcBorders>
              <w:top w:val="nil"/>
              <w:left w:val="nil"/>
              <w:bottom w:space="0" w:sz="8" w:color="B8CCE4" w:val="single"/>
              <w:right w:space="0" w:sz="8" w:color="B8CCE4" w:val="single"/>
            </w:tcBorders>
            <w:noWrap/>
            <w:vAlign w:val="center"/>
            <w:hideMark/>
          </w:tcPr>
          <w:p w:rsidRDefault="001E3364" w:rsidR="001E3364">
            <w:pPr>
              <w:spacing w:lineRule="auto" w:line="240" w:after="0"/>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 </w:t>
            </w:r>
          </w:p>
        </w:tc>
        <w:tc>
          <w:tcPr>
            <w:tcW w:type="pct" w:w="258"/>
            <w:tcBorders>
              <w:top w:val="nil"/>
              <w:left w:val="nil"/>
              <w:bottom w:space="0" w:sz="8" w:color="B8CCE4" w:val="single"/>
              <w:right w:space="0" w:sz="8" w:color="B8CCE4" w:val="single"/>
            </w:tcBorders>
            <w:noWrap/>
            <w:vAlign w:val="center"/>
            <w:hideMark/>
          </w:tcPr>
          <w:p w:rsidRDefault="001E3364" w:rsidR="001E3364">
            <w:pPr>
              <w:spacing w:after="0"/>
              <w:rPr>
                <w:rFonts w:cs="Calibri" w:hAnsi="Calibri" w:ascii="Calibri"/>
                <w:b/>
                <w:bCs/>
                <w:color w:val="000000"/>
                <w:sz w:val="16"/>
                <w:szCs w:val="16"/>
              </w:rPr>
            </w:pPr>
            <w:r>
              <w:rPr>
                <w:rFonts w:cs="Calibri" w:hAnsi="Calibri" w:ascii="Calibri"/>
                <w:b/>
                <w:bCs/>
                <w:color w:val="000000"/>
                <w:sz w:val="16"/>
                <w:szCs w:val="16"/>
              </w:rPr>
              <w:t> </w:t>
            </w:r>
          </w:p>
        </w:tc>
        <w:tc>
          <w:tcPr>
            <w:tcW w:type="pct" w:w="278"/>
            <w:tcBorders>
              <w:top w:val="nil"/>
              <w:left w:val="nil"/>
              <w:bottom w:space="0" w:sz="8" w:color="B8CCE4" w:val="single"/>
              <w:right w:space="0" w:sz="8" w:color="B8CCE4" w:val="single"/>
            </w:tcBorders>
            <w:noWrap/>
            <w:vAlign w:val="center"/>
            <w:hideMark/>
          </w:tcPr>
          <w:p w:rsidRDefault="001E3364" w:rsidR="001E3364">
            <w:pPr>
              <w:spacing w:after="0"/>
              <w:rPr>
                <w:rFonts w:cs="Calibri" w:hAnsi="Calibri" w:ascii="Calibri"/>
                <w:b/>
                <w:bCs/>
                <w:color w:val="000000"/>
                <w:sz w:val="16"/>
                <w:szCs w:val="16"/>
              </w:rPr>
            </w:pPr>
            <w:r>
              <w:rPr>
                <w:rFonts w:cs="Calibri" w:hAnsi="Calibri" w:ascii="Calibri"/>
                <w:b/>
                <w:bCs/>
                <w:color w:val="000000"/>
                <w:sz w:val="16"/>
                <w:szCs w:val="16"/>
              </w:rPr>
              <w:t> </w:t>
            </w:r>
          </w:p>
        </w:tc>
        <w:tc>
          <w:tcPr>
            <w:tcW w:type="pct" w:w="355"/>
            <w:tcBorders>
              <w:top w:val="nil"/>
              <w:left w:val="nil"/>
              <w:bottom w:space="0" w:sz="8" w:color="B8CCE4" w:val="single"/>
              <w:right w:space="0" w:sz="8" w:color="B8CCE4" w:val="single"/>
            </w:tcBorders>
            <w:noWrap/>
            <w:vAlign w:val="center"/>
            <w:hideMark/>
          </w:tcPr>
          <w:p w:rsidRDefault="001E3364" w:rsidR="001E3364">
            <w:pPr>
              <w:spacing w:after="0"/>
              <w:rPr>
                <w:rFonts w:cs="Calibri" w:hAnsi="Calibri" w:ascii="Calibri"/>
                <w:b/>
                <w:bCs/>
                <w:color w:val="000000"/>
                <w:sz w:val="16"/>
                <w:szCs w:val="16"/>
              </w:rPr>
            </w:pPr>
            <w:r>
              <w:rPr>
                <w:rFonts w:cs="Calibri" w:hAnsi="Calibri" w:ascii="Calibri"/>
                <w:b/>
                <w:bCs/>
                <w:color w:val="000000"/>
                <w:sz w:val="16"/>
                <w:szCs w:val="16"/>
              </w:rPr>
              <w:t> </w:t>
            </w:r>
          </w:p>
        </w:tc>
        <w:tc>
          <w:tcPr>
            <w:tcW w:type="pct" w:w="188"/>
            <w:tcBorders>
              <w:top w:val="nil"/>
              <w:left w:val="nil"/>
              <w:bottom w:space="0" w:sz="8" w:color="B8CCE4" w:val="single"/>
              <w:right w:space="0" w:sz="8" w:color="B8CCE4" w:val="single"/>
            </w:tcBorders>
            <w:noWrap/>
            <w:vAlign w:val="center"/>
            <w:hideMark/>
          </w:tcPr>
          <w:p w:rsidRDefault="001E3364" w:rsidR="001E3364">
            <w:pPr>
              <w:spacing w:after="0"/>
              <w:rPr>
                <w:rFonts w:cs="Calibri" w:hAnsi="Calibri" w:ascii="Calibri"/>
                <w:b/>
                <w:bCs/>
                <w:color w:val="000000"/>
                <w:sz w:val="16"/>
                <w:szCs w:val="16"/>
              </w:rPr>
            </w:pPr>
            <w:r>
              <w:rPr>
                <w:rFonts w:cs="Calibri" w:hAnsi="Calibri" w:ascii="Calibri"/>
                <w:b/>
                <w:bCs/>
                <w:color w:val="000000"/>
                <w:sz w:val="16"/>
                <w:szCs w:val="16"/>
              </w:rPr>
              <w:t> </w:t>
            </w:r>
          </w:p>
        </w:tc>
        <w:tc>
          <w:tcPr>
            <w:tcW w:type="pct" w:w="258"/>
            <w:tcBorders>
              <w:top w:val="nil"/>
              <w:left w:val="nil"/>
              <w:bottom w:space="0" w:sz="8" w:color="B8CCE4" w:val="single"/>
              <w:right w:space="0" w:sz="8" w:color="B8CCE4" w:val="single"/>
            </w:tcBorders>
            <w:noWrap/>
            <w:vAlign w:val="center"/>
            <w:hideMark/>
          </w:tcPr>
          <w:p w:rsidRDefault="001E3364" w:rsidR="001E3364">
            <w:pPr>
              <w:spacing w:after="0"/>
              <w:rPr>
                <w:rFonts w:cs="Calibri" w:hAnsi="Calibri" w:ascii="Calibri"/>
                <w:b/>
                <w:bCs/>
                <w:color w:val="000000"/>
                <w:sz w:val="16"/>
                <w:szCs w:val="16"/>
              </w:rPr>
            </w:pPr>
            <w:r>
              <w:rPr>
                <w:rFonts w:cs="Calibri" w:hAnsi="Calibri" w:ascii="Calibri"/>
                <w:b/>
                <w:bCs/>
                <w:color w:val="000000"/>
                <w:sz w:val="16"/>
                <w:szCs w:val="16"/>
              </w:rPr>
              <w:t> </w:t>
            </w:r>
          </w:p>
        </w:tc>
        <w:tc>
          <w:tcPr>
            <w:tcW w:type="pct" w:w="290"/>
            <w:tcBorders>
              <w:top w:val="nil"/>
              <w:left w:val="nil"/>
              <w:bottom w:space="0" w:sz="8" w:color="B8CCE4" w:val="single"/>
              <w:right w:space="0" w:sz="8" w:color="B8CCE4" w:val="single"/>
            </w:tcBorders>
            <w:noWrap/>
            <w:vAlign w:val="center"/>
            <w:hideMark/>
          </w:tcPr>
          <w:p w:rsidRDefault="001E3364" w:rsidR="001E3364">
            <w:pPr>
              <w:spacing w:after="0"/>
              <w:rPr>
                <w:rFonts w:cs="Calibri" w:hAnsi="Calibri" w:ascii="Calibri"/>
                <w:b/>
                <w:bCs/>
                <w:color w:val="000000"/>
                <w:sz w:val="16"/>
                <w:szCs w:val="16"/>
              </w:rPr>
            </w:pPr>
            <w:r>
              <w:rPr>
                <w:rFonts w:cs="Calibri" w:hAnsi="Calibri" w:ascii="Calibri"/>
                <w:b/>
                <w:bCs/>
                <w:color w:val="000000"/>
                <w:sz w:val="16"/>
                <w:szCs w:val="16"/>
              </w:rPr>
              <w:t> </w:t>
            </w:r>
          </w:p>
        </w:tc>
        <w:tc>
          <w:tcPr>
            <w:tcW w:type="pct" w:w="233"/>
            <w:tcBorders>
              <w:top w:val="nil"/>
              <w:left w:val="nil"/>
              <w:bottom w:space="0" w:sz="8" w:color="B8CCE4" w:val="single"/>
              <w:right w:space="0" w:sz="8" w:color="B8CCE4" w:val="single"/>
            </w:tcBorders>
            <w:noWrap/>
            <w:vAlign w:val="center"/>
            <w:hideMark/>
          </w:tcPr>
          <w:p w:rsidRDefault="001E3364" w:rsidR="001E3364">
            <w:pPr>
              <w:spacing w:after="0"/>
              <w:rPr>
                <w:rFonts w:cs="Calibri" w:hAnsi="Calibri" w:ascii="Calibri"/>
                <w:b/>
                <w:bCs/>
                <w:color w:val="000000"/>
                <w:sz w:val="16"/>
                <w:szCs w:val="16"/>
              </w:rPr>
            </w:pPr>
            <w:r>
              <w:rPr>
                <w:rFonts w:cs="Calibri" w:hAnsi="Calibri" w:ascii="Calibri"/>
                <w:b/>
                <w:bCs/>
                <w:color w:val="000000"/>
                <w:sz w:val="16"/>
                <w:szCs w:val="16"/>
              </w:rPr>
              <w:t> </w:t>
            </w:r>
          </w:p>
        </w:tc>
        <w:tc>
          <w:tcPr>
            <w:tcW w:type="pct" w:w="222"/>
            <w:tcBorders>
              <w:top w:val="nil"/>
              <w:left w:val="nil"/>
              <w:bottom w:space="0" w:sz="8" w:color="B8CCE4" w:val="single"/>
              <w:right w:space="0" w:sz="8" w:color="B8CCE4" w:val="single"/>
            </w:tcBorders>
            <w:noWrap/>
            <w:vAlign w:val="center"/>
            <w:hideMark/>
          </w:tcPr>
          <w:p w:rsidRDefault="001E3364" w:rsidR="001E3364">
            <w:pPr>
              <w:spacing w:lineRule="auto" w:line="240" w:after="0"/>
              <w:jc w:val="center"/>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 </w:t>
            </w:r>
          </w:p>
        </w:tc>
        <w:tc>
          <w:tcPr>
            <w:tcW w:type="pct" w:w="234"/>
            <w:tcBorders>
              <w:top w:val="nil"/>
              <w:left w:val="nil"/>
              <w:bottom w:space="0" w:sz="8" w:color="B8CCE4" w:val="single"/>
              <w:right w:space="0" w:sz="8" w:color="B8CCE4" w:val="single"/>
            </w:tcBorders>
            <w:noWrap/>
            <w:vAlign w:val="center"/>
            <w:hideMark/>
          </w:tcPr>
          <w:p w:rsidRDefault="001E3364" w:rsidR="001E3364">
            <w:pPr>
              <w:spacing w:lineRule="auto" w:line="240" w:after="0"/>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 </w:t>
            </w:r>
          </w:p>
        </w:tc>
        <w:tc>
          <w:tcPr>
            <w:tcW w:type="pct" w:w="228"/>
            <w:tcBorders>
              <w:top w:val="nil"/>
              <w:left w:val="nil"/>
              <w:bottom w:space="0" w:sz="8" w:color="B8CCE4" w:val="single"/>
              <w:right w:space="0" w:sz="8" w:color="B8CCE4" w:val="single"/>
            </w:tcBorders>
            <w:noWrap/>
            <w:vAlign w:val="center"/>
            <w:hideMark/>
          </w:tcPr>
          <w:p w:rsidRDefault="001E3364" w:rsidR="001E3364">
            <w:pPr>
              <w:spacing w:lineRule="auto" w:line="240" w:after="0"/>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 </w:t>
            </w:r>
          </w:p>
        </w:tc>
        <w:tc>
          <w:tcPr>
            <w:tcW w:type="pct" w:w="663"/>
            <w:tcBorders>
              <w:top w:val="nil"/>
              <w:left w:val="nil"/>
              <w:bottom w:space="0" w:sz="8" w:color="B8CCE4" w:val="single"/>
              <w:right w:space="0" w:sz="8" w:color="B8CCE4" w:val="single"/>
            </w:tcBorders>
            <w:noWrap/>
            <w:vAlign w:val="center"/>
            <w:hideMark/>
          </w:tcPr>
          <w:p w:rsidRDefault="001E3364" w:rsidR="001E3364">
            <w:pPr>
              <w:spacing w:lineRule="auto" w:line="240" w:after="0"/>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 </w:t>
            </w:r>
          </w:p>
        </w:tc>
        <w:tc>
          <w:tcPr>
            <w:tcW w:type="pct" w:w="278"/>
            <w:tcBorders>
              <w:top w:val="nil"/>
              <w:left w:val="nil"/>
              <w:bottom w:space="0" w:sz="8" w:color="B8CCE4" w:val="single"/>
              <w:right w:space="0" w:sz="8" w:color="B8CCE4" w:val="single"/>
            </w:tcBorders>
            <w:noWrap/>
            <w:vAlign w:val="center"/>
            <w:hideMark/>
          </w:tcPr>
          <w:p w:rsidRDefault="001E3364" w:rsidR="001E3364">
            <w:pPr>
              <w:spacing w:after="0"/>
              <w:rPr>
                <w:rFonts w:cs="Calibri" w:hAnsi="Calibri" w:ascii="Calibri"/>
                <w:b/>
                <w:bCs/>
                <w:color w:val="000000"/>
                <w:sz w:val="16"/>
                <w:szCs w:val="16"/>
              </w:rPr>
            </w:pPr>
            <w:r>
              <w:rPr>
                <w:rFonts w:cs="Calibri" w:hAnsi="Calibri" w:ascii="Calibri"/>
                <w:b/>
                <w:bCs/>
                <w:color w:val="000000"/>
                <w:sz w:val="16"/>
                <w:szCs w:val="16"/>
              </w:rPr>
              <w:t> </w:t>
            </w:r>
          </w:p>
        </w:tc>
        <w:tc>
          <w:tcPr>
            <w:tcW w:type="pct" w:w="289"/>
            <w:tcBorders>
              <w:top w:val="nil"/>
              <w:left w:val="nil"/>
              <w:bottom w:space="0" w:sz="8" w:color="B8CCE4" w:val="single"/>
              <w:right w:space="0" w:sz="8" w:color="B8CCE4" w:val="single"/>
            </w:tcBorders>
            <w:noWrap/>
            <w:vAlign w:val="center"/>
            <w:hideMark/>
          </w:tcPr>
          <w:p w:rsidRDefault="001E3364" w:rsidR="001E3364">
            <w:pPr>
              <w:spacing w:after="0"/>
              <w:rPr>
                <w:rFonts w:cs="Calibri" w:hAnsi="Calibri" w:ascii="Calibri"/>
                <w:b/>
                <w:bCs/>
                <w:color w:val="000000"/>
                <w:sz w:val="16"/>
                <w:szCs w:val="16"/>
              </w:rPr>
            </w:pPr>
            <w:r>
              <w:rPr>
                <w:rFonts w:cs="Calibri" w:hAnsi="Calibri" w:ascii="Calibri"/>
                <w:b/>
                <w:bCs/>
                <w:color w:val="000000"/>
                <w:sz w:val="16"/>
                <w:szCs w:val="16"/>
              </w:rPr>
              <w:t> </w:t>
            </w:r>
          </w:p>
        </w:tc>
      </w:tr>
      <w:tr w:rsidTr="001E3364" w:rsidR="001E3364">
        <w:trPr>
          <w:trHeight w:val="20"/>
        </w:trPr>
        <w:tc>
          <w:tcPr>
            <w:tcW w:type="pct" w:w="72"/>
            <w:tcBorders>
              <w:top w:val="nil"/>
              <w:left w:space="0" w:sz="8" w:color="B8CCE4" w:val="single"/>
              <w:bottom w:space="0" w:sz="8" w:color="B8CCE4" w:val="single"/>
              <w:right w:space="0" w:sz="8" w:color="B8CCE4" w:val="single"/>
            </w:tcBorders>
            <w:shd w:fill="DCE6F1" w:color="auto" w:val="clear"/>
            <w:noWrap/>
            <w:vAlign w:val="center"/>
            <w:hideMark/>
          </w:tcPr>
          <w:p w:rsidRDefault="001E3364" w:rsidR="001E3364">
            <w:pPr>
              <w:spacing w:lineRule="auto" w:line="240" w:after="0"/>
              <w:jc w:val="center"/>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3</w:t>
            </w:r>
          </w:p>
        </w:tc>
        <w:tc>
          <w:tcPr>
            <w:tcW w:type="pct" w:w="1154"/>
            <w:tcBorders>
              <w:top w:val="nil"/>
              <w:left w:val="nil"/>
              <w:bottom w:space="0" w:sz="8" w:color="B8CCE4" w:val="single"/>
              <w:right w:space="0" w:sz="8" w:color="B8CCE4" w:val="single"/>
            </w:tcBorders>
            <w:shd w:fill="DCE6F1" w:color="auto" w:val="clear"/>
            <w:noWrap/>
            <w:vAlign w:val="center"/>
            <w:hideMark/>
          </w:tcPr>
          <w:p w:rsidRDefault="001E3364" w:rsidR="001E3364">
            <w:pPr>
              <w:spacing w:lineRule="auto" w:line="240" w:after="0"/>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Vjerovnici s neosiguranim tražbinama, koji nisu nižega isplatnog reda</w:t>
            </w:r>
          </w:p>
        </w:tc>
        <w:tc>
          <w:tcPr>
            <w:tcW w:type="pct" w:w="258"/>
            <w:tcBorders>
              <w:top w:val="nil"/>
              <w:left w:val="nil"/>
              <w:bottom w:space="0" w:sz="8" w:color="B8CCE4" w:val="single"/>
              <w:right w:space="0" w:sz="8" w:color="B8CCE4" w:val="single"/>
            </w:tcBorders>
            <w:shd w:fill="DCE6F1" w:color="auto" w:val="clear"/>
            <w:noWrap/>
            <w:vAlign w:val="center"/>
            <w:hideMark/>
          </w:tcPr>
          <w:p w:rsidRDefault="001E3364" w:rsidR="001E3364">
            <w:pPr>
              <w:spacing w:after="0"/>
              <w:rPr>
                <w:rFonts w:cs="Calibri" w:hAnsi="Calibri" w:ascii="Calibri"/>
                <w:b/>
                <w:bCs/>
                <w:color w:val="000000"/>
                <w:sz w:val="16"/>
                <w:szCs w:val="16"/>
              </w:rPr>
            </w:pPr>
            <w:r>
              <w:rPr>
                <w:rFonts w:cs="Calibri" w:hAnsi="Calibri" w:ascii="Calibri"/>
                <w:b/>
                <w:bCs/>
                <w:color w:val="000000"/>
                <w:sz w:val="16"/>
                <w:szCs w:val="16"/>
              </w:rPr>
              <w:t> </w:t>
            </w:r>
          </w:p>
        </w:tc>
        <w:tc>
          <w:tcPr>
            <w:tcW w:type="pct" w:w="278"/>
            <w:tcBorders>
              <w:top w:val="nil"/>
              <w:left w:val="nil"/>
              <w:bottom w:space="0" w:sz="8" w:color="B8CCE4" w:val="single"/>
              <w:right w:space="0" w:sz="8" w:color="B8CCE4" w:val="single"/>
            </w:tcBorders>
            <w:shd w:fill="DCE6F1" w:color="auto" w:val="clear"/>
            <w:noWrap/>
            <w:vAlign w:val="center"/>
            <w:hideMark/>
          </w:tcPr>
          <w:p w:rsidRDefault="001E3364" w:rsidR="001E3364">
            <w:pPr>
              <w:spacing w:after="0"/>
              <w:rPr>
                <w:rFonts w:cs="Calibri" w:hAnsi="Calibri" w:ascii="Calibri"/>
                <w:b/>
                <w:bCs/>
                <w:color w:val="000000"/>
                <w:sz w:val="16"/>
                <w:szCs w:val="16"/>
              </w:rPr>
            </w:pPr>
            <w:r>
              <w:rPr>
                <w:rFonts w:cs="Calibri" w:hAnsi="Calibri" w:ascii="Calibri"/>
                <w:b/>
                <w:bCs/>
                <w:color w:val="000000"/>
                <w:sz w:val="16"/>
                <w:szCs w:val="16"/>
              </w:rPr>
              <w:t> </w:t>
            </w:r>
          </w:p>
        </w:tc>
        <w:tc>
          <w:tcPr>
            <w:tcW w:type="pct" w:w="355"/>
            <w:tcBorders>
              <w:top w:val="nil"/>
              <w:left w:val="nil"/>
              <w:bottom w:space="0" w:sz="8" w:color="B8CCE4" w:val="single"/>
              <w:right w:space="0" w:sz="8" w:color="B8CCE4" w:val="single"/>
            </w:tcBorders>
            <w:shd w:fill="DCE6F1" w:color="auto" w:val="clear"/>
            <w:noWrap/>
            <w:vAlign w:val="center"/>
            <w:hideMark/>
          </w:tcPr>
          <w:p w:rsidRDefault="001E3364" w:rsidR="001E3364">
            <w:pPr>
              <w:spacing w:after="0"/>
              <w:rPr>
                <w:rFonts w:cs="Calibri" w:hAnsi="Calibri" w:ascii="Calibri"/>
                <w:b/>
                <w:bCs/>
                <w:color w:val="000000"/>
                <w:sz w:val="16"/>
                <w:szCs w:val="16"/>
              </w:rPr>
            </w:pPr>
            <w:r>
              <w:rPr>
                <w:rFonts w:cs="Calibri" w:hAnsi="Calibri" w:ascii="Calibri"/>
                <w:b/>
                <w:bCs/>
                <w:color w:val="000000"/>
                <w:sz w:val="16"/>
                <w:szCs w:val="16"/>
              </w:rPr>
              <w:t> </w:t>
            </w:r>
          </w:p>
        </w:tc>
        <w:tc>
          <w:tcPr>
            <w:tcW w:type="pct" w:w="188"/>
            <w:tcBorders>
              <w:top w:val="nil"/>
              <w:left w:val="nil"/>
              <w:bottom w:space="0" w:sz="8" w:color="B8CCE4" w:val="single"/>
              <w:right w:space="0" w:sz="8" w:color="B8CCE4" w:val="single"/>
            </w:tcBorders>
            <w:shd w:fill="DCE6F1" w:color="auto" w:val="clear"/>
            <w:noWrap/>
            <w:vAlign w:val="center"/>
            <w:hideMark/>
          </w:tcPr>
          <w:p w:rsidRDefault="001E3364" w:rsidR="001E3364">
            <w:pPr>
              <w:spacing w:after="0"/>
              <w:rPr>
                <w:rFonts w:cs="Calibri" w:hAnsi="Calibri" w:ascii="Calibri"/>
                <w:b/>
                <w:bCs/>
                <w:color w:val="000000"/>
                <w:sz w:val="16"/>
                <w:szCs w:val="16"/>
              </w:rPr>
            </w:pPr>
            <w:r>
              <w:rPr>
                <w:rFonts w:cs="Calibri" w:hAnsi="Calibri" w:ascii="Calibri"/>
                <w:b/>
                <w:bCs/>
                <w:color w:val="000000"/>
                <w:sz w:val="16"/>
                <w:szCs w:val="16"/>
              </w:rPr>
              <w:t> </w:t>
            </w:r>
          </w:p>
        </w:tc>
        <w:tc>
          <w:tcPr>
            <w:tcW w:type="pct" w:w="258"/>
            <w:tcBorders>
              <w:top w:val="nil"/>
              <w:left w:val="nil"/>
              <w:bottom w:space="0" w:sz="8" w:color="B8CCE4" w:val="single"/>
              <w:right w:space="0" w:sz="8" w:color="B8CCE4" w:val="single"/>
            </w:tcBorders>
            <w:shd w:fill="DCE6F1" w:color="auto" w:val="clear"/>
            <w:noWrap/>
            <w:vAlign w:val="center"/>
            <w:hideMark/>
          </w:tcPr>
          <w:p w:rsidRDefault="001E3364" w:rsidR="001E3364">
            <w:pPr>
              <w:spacing w:after="0"/>
              <w:rPr>
                <w:rFonts w:cs="Calibri" w:hAnsi="Calibri" w:ascii="Calibri"/>
                <w:b/>
                <w:bCs/>
                <w:color w:val="000000"/>
                <w:sz w:val="16"/>
                <w:szCs w:val="16"/>
              </w:rPr>
            </w:pPr>
            <w:r>
              <w:rPr>
                <w:rFonts w:cs="Calibri" w:hAnsi="Calibri" w:ascii="Calibri"/>
                <w:b/>
                <w:bCs/>
                <w:color w:val="000000"/>
                <w:sz w:val="16"/>
                <w:szCs w:val="16"/>
              </w:rPr>
              <w:t> </w:t>
            </w:r>
          </w:p>
        </w:tc>
        <w:tc>
          <w:tcPr>
            <w:tcW w:type="pct" w:w="290"/>
            <w:tcBorders>
              <w:top w:val="nil"/>
              <w:left w:val="nil"/>
              <w:bottom w:space="0" w:sz="8" w:color="B8CCE4" w:val="single"/>
              <w:right w:space="0" w:sz="8" w:color="B8CCE4" w:val="single"/>
            </w:tcBorders>
            <w:shd w:fill="DCE6F1" w:color="auto" w:val="clear"/>
            <w:noWrap/>
            <w:vAlign w:val="center"/>
            <w:hideMark/>
          </w:tcPr>
          <w:p w:rsidRDefault="001E3364" w:rsidR="001E3364">
            <w:pPr>
              <w:spacing w:after="0"/>
              <w:rPr>
                <w:rFonts w:cs="Calibri" w:hAnsi="Calibri" w:ascii="Calibri"/>
                <w:b/>
                <w:bCs/>
                <w:color w:val="000000"/>
                <w:sz w:val="16"/>
                <w:szCs w:val="16"/>
              </w:rPr>
            </w:pPr>
            <w:r>
              <w:rPr>
                <w:rFonts w:cs="Calibri" w:hAnsi="Calibri" w:ascii="Calibri"/>
                <w:b/>
                <w:bCs/>
                <w:color w:val="000000"/>
                <w:sz w:val="16"/>
                <w:szCs w:val="16"/>
              </w:rPr>
              <w:t> </w:t>
            </w:r>
          </w:p>
        </w:tc>
        <w:tc>
          <w:tcPr>
            <w:tcW w:type="pct" w:w="233"/>
            <w:tcBorders>
              <w:top w:val="nil"/>
              <w:left w:val="nil"/>
              <w:bottom w:space="0" w:sz="8" w:color="B8CCE4" w:val="single"/>
              <w:right w:space="0" w:sz="8" w:color="B8CCE4" w:val="single"/>
            </w:tcBorders>
            <w:shd w:fill="DCE6F1" w:color="auto" w:val="clear"/>
            <w:noWrap/>
            <w:vAlign w:val="center"/>
            <w:hideMark/>
          </w:tcPr>
          <w:p w:rsidRDefault="001E3364" w:rsidR="001E3364">
            <w:pPr>
              <w:spacing w:after="0"/>
              <w:rPr>
                <w:rFonts w:cs="Calibri" w:hAnsi="Calibri" w:ascii="Calibri"/>
                <w:b/>
                <w:bCs/>
                <w:color w:val="000000"/>
                <w:sz w:val="16"/>
                <w:szCs w:val="16"/>
              </w:rPr>
            </w:pPr>
            <w:r>
              <w:rPr>
                <w:rFonts w:cs="Calibri" w:hAnsi="Calibri" w:ascii="Calibri"/>
                <w:b/>
                <w:bCs/>
                <w:color w:val="000000"/>
                <w:sz w:val="16"/>
                <w:szCs w:val="16"/>
              </w:rPr>
              <w:t> </w:t>
            </w:r>
          </w:p>
        </w:tc>
        <w:tc>
          <w:tcPr>
            <w:tcW w:type="pct" w:w="222"/>
            <w:tcBorders>
              <w:top w:val="nil"/>
              <w:left w:val="nil"/>
              <w:bottom w:space="0" w:sz="8" w:color="B8CCE4" w:val="single"/>
              <w:right w:space="0" w:sz="8" w:color="B8CCE4" w:val="single"/>
            </w:tcBorders>
            <w:shd w:fill="DCE6F1" w:color="auto" w:val="clear"/>
            <w:noWrap/>
            <w:vAlign w:val="center"/>
            <w:hideMark/>
          </w:tcPr>
          <w:p w:rsidRDefault="001E3364" w:rsidR="001E3364">
            <w:pPr>
              <w:spacing w:lineRule="auto" w:line="240" w:after="0"/>
              <w:jc w:val="center"/>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 </w:t>
            </w:r>
          </w:p>
        </w:tc>
        <w:tc>
          <w:tcPr>
            <w:tcW w:type="pct" w:w="234"/>
            <w:tcBorders>
              <w:top w:val="nil"/>
              <w:left w:val="nil"/>
              <w:bottom w:space="0" w:sz="8" w:color="B8CCE4" w:val="single"/>
              <w:right w:space="0" w:sz="8" w:color="B8CCE4" w:val="single"/>
            </w:tcBorders>
            <w:shd w:fill="DCE6F1" w:color="auto" w:val="clear"/>
            <w:noWrap/>
            <w:vAlign w:val="center"/>
            <w:hideMark/>
          </w:tcPr>
          <w:p w:rsidRDefault="001E3364" w:rsidR="001E3364">
            <w:pPr>
              <w:spacing w:lineRule="auto" w:line="240" w:after="0"/>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 </w:t>
            </w:r>
          </w:p>
        </w:tc>
        <w:tc>
          <w:tcPr>
            <w:tcW w:type="pct" w:w="228"/>
            <w:tcBorders>
              <w:top w:val="nil"/>
              <w:left w:val="nil"/>
              <w:bottom w:space="0" w:sz="8" w:color="B8CCE4" w:val="single"/>
              <w:right w:space="0" w:sz="8" w:color="B8CCE4" w:val="single"/>
            </w:tcBorders>
            <w:shd w:fill="DCE6F1" w:color="auto" w:val="clear"/>
            <w:noWrap/>
            <w:vAlign w:val="center"/>
            <w:hideMark/>
          </w:tcPr>
          <w:p w:rsidRDefault="001E3364" w:rsidR="001E3364">
            <w:pPr>
              <w:spacing w:lineRule="auto" w:line="240" w:after="0"/>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 </w:t>
            </w:r>
          </w:p>
        </w:tc>
        <w:tc>
          <w:tcPr>
            <w:tcW w:type="pct" w:w="663"/>
            <w:tcBorders>
              <w:top w:val="nil"/>
              <w:left w:val="nil"/>
              <w:bottom w:space="0" w:sz="8" w:color="B8CCE4" w:val="single"/>
              <w:right w:space="0" w:sz="8" w:color="B8CCE4" w:val="single"/>
            </w:tcBorders>
            <w:shd w:fill="DCE6F1" w:color="auto" w:val="clear"/>
            <w:noWrap/>
            <w:vAlign w:val="center"/>
            <w:hideMark/>
          </w:tcPr>
          <w:p w:rsidRDefault="001E3364" w:rsidR="001E3364">
            <w:pPr>
              <w:spacing w:lineRule="auto" w:line="240" w:after="0"/>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 </w:t>
            </w:r>
          </w:p>
        </w:tc>
        <w:tc>
          <w:tcPr>
            <w:tcW w:type="pct" w:w="278"/>
            <w:tcBorders>
              <w:top w:val="nil"/>
              <w:left w:val="nil"/>
              <w:bottom w:space="0" w:sz="8" w:color="B8CCE4" w:val="single"/>
              <w:right w:space="0" w:sz="8" w:color="B8CCE4" w:val="single"/>
            </w:tcBorders>
            <w:shd w:fill="DCE6F1" w:color="auto" w:val="clear"/>
            <w:noWrap/>
            <w:vAlign w:val="center"/>
            <w:hideMark/>
          </w:tcPr>
          <w:p w:rsidRDefault="001E3364" w:rsidR="001E3364">
            <w:pPr>
              <w:spacing w:after="0"/>
              <w:rPr>
                <w:rFonts w:cs="Calibri" w:hAnsi="Calibri" w:ascii="Calibri"/>
                <w:b/>
                <w:bCs/>
                <w:color w:val="000000"/>
                <w:sz w:val="16"/>
                <w:szCs w:val="16"/>
              </w:rPr>
            </w:pPr>
            <w:r>
              <w:rPr>
                <w:rFonts w:cs="Calibri" w:hAnsi="Calibri" w:ascii="Calibri"/>
                <w:b/>
                <w:bCs/>
                <w:color w:val="000000"/>
                <w:sz w:val="16"/>
                <w:szCs w:val="16"/>
              </w:rPr>
              <w:t> </w:t>
            </w:r>
          </w:p>
        </w:tc>
        <w:tc>
          <w:tcPr>
            <w:tcW w:type="pct" w:w="289"/>
            <w:tcBorders>
              <w:top w:val="nil"/>
              <w:left w:val="nil"/>
              <w:bottom w:space="0" w:sz="8" w:color="B8CCE4" w:val="single"/>
              <w:right w:space="0" w:sz="8" w:color="B8CCE4" w:val="single"/>
            </w:tcBorders>
            <w:shd w:fill="DCE6F1" w:color="auto" w:val="clear"/>
            <w:noWrap/>
            <w:vAlign w:val="center"/>
            <w:hideMark/>
          </w:tcPr>
          <w:p w:rsidRDefault="001E3364" w:rsidR="001E3364">
            <w:pPr>
              <w:spacing w:after="0"/>
              <w:rPr>
                <w:rFonts w:cs="Calibri" w:hAnsi="Calibri" w:ascii="Calibri"/>
                <w:b/>
                <w:bCs/>
                <w:color w:val="000000"/>
                <w:sz w:val="16"/>
                <w:szCs w:val="16"/>
              </w:rPr>
            </w:pPr>
            <w:r>
              <w:rPr>
                <w:rFonts w:cs="Calibri" w:hAnsi="Calibri" w:ascii="Calibri"/>
                <w:b/>
                <w:bCs/>
                <w:color w:val="000000"/>
                <w:sz w:val="16"/>
                <w:szCs w:val="16"/>
              </w:rPr>
              <w:t> </w:t>
            </w:r>
          </w:p>
        </w:tc>
      </w:tr>
      <w:tr w:rsidTr="001E3364" w:rsidR="001E3364">
        <w:trPr>
          <w:trHeight w:val="20"/>
        </w:trPr>
        <w:tc>
          <w:tcPr>
            <w:tcW w:type="pct" w:w="72"/>
            <w:tcBorders>
              <w:top w:val="nil"/>
              <w:left w:space="0" w:sz="8" w:color="B8CCE4" w:val="single"/>
              <w:bottom w:space="0" w:sz="8" w:color="B8CCE4" w:val="single"/>
              <w:right w:space="0" w:sz="8" w:color="B8CCE4" w:val="single"/>
            </w:tcBorders>
            <w:noWrap/>
            <w:vAlign w:val="center"/>
            <w:hideMark/>
          </w:tcPr>
          <w:p w:rsidRDefault="001E3364" w:rsidR="001E3364">
            <w:pPr>
              <w:spacing w:lineRule="auto" w:line="240" w:after="0"/>
              <w:jc w:val="center"/>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w:t>
            </w:r>
          </w:p>
        </w:tc>
        <w:tc>
          <w:tcPr>
            <w:tcW w:type="pct" w:w="1154"/>
            <w:tcBorders>
              <w:top w:val="nil"/>
              <w:left w:val="nil"/>
              <w:bottom w:space="0" w:sz="8" w:color="B8CCE4" w:val="single"/>
              <w:right w:space="0" w:sz="8" w:color="B8CCE4" w:val="single"/>
            </w:tcBorders>
            <w:noWrap/>
            <w:vAlign w:val="center"/>
            <w:hideMark/>
          </w:tcPr>
          <w:p w:rsidRDefault="001E3364" w:rsidR="001E3364">
            <w:pPr>
              <w:spacing w:after="0"/>
              <w:rPr>
                <w:rFonts w:cs="Calibri" w:hAnsi="Calibri" w:ascii="Calibri"/>
                <w:color w:val="000000"/>
                <w:sz w:val="16"/>
                <w:szCs w:val="16"/>
              </w:rPr>
            </w:pPr>
            <w:r>
              <w:rPr>
                <w:rFonts w:cs="Calibri" w:hAnsi="Calibri" w:ascii="Calibri"/>
                <w:color w:val="000000"/>
                <w:sz w:val="16"/>
                <w:szCs w:val="16"/>
              </w:rPr>
              <w:t>Svi vjerovnici</w:t>
            </w:r>
          </w:p>
        </w:tc>
        <w:tc>
          <w:tcPr>
            <w:tcW w:type="pct" w:w="258"/>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color w:val="000000"/>
                <w:sz w:val="16"/>
                <w:szCs w:val="16"/>
              </w:rPr>
            </w:pPr>
            <w:r>
              <w:rPr>
                <w:rFonts w:cs="Calibri" w:hAnsi="Calibri" w:ascii="Calibri"/>
                <w:color w:val="000000"/>
                <w:sz w:val="16"/>
                <w:szCs w:val="16"/>
              </w:rPr>
              <w:t>3.306.363,03</w:t>
            </w:r>
          </w:p>
        </w:tc>
        <w:tc>
          <w:tcPr>
            <w:tcW w:type="pct" w:w="278"/>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color w:val="000000"/>
                <w:sz w:val="16"/>
                <w:szCs w:val="16"/>
              </w:rPr>
            </w:pPr>
            <w:r>
              <w:rPr>
                <w:rFonts w:cs="Calibri" w:hAnsi="Calibri" w:ascii="Calibri"/>
                <w:color w:val="000000"/>
                <w:sz w:val="16"/>
                <w:szCs w:val="16"/>
              </w:rPr>
              <w:t>26.958.531,87</w:t>
            </w:r>
          </w:p>
        </w:tc>
        <w:tc>
          <w:tcPr>
            <w:tcW w:type="pct" w:w="355"/>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color w:val="000000"/>
                <w:sz w:val="16"/>
                <w:szCs w:val="16"/>
              </w:rPr>
            </w:pPr>
            <w:r>
              <w:rPr>
                <w:rFonts w:cs="Calibri" w:hAnsi="Calibri" w:ascii="Calibri"/>
                <w:color w:val="000000"/>
                <w:sz w:val="16"/>
                <w:szCs w:val="16"/>
              </w:rPr>
              <w:t>30.264.894,90</w:t>
            </w:r>
          </w:p>
        </w:tc>
        <w:tc>
          <w:tcPr>
            <w:tcW w:type="pct" w:w="188"/>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color w:val="000000"/>
                <w:sz w:val="16"/>
                <w:szCs w:val="16"/>
              </w:rPr>
            </w:pPr>
            <w:r>
              <w:rPr>
                <w:rFonts w:cs="Calibri" w:hAnsi="Calibri" w:ascii="Calibri"/>
                <w:color w:val="000000"/>
                <w:sz w:val="16"/>
                <w:szCs w:val="16"/>
              </w:rPr>
              <w:t>29,96%</w:t>
            </w:r>
          </w:p>
        </w:tc>
        <w:tc>
          <w:tcPr>
            <w:tcW w:type="pct" w:w="258"/>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color w:val="000000"/>
                <w:sz w:val="16"/>
                <w:szCs w:val="16"/>
              </w:rPr>
            </w:pPr>
            <w:r>
              <w:rPr>
                <w:rFonts w:cs="Calibri" w:hAnsi="Calibri" w:ascii="Calibri"/>
                <w:color w:val="000000"/>
                <w:sz w:val="16"/>
                <w:szCs w:val="16"/>
              </w:rPr>
              <w:t>3.306.363,03</w:t>
            </w:r>
          </w:p>
        </w:tc>
        <w:tc>
          <w:tcPr>
            <w:tcW w:type="pct" w:w="290"/>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color w:val="000000"/>
                <w:sz w:val="16"/>
                <w:szCs w:val="16"/>
              </w:rPr>
            </w:pPr>
            <w:r>
              <w:rPr>
                <w:rFonts w:cs="Calibri" w:hAnsi="Calibri" w:ascii="Calibri"/>
                <w:color w:val="000000"/>
                <w:sz w:val="16"/>
                <w:szCs w:val="16"/>
              </w:rPr>
              <w:t>26.958.531,87</w:t>
            </w:r>
          </w:p>
        </w:tc>
        <w:tc>
          <w:tcPr>
            <w:tcW w:type="pct" w:w="233"/>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color w:val="000000"/>
                <w:sz w:val="16"/>
                <w:szCs w:val="16"/>
              </w:rPr>
            </w:pPr>
            <w:r>
              <w:rPr>
                <w:rFonts w:cs="Calibri" w:hAnsi="Calibri" w:ascii="Calibri"/>
                <w:color w:val="000000"/>
                <w:sz w:val="16"/>
                <w:szCs w:val="16"/>
              </w:rPr>
              <w:t>100,00%</w:t>
            </w:r>
          </w:p>
        </w:tc>
        <w:tc>
          <w:tcPr>
            <w:tcW w:type="pct" w:w="222"/>
            <w:tcBorders>
              <w:top w:val="nil"/>
              <w:left w:val="nil"/>
              <w:bottom w:space="0" w:sz="8" w:color="B8CCE4" w:val="single"/>
              <w:right w:space="0" w:sz="8" w:color="B8CCE4" w:val="single"/>
            </w:tcBorders>
            <w:vAlign w:val="center"/>
            <w:hideMark/>
          </w:tcPr>
          <w:p w:rsidRDefault="001E3364" w:rsidR="001E3364">
            <w:pPr>
              <w:spacing w:after="0"/>
              <w:jc w:val="center"/>
              <w:rPr>
                <w:rFonts w:cs="Calibri" w:hAnsi="Calibri" w:ascii="Calibri"/>
                <w:color w:val="000000"/>
                <w:sz w:val="16"/>
                <w:szCs w:val="16"/>
              </w:rPr>
            </w:pPr>
            <w:r>
              <w:rPr>
                <w:rFonts w:cs="Calibri" w:hAnsi="Calibri" w:ascii="Calibri"/>
                <w:color w:val="000000"/>
                <w:sz w:val="16"/>
                <w:szCs w:val="16"/>
              </w:rPr>
              <w:t>Odgoda dospjelosti</w:t>
            </w:r>
          </w:p>
        </w:tc>
        <w:tc>
          <w:tcPr>
            <w:tcW w:type="pct" w:w="234"/>
            <w:tcBorders>
              <w:top w:val="nil"/>
              <w:left w:val="nil"/>
              <w:bottom w:space="0" w:sz="8" w:color="B8CCE4" w:val="single"/>
              <w:right w:space="0" w:sz="8" w:color="B8CCE4" w:val="single"/>
            </w:tcBorders>
            <w:noWrap/>
            <w:vAlign w:val="center"/>
            <w:hideMark/>
          </w:tcPr>
          <w:p w:rsidRDefault="001E3364" w:rsidR="001E3364">
            <w:pPr>
              <w:spacing w:after="0"/>
              <w:jc w:val="center"/>
              <w:rPr>
                <w:rFonts w:cs="Calibri" w:hAnsi="Calibri" w:ascii="Calibri"/>
                <w:color w:val="000000"/>
                <w:sz w:val="16"/>
                <w:szCs w:val="16"/>
              </w:rPr>
            </w:pPr>
            <w:r>
              <w:rPr>
                <w:rFonts w:cs="Calibri" w:hAnsi="Calibri" w:ascii="Calibri"/>
                <w:color w:val="000000"/>
                <w:sz w:val="16"/>
                <w:szCs w:val="16"/>
              </w:rPr>
              <w:t>0,00%</w:t>
            </w:r>
          </w:p>
        </w:tc>
        <w:tc>
          <w:tcPr>
            <w:tcW w:type="pct" w:w="228"/>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color w:val="000000"/>
                <w:sz w:val="16"/>
                <w:szCs w:val="16"/>
              </w:rPr>
            </w:pPr>
            <w:r>
              <w:rPr>
                <w:rFonts w:cs="Calibri" w:hAnsi="Calibri" w:ascii="Calibri"/>
                <w:color w:val="000000"/>
                <w:sz w:val="16"/>
                <w:szCs w:val="16"/>
              </w:rPr>
              <w:t>24 mjeseca</w:t>
            </w:r>
          </w:p>
        </w:tc>
        <w:tc>
          <w:tcPr>
            <w:tcW w:type="pct" w:w="663"/>
            <w:tcBorders>
              <w:top w:space="0" w:sz="4" w:color="auto" w:val="single"/>
              <w:left w:space="0" w:sz="4" w:color="auto" w:val="single"/>
              <w:bottom w:val="nil"/>
              <w:right w:space="0" w:sz="4" w:color="auto" w:val="single"/>
            </w:tcBorders>
            <w:vAlign w:val="center"/>
            <w:hideMark/>
          </w:tcPr>
          <w:p w:rsidRDefault="001E3364" w:rsidR="001E3364">
            <w:pPr>
              <w:spacing w:after="0"/>
              <w:rPr>
                <w:rFonts w:cs="Calibri" w:hAnsi="Calibri" w:ascii="Calibri"/>
                <w:color w:val="000000"/>
                <w:sz w:val="16"/>
                <w:szCs w:val="16"/>
              </w:rPr>
            </w:pPr>
            <w:r>
              <w:rPr>
                <w:rFonts w:cs="Calibri" w:hAnsi="Calibri" w:ascii="Calibri"/>
                <w:color w:val="000000"/>
                <w:sz w:val="16"/>
                <w:szCs w:val="16"/>
              </w:rPr>
              <w:t>5 godina (24 mjeseca poček plus 3 godine otplate u jednakim kvartalnim ratama bez kamata)</w:t>
            </w:r>
          </w:p>
        </w:tc>
        <w:tc>
          <w:tcPr>
            <w:tcW w:type="pct" w:w="278"/>
            <w:tcBorders>
              <w:top w:val="nil"/>
              <w:left w:space="0" w:sz="8" w:color="B8CCE4" w:val="single"/>
              <w:bottom w:space="0" w:sz="8" w:color="B8CCE4" w:val="single"/>
              <w:right w:space="0" w:sz="8" w:color="B8CCE4" w:val="single"/>
            </w:tcBorders>
            <w:noWrap/>
            <w:vAlign w:val="center"/>
            <w:hideMark/>
          </w:tcPr>
          <w:p w:rsidRDefault="001E3364" w:rsidR="001E3364">
            <w:pPr>
              <w:spacing w:after="0"/>
              <w:jc w:val="right"/>
              <w:rPr>
                <w:rFonts w:cs="Calibri" w:hAnsi="Calibri" w:ascii="Calibri"/>
                <w:color w:val="000000"/>
                <w:sz w:val="16"/>
                <w:szCs w:val="16"/>
              </w:rPr>
            </w:pPr>
            <w:r>
              <w:rPr>
                <w:rFonts w:cs="Calibri" w:hAnsi="Calibri" w:ascii="Calibri"/>
                <w:color w:val="000000"/>
                <w:sz w:val="16"/>
                <w:szCs w:val="16"/>
              </w:rPr>
              <w:t> </w:t>
            </w:r>
          </w:p>
        </w:tc>
        <w:tc>
          <w:tcPr>
            <w:tcW w:type="pct" w:w="289"/>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color w:val="000000"/>
                <w:sz w:val="16"/>
                <w:szCs w:val="16"/>
              </w:rPr>
            </w:pPr>
            <w:r>
              <w:rPr>
                <w:rFonts w:cs="Calibri" w:hAnsi="Calibri" w:ascii="Calibri"/>
                <w:color w:val="000000"/>
                <w:sz w:val="16"/>
                <w:szCs w:val="16"/>
              </w:rPr>
              <w:t>30.264.894,90</w:t>
            </w:r>
          </w:p>
        </w:tc>
      </w:tr>
      <w:tr w:rsidTr="001E3364" w:rsidR="001E3364">
        <w:trPr>
          <w:trHeight w:val="20"/>
        </w:trPr>
        <w:tc>
          <w:tcPr>
            <w:tcW w:type="pct" w:w="72"/>
            <w:tcBorders>
              <w:top w:val="nil"/>
              <w:left w:space="0" w:sz="8" w:color="B8CCE4" w:val="single"/>
              <w:bottom w:space="0" w:sz="8" w:color="B8CCE4" w:val="single"/>
              <w:right w:space="0" w:sz="8" w:color="B8CCE4" w:val="single"/>
            </w:tcBorders>
            <w:noWrap/>
            <w:vAlign w:val="center"/>
            <w:hideMark/>
          </w:tcPr>
          <w:p w:rsidRDefault="001E3364" w:rsidR="001E3364">
            <w:pPr>
              <w:spacing w:lineRule="auto" w:line="240" w:after="0"/>
              <w:jc w:val="center"/>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 </w:t>
            </w:r>
          </w:p>
        </w:tc>
        <w:tc>
          <w:tcPr>
            <w:tcW w:type="pct" w:w="1154"/>
            <w:tcBorders>
              <w:top w:val="nil"/>
              <w:left w:val="nil"/>
              <w:bottom w:space="0" w:sz="8" w:color="B8CCE4" w:val="single"/>
              <w:right w:space="0" w:sz="8" w:color="B8CCE4" w:val="single"/>
            </w:tcBorders>
            <w:noWrap/>
            <w:vAlign w:val="center"/>
            <w:hideMark/>
          </w:tcPr>
          <w:p w:rsidRDefault="001E3364" w:rsidR="001E3364">
            <w:pPr>
              <w:spacing w:after="0"/>
              <w:rPr>
                <w:rFonts w:cs="Calibri" w:hAnsi="Calibri" w:ascii="Calibri"/>
                <w:b/>
                <w:bCs/>
                <w:color w:val="000000"/>
                <w:sz w:val="16"/>
                <w:szCs w:val="16"/>
              </w:rPr>
            </w:pPr>
            <w:r>
              <w:rPr>
                <w:rFonts w:cs="Calibri" w:hAnsi="Calibri" w:ascii="Calibri"/>
                <w:b/>
                <w:bCs/>
                <w:color w:val="000000"/>
                <w:sz w:val="16"/>
                <w:szCs w:val="16"/>
              </w:rPr>
              <w:t>UKUPNO</w:t>
            </w:r>
          </w:p>
        </w:tc>
        <w:tc>
          <w:tcPr>
            <w:tcW w:type="pct" w:w="258"/>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b/>
                <w:bCs/>
                <w:color w:val="000000"/>
                <w:sz w:val="16"/>
                <w:szCs w:val="16"/>
              </w:rPr>
            </w:pPr>
            <w:r>
              <w:rPr>
                <w:rFonts w:cs="Calibri" w:hAnsi="Calibri" w:ascii="Calibri"/>
                <w:b/>
                <w:bCs/>
                <w:color w:val="000000"/>
                <w:sz w:val="16"/>
                <w:szCs w:val="16"/>
              </w:rPr>
              <w:t>3.306.363,03</w:t>
            </w:r>
          </w:p>
        </w:tc>
        <w:tc>
          <w:tcPr>
            <w:tcW w:type="pct" w:w="278"/>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b/>
                <w:bCs/>
                <w:color w:val="000000"/>
                <w:sz w:val="16"/>
                <w:szCs w:val="16"/>
              </w:rPr>
            </w:pPr>
            <w:r>
              <w:rPr>
                <w:rFonts w:cs="Calibri" w:hAnsi="Calibri" w:ascii="Calibri"/>
                <w:b/>
                <w:bCs/>
                <w:color w:val="000000"/>
                <w:sz w:val="16"/>
                <w:szCs w:val="16"/>
              </w:rPr>
              <w:t>26.958.531,87</w:t>
            </w:r>
          </w:p>
        </w:tc>
        <w:tc>
          <w:tcPr>
            <w:tcW w:type="pct" w:w="355"/>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b/>
                <w:bCs/>
                <w:color w:val="000000"/>
                <w:sz w:val="16"/>
                <w:szCs w:val="16"/>
              </w:rPr>
            </w:pPr>
            <w:r>
              <w:rPr>
                <w:rFonts w:cs="Calibri" w:hAnsi="Calibri" w:ascii="Calibri"/>
                <w:b/>
                <w:bCs/>
                <w:color w:val="000000"/>
                <w:sz w:val="16"/>
                <w:szCs w:val="16"/>
              </w:rPr>
              <w:t>30.264.894,90</w:t>
            </w:r>
          </w:p>
        </w:tc>
        <w:tc>
          <w:tcPr>
            <w:tcW w:type="pct" w:w="188"/>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b/>
                <w:bCs/>
                <w:color w:val="000000"/>
                <w:sz w:val="16"/>
                <w:szCs w:val="16"/>
              </w:rPr>
            </w:pPr>
            <w:r>
              <w:rPr>
                <w:rFonts w:cs="Calibri" w:hAnsi="Calibri" w:ascii="Calibri"/>
                <w:b/>
                <w:bCs/>
                <w:color w:val="000000"/>
                <w:sz w:val="16"/>
                <w:szCs w:val="16"/>
              </w:rPr>
              <w:t>29,96%</w:t>
            </w:r>
          </w:p>
        </w:tc>
        <w:tc>
          <w:tcPr>
            <w:tcW w:type="pct" w:w="258"/>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color w:val="000000"/>
                <w:sz w:val="16"/>
                <w:szCs w:val="16"/>
              </w:rPr>
            </w:pPr>
            <w:r>
              <w:rPr>
                <w:rFonts w:cs="Calibri" w:hAnsi="Calibri" w:ascii="Calibri"/>
                <w:color w:val="000000"/>
                <w:sz w:val="16"/>
                <w:szCs w:val="16"/>
              </w:rPr>
              <w:t>3.306.363,03</w:t>
            </w:r>
          </w:p>
        </w:tc>
        <w:tc>
          <w:tcPr>
            <w:tcW w:type="pct" w:w="290"/>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b/>
                <w:bCs/>
                <w:color w:val="000000"/>
                <w:sz w:val="16"/>
                <w:szCs w:val="16"/>
              </w:rPr>
            </w:pPr>
            <w:r>
              <w:rPr>
                <w:rFonts w:cs="Calibri" w:hAnsi="Calibri" w:ascii="Calibri"/>
                <w:b/>
                <w:bCs/>
                <w:color w:val="000000"/>
                <w:sz w:val="16"/>
                <w:szCs w:val="16"/>
              </w:rPr>
              <w:t>26.958.531,87</w:t>
            </w:r>
          </w:p>
        </w:tc>
        <w:tc>
          <w:tcPr>
            <w:tcW w:type="pct" w:w="233"/>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b/>
                <w:bCs/>
                <w:color w:val="000000"/>
                <w:sz w:val="16"/>
                <w:szCs w:val="16"/>
              </w:rPr>
            </w:pPr>
            <w:r>
              <w:rPr>
                <w:rFonts w:cs="Calibri" w:hAnsi="Calibri" w:ascii="Calibri"/>
                <w:b/>
                <w:bCs/>
                <w:color w:val="000000"/>
                <w:sz w:val="16"/>
                <w:szCs w:val="16"/>
              </w:rPr>
              <w:t>100,00%</w:t>
            </w:r>
          </w:p>
        </w:tc>
        <w:tc>
          <w:tcPr>
            <w:tcW w:type="pct" w:w="222"/>
            <w:tcBorders>
              <w:top w:val="nil"/>
              <w:left w:val="nil"/>
              <w:bottom w:space="0" w:sz="8" w:color="B8CCE4" w:val="single"/>
              <w:right w:space="0" w:sz="8" w:color="B8CCE4" w:val="single"/>
            </w:tcBorders>
            <w:noWrap/>
            <w:vAlign w:val="center"/>
            <w:hideMark/>
          </w:tcPr>
          <w:p w:rsidRDefault="001E3364" w:rsidR="001E3364">
            <w:pPr>
              <w:spacing w:after="0"/>
              <w:jc w:val="center"/>
              <w:rPr>
                <w:rFonts w:cs="Calibri" w:hAnsi="Calibri" w:ascii="Calibri"/>
                <w:color w:val="000000"/>
                <w:sz w:val="16"/>
                <w:szCs w:val="16"/>
              </w:rPr>
            </w:pPr>
            <w:r>
              <w:rPr>
                <w:rFonts w:cs="Calibri" w:hAnsi="Calibri" w:ascii="Calibri"/>
                <w:color w:val="000000"/>
                <w:sz w:val="16"/>
                <w:szCs w:val="16"/>
              </w:rPr>
              <w:t> </w:t>
            </w:r>
          </w:p>
        </w:tc>
        <w:tc>
          <w:tcPr>
            <w:tcW w:type="pct" w:w="234"/>
            <w:tcBorders>
              <w:top w:val="nil"/>
              <w:left w:val="nil"/>
              <w:bottom w:space="0" w:sz="8" w:color="B8CCE4" w:val="single"/>
              <w:right w:space="0" w:sz="8" w:color="B8CCE4" w:val="single"/>
            </w:tcBorders>
            <w:noWrap/>
            <w:vAlign w:val="center"/>
            <w:hideMark/>
          </w:tcPr>
          <w:p w:rsidRDefault="001E3364" w:rsidR="001E3364">
            <w:pPr>
              <w:spacing w:after="0"/>
              <w:rPr>
                <w:rFonts w:cs="Calibri" w:hAnsi="Calibri" w:ascii="Calibri"/>
                <w:b/>
                <w:bCs/>
                <w:color w:val="000000"/>
                <w:sz w:val="16"/>
                <w:szCs w:val="16"/>
              </w:rPr>
            </w:pPr>
            <w:r>
              <w:rPr>
                <w:rFonts w:cs="Calibri" w:hAnsi="Calibri" w:ascii="Calibri"/>
                <w:b/>
                <w:bCs/>
                <w:color w:val="000000"/>
                <w:sz w:val="16"/>
                <w:szCs w:val="16"/>
              </w:rPr>
              <w:t> </w:t>
            </w:r>
          </w:p>
        </w:tc>
        <w:tc>
          <w:tcPr>
            <w:tcW w:type="pct" w:w="228"/>
            <w:tcBorders>
              <w:top w:val="nil"/>
              <w:left w:val="nil"/>
              <w:bottom w:space="0" w:sz="8" w:color="B8CCE4" w:val="single"/>
              <w:right w:space="0" w:sz="8" w:color="B8CCE4" w:val="single"/>
            </w:tcBorders>
            <w:noWrap/>
            <w:vAlign w:val="center"/>
            <w:hideMark/>
          </w:tcPr>
          <w:p w:rsidRDefault="001E3364" w:rsidR="001E3364">
            <w:pPr>
              <w:spacing w:after="0"/>
              <w:rPr>
                <w:rFonts w:cs="Calibri" w:hAnsi="Calibri" w:ascii="Calibri"/>
                <w:b/>
                <w:bCs/>
                <w:color w:val="000000"/>
                <w:sz w:val="16"/>
                <w:szCs w:val="16"/>
              </w:rPr>
            </w:pPr>
            <w:r>
              <w:rPr>
                <w:rFonts w:cs="Calibri" w:hAnsi="Calibri" w:ascii="Calibri"/>
                <w:b/>
                <w:bCs/>
                <w:color w:val="000000"/>
                <w:sz w:val="16"/>
                <w:szCs w:val="16"/>
              </w:rPr>
              <w:t> </w:t>
            </w:r>
          </w:p>
        </w:tc>
        <w:tc>
          <w:tcPr>
            <w:tcW w:type="pct" w:w="663"/>
            <w:tcBorders>
              <w:top w:space="0" w:sz="8" w:color="B8CCE4" w:val="single"/>
              <w:left w:val="nil"/>
              <w:bottom w:space="0" w:sz="8" w:color="B8CCE4" w:val="single"/>
              <w:right w:space="0" w:sz="8" w:color="B8CCE4" w:val="single"/>
            </w:tcBorders>
            <w:noWrap/>
            <w:vAlign w:val="center"/>
            <w:hideMark/>
          </w:tcPr>
          <w:p w:rsidRDefault="001E3364" w:rsidR="001E3364">
            <w:pPr>
              <w:spacing w:after="0"/>
              <w:rPr>
                <w:rFonts w:cs="Calibri" w:hAnsi="Calibri" w:ascii="Calibri"/>
                <w:b/>
                <w:bCs/>
                <w:color w:val="000000"/>
                <w:sz w:val="16"/>
                <w:szCs w:val="16"/>
              </w:rPr>
            </w:pPr>
            <w:r>
              <w:rPr>
                <w:rFonts w:cs="Calibri" w:hAnsi="Calibri" w:ascii="Calibri"/>
                <w:b/>
                <w:bCs/>
                <w:color w:val="000000"/>
                <w:sz w:val="16"/>
                <w:szCs w:val="16"/>
              </w:rPr>
              <w:t> </w:t>
            </w:r>
          </w:p>
        </w:tc>
        <w:tc>
          <w:tcPr>
            <w:tcW w:type="pct" w:w="278"/>
            <w:tcBorders>
              <w:top w:val="nil"/>
              <w:left w:val="nil"/>
              <w:bottom w:space="0" w:sz="8" w:color="B8CCE4" w:val="single"/>
              <w:right w:space="0" w:sz="8" w:color="B8CCE4" w:val="single"/>
            </w:tcBorders>
            <w:noWrap/>
            <w:vAlign w:val="center"/>
            <w:hideMark/>
          </w:tcPr>
          <w:p w:rsidRDefault="001E3364" w:rsidR="001E3364">
            <w:pPr>
              <w:spacing w:after="0"/>
              <w:rPr>
                <w:rFonts w:cs="Calibri" w:hAnsi="Calibri" w:ascii="Calibri"/>
                <w:b/>
                <w:bCs/>
                <w:color w:val="000000"/>
                <w:sz w:val="16"/>
                <w:szCs w:val="16"/>
              </w:rPr>
            </w:pPr>
            <w:r>
              <w:rPr>
                <w:rFonts w:cs="Calibri" w:hAnsi="Calibri" w:ascii="Calibri"/>
                <w:b/>
                <w:bCs/>
                <w:color w:val="000000"/>
                <w:sz w:val="16"/>
                <w:szCs w:val="16"/>
              </w:rPr>
              <w:t> </w:t>
            </w:r>
          </w:p>
        </w:tc>
        <w:tc>
          <w:tcPr>
            <w:tcW w:type="pct" w:w="289"/>
            <w:tcBorders>
              <w:top w:val="nil"/>
              <w:left w:val="nil"/>
              <w:bottom w:space="0" w:sz="8" w:color="B8CCE4" w:val="single"/>
              <w:right w:space="0" w:sz="8" w:color="B8CCE4" w:val="single"/>
            </w:tcBorders>
            <w:noWrap/>
            <w:vAlign w:val="center"/>
            <w:hideMark/>
          </w:tcPr>
          <w:p w:rsidRDefault="001E3364" w:rsidR="001E3364">
            <w:pPr>
              <w:spacing w:after="0"/>
              <w:jc w:val="right"/>
              <w:rPr>
                <w:rFonts w:cs="Calibri" w:hAnsi="Calibri" w:ascii="Calibri"/>
                <w:b/>
                <w:bCs/>
                <w:color w:val="000000"/>
                <w:sz w:val="16"/>
                <w:szCs w:val="16"/>
              </w:rPr>
            </w:pPr>
            <w:r>
              <w:rPr>
                <w:rFonts w:cs="Calibri" w:hAnsi="Calibri" w:ascii="Calibri"/>
                <w:b/>
                <w:bCs/>
                <w:color w:val="000000"/>
                <w:sz w:val="16"/>
                <w:szCs w:val="16"/>
              </w:rPr>
              <w:t>30.264.894,90</w:t>
            </w:r>
          </w:p>
        </w:tc>
      </w:tr>
      <w:tr w:rsidTr="001E3364" w:rsidR="001E3364">
        <w:trPr>
          <w:trHeight w:val="20"/>
        </w:trPr>
        <w:tc>
          <w:tcPr>
            <w:tcW w:type="pct" w:w="72"/>
            <w:tcBorders>
              <w:top w:val="nil"/>
              <w:left w:space="0" w:sz="8" w:color="B8CCE4" w:val="single"/>
              <w:bottom w:space="0" w:sz="8" w:color="B8CCE4" w:val="single"/>
              <w:right w:space="0" w:sz="8" w:color="B8CCE4" w:val="single"/>
            </w:tcBorders>
            <w:noWrap/>
            <w:vAlign w:val="center"/>
            <w:hideMark/>
          </w:tcPr>
          <w:p w:rsidRDefault="001E3364" w:rsidR="001E3364">
            <w:pPr>
              <w:spacing w:lineRule="auto" w:line="240" w:after="0"/>
              <w:jc w:val="center"/>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 </w:t>
            </w:r>
          </w:p>
        </w:tc>
        <w:tc>
          <w:tcPr>
            <w:tcW w:type="pct" w:w="1154"/>
            <w:tcBorders>
              <w:top w:val="nil"/>
              <w:left w:val="nil"/>
              <w:bottom w:space="0" w:sz="8" w:color="B8CCE4" w:val="single"/>
              <w:right w:space="0" w:sz="8" w:color="B8CCE4" w:val="single"/>
            </w:tcBorders>
            <w:noWrap/>
            <w:vAlign w:val="center"/>
            <w:hideMark/>
          </w:tcPr>
          <w:p w:rsidRDefault="001E3364" w:rsidR="001E3364">
            <w:pPr>
              <w:spacing w:after="0"/>
              <w:rPr>
                <w:rFonts w:cs="Calibri" w:hAnsi="Calibri" w:ascii="Calibri"/>
                <w:b/>
                <w:bCs/>
                <w:color w:val="000000"/>
                <w:sz w:val="16"/>
                <w:szCs w:val="16"/>
              </w:rPr>
            </w:pPr>
            <w:r>
              <w:rPr>
                <w:rFonts w:cs="Calibri" w:hAnsi="Calibri" w:ascii="Calibri"/>
                <w:b/>
                <w:bCs/>
                <w:color w:val="000000"/>
                <w:sz w:val="16"/>
                <w:szCs w:val="16"/>
              </w:rPr>
              <w:t> </w:t>
            </w:r>
          </w:p>
        </w:tc>
        <w:tc>
          <w:tcPr>
            <w:tcW w:type="pct" w:w="258"/>
            <w:tcBorders>
              <w:top w:val="nil"/>
              <w:left w:val="nil"/>
              <w:bottom w:space="0" w:sz="8" w:color="B8CCE4" w:val="single"/>
              <w:right w:space="0" w:sz="8" w:color="B8CCE4" w:val="single"/>
            </w:tcBorders>
            <w:noWrap/>
            <w:vAlign w:val="center"/>
            <w:hideMark/>
          </w:tcPr>
          <w:p w:rsidRDefault="001E3364" w:rsidR="001E3364">
            <w:pPr>
              <w:spacing w:after="0"/>
              <w:rPr>
                <w:rFonts w:cs="Calibri" w:hAnsi="Calibri" w:ascii="Calibri"/>
                <w:b/>
                <w:bCs/>
                <w:color w:val="000000"/>
                <w:sz w:val="16"/>
                <w:szCs w:val="16"/>
              </w:rPr>
            </w:pPr>
            <w:r>
              <w:rPr>
                <w:rFonts w:cs="Calibri" w:hAnsi="Calibri" w:ascii="Calibri"/>
                <w:b/>
                <w:bCs/>
                <w:color w:val="000000"/>
                <w:sz w:val="16"/>
                <w:szCs w:val="16"/>
              </w:rPr>
              <w:t> </w:t>
            </w:r>
          </w:p>
        </w:tc>
        <w:tc>
          <w:tcPr>
            <w:tcW w:type="pct" w:w="278"/>
            <w:tcBorders>
              <w:top w:val="nil"/>
              <w:left w:val="nil"/>
              <w:bottom w:space="0" w:sz="8" w:color="B8CCE4" w:val="single"/>
              <w:right w:space="0" w:sz="8" w:color="B8CCE4" w:val="single"/>
            </w:tcBorders>
            <w:noWrap/>
            <w:vAlign w:val="center"/>
            <w:hideMark/>
          </w:tcPr>
          <w:p w:rsidRDefault="001E3364" w:rsidR="001E3364">
            <w:pPr>
              <w:spacing w:after="0"/>
              <w:rPr>
                <w:rFonts w:cs="Calibri" w:hAnsi="Calibri" w:ascii="Calibri"/>
                <w:b/>
                <w:bCs/>
                <w:color w:val="000000"/>
                <w:sz w:val="16"/>
                <w:szCs w:val="16"/>
              </w:rPr>
            </w:pPr>
            <w:r>
              <w:rPr>
                <w:rFonts w:cs="Calibri" w:hAnsi="Calibri" w:ascii="Calibri"/>
                <w:b/>
                <w:bCs/>
                <w:color w:val="000000"/>
                <w:sz w:val="16"/>
                <w:szCs w:val="16"/>
              </w:rPr>
              <w:t> </w:t>
            </w:r>
          </w:p>
        </w:tc>
        <w:tc>
          <w:tcPr>
            <w:tcW w:type="pct" w:w="355"/>
            <w:tcBorders>
              <w:top w:val="nil"/>
              <w:left w:val="nil"/>
              <w:bottom w:space="0" w:sz="8" w:color="B8CCE4" w:val="single"/>
              <w:right w:space="0" w:sz="8" w:color="B8CCE4" w:val="single"/>
            </w:tcBorders>
            <w:noWrap/>
            <w:vAlign w:val="center"/>
            <w:hideMark/>
          </w:tcPr>
          <w:p w:rsidRDefault="001E3364" w:rsidR="001E3364">
            <w:pPr>
              <w:spacing w:after="0"/>
              <w:rPr>
                <w:rFonts w:cs="Calibri" w:hAnsi="Calibri" w:ascii="Calibri"/>
                <w:b/>
                <w:bCs/>
                <w:color w:val="000000"/>
                <w:sz w:val="16"/>
                <w:szCs w:val="16"/>
              </w:rPr>
            </w:pPr>
            <w:r>
              <w:rPr>
                <w:rFonts w:cs="Calibri" w:hAnsi="Calibri" w:ascii="Calibri"/>
                <w:b/>
                <w:bCs/>
                <w:color w:val="000000"/>
                <w:sz w:val="16"/>
                <w:szCs w:val="16"/>
              </w:rPr>
              <w:t> </w:t>
            </w:r>
          </w:p>
        </w:tc>
        <w:tc>
          <w:tcPr>
            <w:tcW w:type="pct" w:w="188"/>
            <w:tcBorders>
              <w:top w:val="nil"/>
              <w:left w:val="nil"/>
              <w:bottom w:space="0" w:sz="8" w:color="B8CCE4" w:val="single"/>
              <w:right w:space="0" w:sz="8" w:color="B8CCE4" w:val="single"/>
            </w:tcBorders>
            <w:noWrap/>
            <w:vAlign w:val="center"/>
            <w:hideMark/>
          </w:tcPr>
          <w:p w:rsidRDefault="001E3364" w:rsidR="001E3364">
            <w:pPr>
              <w:spacing w:after="0"/>
              <w:rPr>
                <w:rFonts w:cs="Calibri" w:hAnsi="Calibri" w:ascii="Calibri"/>
                <w:b/>
                <w:bCs/>
                <w:color w:val="000000"/>
                <w:sz w:val="16"/>
                <w:szCs w:val="16"/>
              </w:rPr>
            </w:pPr>
            <w:r>
              <w:rPr>
                <w:rFonts w:cs="Calibri" w:hAnsi="Calibri" w:ascii="Calibri"/>
                <w:b/>
                <w:bCs/>
                <w:color w:val="000000"/>
                <w:sz w:val="16"/>
                <w:szCs w:val="16"/>
              </w:rPr>
              <w:t> </w:t>
            </w:r>
          </w:p>
        </w:tc>
        <w:tc>
          <w:tcPr>
            <w:tcW w:type="pct" w:w="258"/>
            <w:tcBorders>
              <w:top w:val="nil"/>
              <w:left w:val="nil"/>
              <w:bottom w:space="0" w:sz="8" w:color="B8CCE4" w:val="single"/>
              <w:right w:space="0" w:sz="8" w:color="B8CCE4" w:val="single"/>
            </w:tcBorders>
            <w:noWrap/>
            <w:vAlign w:val="center"/>
            <w:hideMark/>
          </w:tcPr>
          <w:p w:rsidRDefault="001E3364" w:rsidR="001E3364">
            <w:pPr>
              <w:spacing w:after="0"/>
              <w:rPr>
                <w:rFonts w:cs="Calibri" w:hAnsi="Calibri" w:ascii="Calibri"/>
                <w:b/>
                <w:bCs/>
                <w:color w:val="000000"/>
                <w:sz w:val="16"/>
                <w:szCs w:val="16"/>
              </w:rPr>
            </w:pPr>
            <w:r>
              <w:rPr>
                <w:rFonts w:cs="Calibri" w:hAnsi="Calibri" w:ascii="Calibri"/>
                <w:b/>
                <w:bCs/>
                <w:color w:val="000000"/>
                <w:sz w:val="16"/>
                <w:szCs w:val="16"/>
              </w:rPr>
              <w:t> </w:t>
            </w:r>
          </w:p>
        </w:tc>
        <w:tc>
          <w:tcPr>
            <w:tcW w:type="pct" w:w="290"/>
            <w:tcBorders>
              <w:top w:val="nil"/>
              <w:left w:val="nil"/>
              <w:bottom w:space="0" w:sz="8" w:color="B8CCE4" w:val="single"/>
              <w:right w:space="0" w:sz="8" w:color="B8CCE4" w:val="single"/>
            </w:tcBorders>
            <w:noWrap/>
            <w:vAlign w:val="center"/>
            <w:hideMark/>
          </w:tcPr>
          <w:p w:rsidRDefault="001E3364" w:rsidR="001E3364">
            <w:pPr>
              <w:spacing w:after="0"/>
              <w:rPr>
                <w:rFonts w:cs="Calibri" w:hAnsi="Calibri" w:ascii="Calibri"/>
                <w:b/>
                <w:bCs/>
                <w:color w:val="000000"/>
                <w:sz w:val="16"/>
                <w:szCs w:val="16"/>
              </w:rPr>
            </w:pPr>
            <w:r>
              <w:rPr>
                <w:rFonts w:cs="Calibri" w:hAnsi="Calibri" w:ascii="Calibri"/>
                <w:b/>
                <w:bCs/>
                <w:color w:val="000000"/>
                <w:sz w:val="16"/>
                <w:szCs w:val="16"/>
              </w:rPr>
              <w:t> </w:t>
            </w:r>
          </w:p>
        </w:tc>
        <w:tc>
          <w:tcPr>
            <w:tcW w:type="pct" w:w="233"/>
            <w:tcBorders>
              <w:top w:val="nil"/>
              <w:left w:val="nil"/>
              <w:bottom w:space="0" w:sz="8" w:color="B8CCE4" w:val="single"/>
              <w:right w:space="0" w:sz="8" w:color="B8CCE4" w:val="single"/>
            </w:tcBorders>
            <w:noWrap/>
            <w:vAlign w:val="center"/>
            <w:hideMark/>
          </w:tcPr>
          <w:p w:rsidRDefault="001E3364" w:rsidR="001E3364">
            <w:pPr>
              <w:spacing w:after="0"/>
              <w:rPr>
                <w:rFonts w:cs="Calibri" w:hAnsi="Calibri" w:ascii="Calibri"/>
                <w:b/>
                <w:bCs/>
                <w:color w:val="000000"/>
                <w:sz w:val="16"/>
                <w:szCs w:val="16"/>
              </w:rPr>
            </w:pPr>
            <w:r>
              <w:rPr>
                <w:rFonts w:cs="Calibri" w:hAnsi="Calibri" w:ascii="Calibri"/>
                <w:b/>
                <w:bCs/>
                <w:color w:val="000000"/>
                <w:sz w:val="16"/>
                <w:szCs w:val="16"/>
              </w:rPr>
              <w:t> </w:t>
            </w:r>
          </w:p>
        </w:tc>
        <w:tc>
          <w:tcPr>
            <w:tcW w:type="pct" w:w="222"/>
            <w:tcBorders>
              <w:top w:val="nil"/>
              <w:left w:val="nil"/>
              <w:bottom w:space="0" w:sz="8" w:color="B8CCE4" w:val="single"/>
              <w:right w:space="0" w:sz="8" w:color="B8CCE4" w:val="single"/>
            </w:tcBorders>
            <w:noWrap/>
            <w:vAlign w:val="center"/>
            <w:hideMark/>
          </w:tcPr>
          <w:p w:rsidRDefault="001E3364" w:rsidR="001E3364">
            <w:pPr>
              <w:spacing w:after="0"/>
              <w:jc w:val="center"/>
              <w:rPr>
                <w:rFonts w:cs="Calibri" w:hAnsi="Calibri" w:ascii="Calibri"/>
                <w:b/>
                <w:bCs/>
                <w:color w:val="000000"/>
                <w:sz w:val="16"/>
                <w:szCs w:val="16"/>
              </w:rPr>
            </w:pPr>
            <w:r>
              <w:rPr>
                <w:rFonts w:cs="Calibri" w:hAnsi="Calibri" w:ascii="Calibri"/>
                <w:b/>
                <w:bCs/>
                <w:color w:val="000000"/>
                <w:sz w:val="16"/>
                <w:szCs w:val="16"/>
              </w:rPr>
              <w:t> </w:t>
            </w:r>
          </w:p>
        </w:tc>
        <w:tc>
          <w:tcPr>
            <w:tcW w:type="pct" w:w="234"/>
            <w:tcBorders>
              <w:top w:val="nil"/>
              <w:left w:val="nil"/>
              <w:bottom w:space="0" w:sz="8" w:color="B8CCE4" w:val="single"/>
              <w:right w:space="0" w:sz="8" w:color="B8CCE4" w:val="single"/>
            </w:tcBorders>
            <w:noWrap/>
            <w:vAlign w:val="center"/>
            <w:hideMark/>
          </w:tcPr>
          <w:p w:rsidRDefault="001E3364" w:rsidR="001E3364">
            <w:pPr>
              <w:spacing w:after="0"/>
              <w:rPr>
                <w:rFonts w:cs="Calibri" w:hAnsi="Calibri" w:ascii="Calibri"/>
                <w:b/>
                <w:bCs/>
                <w:color w:val="000000"/>
                <w:sz w:val="16"/>
                <w:szCs w:val="16"/>
              </w:rPr>
            </w:pPr>
            <w:r>
              <w:rPr>
                <w:rFonts w:cs="Calibri" w:hAnsi="Calibri" w:ascii="Calibri"/>
                <w:b/>
                <w:bCs/>
                <w:color w:val="000000"/>
                <w:sz w:val="16"/>
                <w:szCs w:val="16"/>
              </w:rPr>
              <w:t> </w:t>
            </w:r>
          </w:p>
        </w:tc>
        <w:tc>
          <w:tcPr>
            <w:tcW w:type="pct" w:w="228"/>
            <w:tcBorders>
              <w:top w:val="nil"/>
              <w:left w:val="nil"/>
              <w:bottom w:space="0" w:sz="8" w:color="B8CCE4" w:val="single"/>
              <w:right w:space="0" w:sz="8" w:color="B8CCE4" w:val="single"/>
            </w:tcBorders>
            <w:noWrap/>
            <w:vAlign w:val="center"/>
            <w:hideMark/>
          </w:tcPr>
          <w:p w:rsidRDefault="001E3364" w:rsidR="001E3364">
            <w:pPr>
              <w:spacing w:after="0"/>
              <w:rPr>
                <w:rFonts w:cs="Calibri" w:hAnsi="Calibri" w:ascii="Calibri"/>
                <w:b/>
                <w:bCs/>
                <w:color w:val="000000"/>
                <w:sz w:val="16"/>
                <w:szCs w:val="16"/>
              </w:rPr>
            </w:pPr>
            <w:r>
              <w:rPr>
                <w:rFonts w:cs="Calibri" w:hAnsi="Calibri" w:ascii="Calibri"/>
                <w:b/>
                <w:bCs/>
                <w:color w:val="000000"/>
                <w:sz w:val="16"/>
                <w:szCs w:val="16"/>
              </w:rPr>
              <w:t> </w:t>
            </w:r>
          </w:p>
        </w:tc>
        <w:tc>
          <w:tcPr>
            <w:tcW w:type="pct" w:w="663"/>
            <w:tcBorders>
              <w:top w:val="nil"/>
              <w:left w:val="nil"/>
              <w:bottom w:space="0" w:sz="8" w:color="B8CCE4" w:val="single"/>
              <w:right w:space="0" w:sz="8" w:color="B8CCE4" w:val="single"/>
            </w:tcBorders>
            <w:noWrap/>
            <w:vAlign w:val="center"/>
            <w:hideMark/>
          </w:tcPr>
          <w:p w:rsidRDefault="001E3364" w:rsidR="001E3364">
            <w:pPr>
              <w:spacing w:after="0"/>
              <w:rPr>
                <w:rFonts w:cs="Calibri" w:hAnsi="Calibri" w:ascii="Calibri"/>
                <w:b/>
                <w:bCs/>
                <w:color w:val="000000"/>
                <w:sz w:val="16"/>
                <w:szCs w:val="16"/>
              </w:rPr>
            </w:pPr>
            <w:r>
              <w:rPr>
                <w:rFonts w:cs="Calibri" w:hAnsi="Calibri" w:ascii="Calibri"/>
                <w:b/>
                <w:bCs/>
                <w:color w:val="000000"/>
                <w:sz w:val="16"/>
                <w:szCs w:val="16"/>
              </w:rPr>
              <w:t> </w:t>
            </w:r>
          </w:p>
        </w:tc>
        <w:tc>
          <w:tcPr>
            <w:tcW w:type="pct" w:w="278"/>
            <w:tcBorders>
              <w:top w:val="nil"/>
              <w:left w:val="nil"/>
              <w:bottom w:space="0" w:sz="8" w:color="B8CCE4" w:val="single"/>
              <w:right w:space="0" w:sz="8" w:color="B8CCE4" w:val="single"/>
            </w:tcBorders>
            <w:noWrap/>
            <w:vAlign w:val="center"/>
            <w:hideMark/>
          </w:tcPr>
          <w:p w:rsidRDefault="001E3364" w:rsidR="001E3364">
            <w:pPr>
              <w:spacing w:after="0"/>
              <w:rPr>
                <w:rFonts w:cs="Calibri" w:hAnsi="Calibri" w:ascii="Calibri"/>
                <w:b/>
                <w:bCs/>
                <w:color w:val="000000"/>
                <w:sz w:val="16"/>
                <w:szCs w:val="16"/>
              </w:rPr>
            </w:pPr>
            <w:r>
              <w:rPr>
                <w:rFonts w:cs="Calibri" w:hAnsi="Calibri" w:ascii="Calibri"/>
                <w:b/>
                <w:bCs/>
                <w:color w:val="000000"/>
                <w:sz w:val="16"/>
                <w:szCs w:val="16"/>
              </w:rPr>
              <w:t> </w:t>
            </w:r>
          </w:p>
        </w:tc>
        <w:tc>
          <w:tcPr>
            <w:tcW w:type="pct" w:w="289"/>
            <w:tcBorders>
              <w:top w:val="nil"/>
              <w:left w:val="nil"/>
              <w:bottom w:space="0" w:sz="8" w:color="B8CCE4" w:val="single"/>
              <w:right w:space="0" w:sz="8" w:color="B8CCE4" w:val="single"/>
            </w:tcBorders>
            <w:noWrap/>
            <w:vAlign w:val="center"/>
            <w:hideMark/>
          </w:tcPr>
          <w:p w:rsidRDefault="001E3364" w:rsidR="001E3364">
            <w:pPr>
              <w:spacing w:after="0"/>
              <w:rPr>
                <w:rFonts w:cs="Calibri" w:hAnsi="Calibri" w:ascii="Calibri"/>
                <w:b/>
                <w:bCs/>
                <w:color w:val="000000"/>
                <w:sz w:val="16"/>
                <w:szCs w:val="16"/>
              </w:rPr>
            </w:pPr>
            <w:r>
              <w:rPr>
                <w:rFonts w:cs="Calibri" w:hAnsi="Calibri" w:ascii="Calibri"/>
                <w:b/>
                <w:bCs/>
                <w:color w:val="000000"/>
                <w:sz w:val="16"/>
                <w:szCs w:val="16"/>
              </w:rPr>
              <w:t> </w:t>
            </w:r>
          </w:p>
        </w:tc>
      </w:tr>
      <w:tr w:rsidTr="001E3364" w:rsidR="001E3364">
        <w:trPr>
          <w:trHeight w:val="20"/>
        </w:trPr>
        <w:tc>
          <w:tcPr>
            <w:tcW w:type="pct" w:w="72"/>
            <w:tcBorders>
              <w:top w:val="nil"/>
              <w:left w:space="0" w:sz="8" w:color="B8CCE4" w:val="single"/>
              <w:bottom w:space="0" w:sz="8" w:color="B8CCE4" w:val="single"/>
              <w:right w:space="0" w:sz="8" w:color="B8CCE4" w:val="single"/>
            </w:tcBorders>
            <w:shd w:fill="95B3D7" w:color="auto" w:val="clear"/>
            <w:noWrap/>
            <w:vAlign w:val="center"/>
            <w:hideMark/>
          </w:tcPr>
          <w:p w:rsidRDefault="001E3364" w:rsidR="001E3364">
            <w:pPr>
              <w:spacing w:lineRule="auto" w:line="240" w:after="0"/>
              <w:jc w:val="center"/>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 </w:t>
            </w:r>
          </w:p>
        </w:tc>
        <w:tc>
          <w:tcPr>
            <w:tcW w:type="pct" w:w="1154"/>
            <w:tcBorders>
              <w:top w:val="nil"/>
              <w:left w:val="nil"/>
              <w:bottom w:space="0" w:sz="8" w:color="B8CCE4" w:val="single"/>
              <w:right w:space="0" w:sz="8" w:color="B8CCE4" w:val="single"/>
            </w:tcBorders>
            <w:shd w:fill="95B3D7" w:color="auto" w:val="clear"/>
            <w:noWrap/>
            <w:vAlign w:val="center"/>
            <w:hideMark/>
          </w:tcPr>
          <w:p w:rsidRDefault="001E3364" w:rsidR="001E3364">
            <w:pPr>
              <w:spacing w:lineRule="auto" w:line="240" w:after="0"/>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SVEUKUPNO</w:t>
            </w:r>
          </w:p>
        </w:tc>
        <w:tc>
          <w:tcPr>
            <w:tcW w:type="pct" w:w="258"/>
            <w:tcBorders>
              <w:top w:val="nil"/>
              <w:left w:val="nil"/>
              <w:bottom w:space="0" w:sz="8" w:color="B8CCE4" w:val="single"/>
              <w:right w:space="0" w:sz="8" w:color="B8CCE4" w:val="single"/>
            </w:tcBorders>
            <w:shd w:fill="95B3D7" w:color="auto" w:val="clear"/>
            <w:noWrap/>
            <w:vAlign w:val="center"/>
            <w:hideMark/>
          </w:tcPr>
          <w:p w:rsidRDefault="001E3364" w:rsidR="001E3364">
            <w:pPr>
              <w:spacing w:after="0"/>
              <w:jc w:val="right"/>
              <w:rPr>
                <w:rFonts w:cs="Calibri" w:hAnsi="Calibri" w:ascii="Calibri"/>
                <w:b/>
                <w:bCs/>
                <w:color w:val="000000"/>
                <w:sz w:val="16"/>
                <w:szCs w:val="16"/>
              </w:rPr>
            </w:pPr>
            <w:r>
              <w:rPr>
                <w:rFonts w:cs="Calibri" w:hAnsi="Calibri" w:ascii="Calibri"/>
                <w:b/>
                <w:bCs/>
                <w:color w:val="000000"/>
                <w:sz w:val="16"/>
                <w:szCs w:val="16"/>
              </w:rPr>
              <w:t>3.993.446,01</w:t>
            </w:r>
          </w:p>
        </w:tc>
        <w:tc>
          <w:tcPr>
            <w:tcW w:type="pct" w:w="278"/>
            <w:tcBorders>
              <w:top w:val="nil"/>
              <w:left w:val="nil"/>
              <w:bottom w:space="0" w:sz="8" w:color="B8CCE4" w:val="single"/>
              <w:right w:space="0" w:sz="8" w:color="B8CCE4" w:val="single"/>
            </w:tcBorders>
            <w:shd w:fill="95B3D7" w:color="auto" w:val="clear"/>
            <w:noWrap/>
            <w:vAlign w:val="center"/>
            <w:hideMark/>
          </w:tcPr>
          <w:p w:rsidRDefault="001E3364" w:rsidR="001E3364">
            <w:pPr>
              <w:spacing w:after="0"/>
              <w:jc w:val="right"/>
              <w:rPr>
                <w:rFonts w:cs="Calibri" w:hAnsi="Calibri" w:ascii="Calibri"/>
                <w:b/>
                <w:bCs/>
                <w:color w:val="000000"/>
                <w:sz w:val="16"/>
                <w:szCs w:val="16"/>
              </w:rPr>
            </w:pPr>
            <w:r>
              <w:rPr>
                <w:rFonts w:cs="Calibri" w:hAnsi="Calibri" w:ascii="Calibri"/>
                <w:b/>
                <w:bCs/>
                <w:color w:val="000000"/>
                <w:sz w:val="16"/>
                <w:szCs w:val="16"/>
              </w:rPr>
              <w:t>97.025.134,12</w:t>
            </w:r>
          </w:p>
        </w:tc>
        <w:tc>
          <w:tcPr>
            <w:tcW w:type="pct" w:w="355"/>
            <w:tcBorders>
              <w:top w:val="nil"/>
              <w:left w:val="nil"/>
              <w:bottom w:space="0" w:sz="8" w:color="B8CCE4" w:val="single"/>
              <w:right w:space="0" w:sz="8" w:color="B8CCE4" w:val="single"/>
            </w:tcBorders>
            <w:shd w:fill="95B3D7" w:color="auto" w:val="clear"/>
            <w:noWrap/>
            <w:vAlign w:val="center"/>
            <w:hideMark/>
          </w:tcPr>
          <w:p w:rsidRDefault="001E3364" w:rsidR="001E3364">
            <w:pPr>
              <w:spacing w:after="0"/>
              <w:jc w:val="right"/>
              <w:rPr>
                <w:rFonts w:cs="Calibri" w:hAnsi="Calibri" w:ascii="Calibri"/>
                <w:b/>
                <w:bCs/>
                <w:color w:val="000000"/>
                <w:sz w:val="16"/>
                <w:szCs w:val="16"/>
              </w:rPr>
            </w:pPr>
            <w:r>
              <w:rPr>
                <w:rFonts w:cs="Calibri" w:hAnsi="Calibri" w:ascii="Calibri"/>
                <w:b/>
                <w:bCs/>
                <w:color w:val="000000"/>
                <w:sz w:val="16"/>
                <w:szCs w:val="16"/>
              </w:rPr>
              <w:t>101.018.580,13</w:t>
            </w:r>
          </w:p>
        </w:tc>
        <w:tc>
          <w:tcPr>
            <w:tcW w:type="pct" w:w="188"/>
            <w:tcBorders>
              <w:top w:val="nil"/>
              <w:left w:val="nil"/>
              <w:bottom w:space="0" w:sz="8" w:color="B8CCE4" w:val="single"/>
              <w:right w:space="0" w:sz="8" w:color="B8CCE4" w:val="single"/>
            </w:tcBorders>
            <w:shd w:fill="95B3D7" w:color="auto" w:val="clear"/>
            <w:noWrap/>
            <w:vAlign w:val="center"/>
            <w:hideMark/>
          </w:tcPr>
          <w:p w:rsidRDefault="001E3364" w:rsidR="001E3364">
            <w:pPr>
              <w:spacing w:after="0"/>
              <w:jc w:val="right"/>
              <w:rPr>
                <w:rFonts w:cs="Calibri" w:hAnsi="Calibri" w:ascii="Calibri"/>
                <w:b/>
                <w:bCs/>
                <w:color w:val="000000"/>
                <w:sz w:val="16"/>
                <w:szCs w:val="16"/>
              </w:rPr>
            </w:pPr>
            <w:r>
              <w:rPr>
                <w:rFonts w:cs="Calibri" w:hAnsi="Calibri" w:ascii="Calibri"/>
                <w:b/>
                <w:bCs/>
                <w:color w:val="000000"/>
                <w:sz w:val="16"/>
                <w:szCs w:val="16"/>
              </w:rPr>
              <w:t>100,00%</w:t>
            </w:r>
          </w:p>
        </w:tc>
        <w:tc>
          <w:tcPr>
            <w:tcW w:type="pct" w:w="258"/>
            <w:tcBorders>
              <w:top w:val="nil"/>
              <w:left w:val="nil"/>
              <w:bottom w:space="0" w:sz="8" w:color="B8CCE4" w:val="single"/>
              <w:right w:space="0" w:sz="8" w:color="B8CCE4" w:val="single"/>
            </w:tcBorders>
            <w:shd w:fill="95B3D7" w:color="auto" w:val="clear"/>
            <w:noWrap/>
            <w:vAlign w:val="center"/>
            <w:hideMark/>
          </w:tcPr>
          <w:p w:rsidRDefault="001E3364" w:rsidR="001E3364">
            <w:pPr>
              <w:spacing w:after="0"/>
              <w:jc w:val="right"/>
              <w:rPr>
                <w:rFonts w:cs="Calibri" w:hAnsi="Calibri" w:ascii="Calibri"/>
                <w:b/>
                <w:bCs/>
                <w:color w:val="000000"/>
                <w:sz w:val="16"/>
                <w:szCs w:val="16"/>
              </w:rPr>
            </w:pPr>
            <w:r>
              <w:rPr>
                <w:rFonts w:cs="Calibri" w:hAnsi="Calibri" w:ascii="Calibri"/>
                <w:b/>
                <w:bCs/>
                <w:color w:val="000000"/>
                <w:sz w:val="16"/>
                <w:szCs w:val="16"/>
              </w:rPr>
              <w:t>3.993.446,01</w:t>
            </w:r>
          </w:p>
        </w:tc>
        <w:tc>
          <w:tcPr>
            <w:tcW w:type="pct" w:w="290"/>
            <w:tcBorders>
              <w:top w:val="nil"/>
              <w:left w:val="nil"/>
              <w:bottom w:space="0" w:sz="8" w:color="B8CCE4" w:val="single"/>
              <w:right w:space="0" w:sz="8" w:color="B8CCE4" w:val="single"/>
            </w:tcBorders>
            <w:shd w:fill="95B3D7" w:color="auto" w:val="clear"/>
            <w:noWrap/>
            <w:vAlign w:val="center"/>
            <w:hideMark/>
          </w:tcPr>
          <w:p w:rsidRDefault="001E3364" w:rsidR="001E3364">
            <w:pPr>
              <w:spacing w:after="0"/>
              <w:jc w:val="right"/>
              <w:rPr>
                <w:rFonts w:cs="Calibri" w:hAnsi="Calibri" w:ascii="Calibri"/>
                <w:b/>
                <w:bCs/>
                <w:color w:val="000000"/>
                <w:sz w:val="16"/>
                <w:szCs w:val="16"/>
              </w:rPr>
            </w:pPr>
            <w:r>
              <w:rPr>
                <w:rFonts w:cs="Calibri" w:hAnsi="Calibri" w:ascii="Calibri"/>
                <w:b/>
                <w:bCs/>
                <w:color w:val="000000"/>
                <w:sz w:val="16"/>
                <w:szCs w:val="16"/>
              </w:rPr>
              <w:t>97.025.134,12</w:t>
            </w:r>
          </w:p>
        </w:tc>
        <w:tc>
          <w:tcPr>
            <w:tcW w:type="pct" w:w="233"/>
            <w:tcBorders>
              <w:top w:val="nil"/>
              <w:left w:val="nil"/>
              <w:bottom w:space="0" w:sz="8" w:color="B8CCE4" w:val="single"/>
              <w:right w:space="0" w:sz="8" w:color="B8CCE4" w:val="single"/>
            </w:tcBorders>
            <w:shd w:fill="8DB4E2" w:color="auto" w:val="clear"/>
            <w:noWrap/>
            <w:vAlign w:val="center"/>
            <w:hideMark/>
          </w:tcPr>
          <w:p w:rsidRDefault="001E3364" w:rsidR="001E3364">
            <w:pPr>
              <w:spacing w:after="0"/>
              <w:jc w:val="right"/>
              <w:rPr>
                <w:rFonts w:cs="Calibri" w:hAnsi="Calibri" w:ascii="Calibri"/>
                <w:b/>
                <w:bCs/>
                <w:color w:val="000000"/>
                <w:sz w:val="16"/>
                <w:szCs w:val="16"/>
              </w:rPr>
            </w:pPr>
            <w:r>
              <w:rPr>
                <w:rFonts w:cs="Calibri" w:hAnsi="Calibri" w:ascii="Calibri"/>
                <w:b/>
                <w:bCs/>
                <w:color w:val="000000"/>
                <w:sz w:val="16"/>
                <w:szCs w:val="16"/>
              </w:rPr>
              <w:t>100,00%</w:t>
            </w:r>
          </w:p>
        </w:tc>
        <w:tc>
          <w:tcPr>
            <w:tcW w:type="pct" w:w="222"/>
            <w:tcBorders>
              <w:top w:val="nil"/>
              <w:left w:val="nil"/>
              <w:bottom w:space="0" w:sz="8" w:color="B8CCE4" w:val="single"/>
              <w:right w:space="0" w:sz="8" w:color="B8CCE4" w:val="single"/>
            </w:tcBorders>
            <w:shd w:fill="95B3D7" w:color="auto" w:val="clear"/>
            <w:noWrap/>
            <w:vAlign w:val="center"/>
            <w:hideMark/>
          </w:tcPr>
          <w:p w:rsidRDefault="001E3364" w:rsidR="001E3364">
            <w:pPr>
              <w:spacing w:after="0"/>
              <w:jc w:val="center"/>
              <w:rPr>
                <w:rFonts w:cs="Calibri" w:hAnsi="Calibri" w:ascii="Calibri"/>
                <w:b/>
                <w:bCs/>
                <w:color w:val="000000"/>
                <w:sz w:val="16"/>
                <w:szCs w:val="16"/>
              </w:rPr>
            </w:pPr>
            <w:r>
              <w:rPr>
                <w:rFonts w:cs="Calibri" w:hAnsi="Calibri" w:ascii="Calibri"/>
                <w:b/>
                <w:bCs/>
                <w:color w:val="000000"/>
                <w:sz w:val="16"/>
                <w:szCs w:val="16"/>
              </w:rPr>
              <w:t> </w:t>
            </w:r>
          </w:p>
        </w:tc>
        <w:tc>
          <w:tcPr>
            <w:tcW w:type="pct" w:w="234"/>
            <w:tcBorders>
              <w:top w:val="nil"/>
              <w:left w:val="nil"/>
              <w:bottom w:space="0" w:sz="8" w:color="B8CCE4" w:val="single"/>
              <w:right w:space="0" w:sz="8" w:color="B8CCE4" w:val="single"/>
            </w:tcBorders>
            <w:shd w:fill="95B3D7" w:color="auto" w:val="clear"/>
            <w:noWrap/>
            <w:vAlign w:val="center"/>
            <w:hideMark/>
          </w:tcPr>
          <w:p w:rsidRDefault="001E3364" w:rsidR="001E3364">
            <w:pPr>
              <w:spacing w:after="0"/>
              <w:rPr>
                <w:rFonts w:cs="Calibri" w:hAnsi="Calibri" w:ascii="Calibri"/>
                <w:b/>
                <w:bCs/>
                <w:color w:val="000000"/>
                <w:sz w:val="16"/>
                <w:szCs w:val="16"/>
              </w:rPr>
            </w:pPr>
            <w:r>
              <w:rPr>
                <w:rFonts w:cs="Calibri" w:hAnsi="Calibri" w:ascii="Calibri"/>
                <w:b/>
                <w:bCs/>
                <w:color w:val="000000"/>
                <w:sz w:val="16"/>
                <w:szCs w:val="16"/>
              </w:rPr>
              <w:t> </w:t>
            </w:r>
          </w:p>
        </w:tc>
        <w:tc>
          <w:tcPr>
            <w:tcW w:type="pct" w:w="228"/>
            <w:tcBorders>
              <w:top w:val="nil"/>
              <w:left w:val="nil"/>
              <w:bottom w:space="0" w:sz="8" w:color="B8CCE4" w:val="single"/>
              <w:right w:space="0" w:sz="8" w:color="B8CCE4" w:val="single"/>
            </w:tcBorders>
            <w:shd w:fill="95B3D7" w:color="auto" w:val="clear"/>
            <w:noWrap/>
            <w:vAlign w:val="center"/>
            <w:hideMark/>
          </w:tcPr>
          <w:p w:rsidRDefault="001E3364" w:rsidR="001E3364">
            <w:pPr>
              <w:spacing w:after="0"/>
              <w:rPr>
                <w:rFonts w:cs="Calibri" w:hAnsi="Calibri" w:ascii="Calibri"/>
                <w:b/>
                <w:bCs/>
                <w:color w:val="000000"/>
                <w:sz w:val="16"/>
                <w:szCs w:val="16"/>
              </w:rPr>
            </w:pPr>
            <w:r>
              <w:rPr>
                <w:rFonts w:cs="Calibri" w:hAnsi="Calibri" w:ascii="Calibri"/>
                <w:b/>
                <w:bCs/>
                <w:color w:val="000000"/>
                <w:sz w:val="16"/>
                <w:szCs w:val="16"/>
              </w:rPr>
              <w:t> </w:t>
            </w:r>
          </w:p>
        </w:tc>
        <w:tc>
          <w:tcPr>
            <w:tcW w:type="pct" w:w="663"/>
            <w:tcBorders>
              <w:top w:val="nil"/>
              <w:left w:val="nil"/>
              <w:bottom w:space="0" w:sz="8" w:color="B8CCE4" w:val="single"/>
              <w:right w:space="0" w:sz="8" w:color="B8CCE4" w:val="single"/>
            </w:tcBorders>
            <w:shd w:fill="95B3D7" w:color="auto" w:val="clear"/>
            <w:noWrap/>
            <w:vAlign w:val="center"/>
            <w:hideMark/>
          </w:tcPr>
          <w:p w:rsidRDefault="001E3364" w:rsidR="001E3364">
            <w:pPr>
              <w:spacing w:after="0"/>
              <w:rPr>
                <w:rFonts w:cs="Calibri" w:hAnsi="Calibri" w:ascii="Calibri"/>
                <w:b/>
                <w:bCs/>
                <w:color w:val="000000"/>
                <w:sz w:val="16"/>
                <w:szCs w:val="16"/>
              </w:rPr>
            </w:pPr>
            <w:r>
              <w:rPr>
                <w:rFonts w:cs="Calibri" w:hAnsi="Calibri" w:ascii="Calibri"/>
                <w:b/>
                <w:bCs/>
                <w:color w:val="000000"/>
                <w:sz w:val="16"/>
                <w:szCs w:val="16"/>
              </w:rPr>
              <w:t> </w:t>
            </w:r>
          </w:p>
        </w:tc>
        <w:tc>
          <w:tcPr>
            <w:tcW w:type="pct" w:w="278"/>
            <w:tcBorders>
              <w:top w:val="nil"/>
              <w:left w:val="nil"/>
              <w:bottom w:space="0" w:sz="8" w:color="B8CCE4" w:val="single"/>
              <w:right w:space="0" w:sz="8" w:color="B8CCE4" w:val="single"/>
            </w:tcBorders>
            <w:shd w:fill="95B3D7" w:color="auto" w:val="clear"/>
            <w:noWrap/>
            <w:vAlign w:val="center"/>
            <w:hideMark/>
          </w:tcPr>
          <w:p w:rsidRDefault="001E3364" w:rsidR="001E3364">
            <w:pPr>
              <w:spacing w:after="0"/>
              <w:jc w:val="right"/>
              <w:rPr>
                <w:rFonts w:cs="Calibri" w:hAnsi="Calibri" w:ascii="Calibri"/>
                <w:b/>
                <w:bCs/>
                <w:color w:val="000000"/>
                <w:sz w:val="16"/>
                <w:szCs w:val="16"/>
              </w:rPr>
            </w:pPr>
            <w:r>
              <w:rPr>
                <w:rFonts w:cs="Calibri" w:hAnsi="Calibri" w:ascii="Calibri"/>
                <w:b/>
                <w:bCs/>
                <w:color w:val="000000"/>
                <w:sz w:val="16"/>
                <w:szCs w:val="16"/>
              </w:rPr>
              <w:t>70.753.685,23</w:t>
            </w:r>
          </w:p>
        </w:tc>
        <w:tc>
          <w:tcPr>
            <w:tcW w:type="pct" w:w="289"/>
            <w:tcBorders>
              <w:top w:val="nil"/>
              <w:left w:val="nil"/>
              <w:bottom w:space="0" w:sz="8" w:color="B8CCE4" w:val="single"/>
              <w:right w:space="0" w:sz="8" w:color="B8CCE4" w:val="single"/>
            </w:tcBorders>
            <w:shd w:fill="95B3D7" w:color="auto" w:val="clear"/>
            <w:noWrap/>
            <w:vAlign w:val="center"/>
            <w:hideMark/>
          </w:tcPr>
          <w:p w:rsidRDefault="001E3364" w:rsidR="001E3364">
            <w:pPr>
              <w:spacing w:after="0"/>
              <w:jc w:val="right"/>
              <w:rPr>
                <w:rFonts w:cs="Calibri" w:hAnsi="Calibri" w:ascii="Calibri"/>
                <w:b/>
                <w:bCs/>
                <w:color w:val="000000"/>
                <w:sz w:val="16"/>
                <w:szCs w:val="16"/>
              </w:rPr>
            </w:pPr>
            <w:r>
              <w:rPr>
                <w:rFonts w:cs="Calibri" w:hAnsi="Calibri" w:ascii="Calibri"/>
                <w:b/>
                <w:bCs/>
                <w:color w:val="000000"/>
                <w:sz w:val="16"/>
                <w:szCs w:val="16"/>
              </w:rPr>
              <w:t>30.264.894,90</w:t>
            </w:r>
          </w:p>
        </w:tc>
      </w:tr>
    </w:tbl>
    <w:p w:rsidRDefault="001E3364" w:rsidP="001E3364" w:rsidR="001E3364">
      <w:pPr>
        <w:spacing w:before="240"/>
        <w:jc w:val="both"/>
        <w:rPr>
          <w:rFonts w:cs="Times New Roman" w:eastAsia="Times New Roman"/>
          <w:b/>
          <w:color w:val="000000"/>
          <w:sz w:val="24"/>
          <w:szCs w:val="24"/>
          <w:u w:val="single"/>
          <w:lang w:eastAsia="hr-HR"/>
        </w:rPr>
      </w:pPr>
      <w:r>
        <w:rPr>
          <w:rFonts w:cs="Times New Roman" w:eastAsia="Times New Roman"/>
          <w:b/>
          <w:color w:val="000000"/>
          <w:sz w:val="24"/>
          <w:szCs w:val="24"/>
          <w:u w:val="single"/>
          <w:lang w:eastAsia="hr-HR"/>
        </w:rPr>
        <w:t>Razina očekivanog namirenja i prijedlog rokova za namirenje</w:t>
      </w:r>
    </w:p>
    <w:p w:rsidRDefault="001E3364" w:rsidP="001E3364" w:rsidR="001E3364">
      <w:pPr>
        <w:jc w:val="both"/>
        <w:rPr>
          <w:rFonts w:cs="Times New Roman" w:eastAsia="Times New Roman"/>
          <w:color w:val="000000"/>
          <w:sz w:val="24"/>
          <w:szCs w:val="24"/>
          <w:lang w:eastAsia="hr-HR"/>
        </w:rPr>
      </w:pPr>
      <w:r>
        <w:rPr>
          <w:rFonts w:cs="Times New Roman" w:eastAsia="Times New Roman"/>
          <w:color w:val="000000"/>
          <w:sz w:val="24"/>
          <w:szCs w:val="24"/>
          <w:lang w:eastAsia="hr-HR"/>
        </w:rPr>
        <w:t xml:space="preserve">Sukladno predloženom planu predstečajne nagodbe, reprogram dijela obveza (u slučaju razlučnih vjerovnika i vjerovnika s neosiguranim tražbinama koje nisu nižeg isplatnog reda) provest će se u cijelosti u roku 6 mjeseci od dana sklapanja predstečajnog sporazuma. U slučaju prihvaćanja predstečajne nagodbe 100% potraživanja će se namiriti. </w:t>
      </w:r>
    </w:p>
    <w:p w:rsidRDefault="001E3364" w:rsidP="001E3364" w:rsidR="001E3364">
      <w:pPr>
        <w:jc w:val="both"/>
        <w:rPr>
          <w:rFonts w:cs="Times New Roman" w:eastAsia="Times New Roman"/>
          <w:b/>
          <w:color w:val="000000"/>
          <w:sz w:val="24"/>
          <w:szCs w:val="24"/>
          <w:u w:val="single"/>
          <w:lang w:eastAsia="hr-HR"/>
        </w:rPr>
      </w:pPr>
      <w:r>
        <w:rPr>
          <w:rFonts w:cs="Times New Roman" w:eastAsia="Times New Roman"/>
          <w:b/>
          <w:color w:val="000000"/>
          <w:sz w:val="24"/>
          <w:szCs w:val="24"/>
          <w:u w:val="single"/>
          <w:lang w:eastAsia="hr-HR"/>
        </w:rPr>
        <w:t>Usporedba s očekivanim namirenjem u slučaju stečaja</w:t>
      </w:r>
    </w:p>
    <w:p w:rsidRDefault="001E3364" w:rsidP="001E3364" w:rsidR="001E3364">
      <w:pPr>
        <w:jc w:val="both"/>
        <w:rPr>
          <w:rFonts w:cs="Times New Roman" w:eastAsia="Times New Roman"/>
          <w:color w:val="000000"/>
          <w:sz w:val="24"/>
          <w:szCs w:val="24"/>
          <w:lang w:eastAsia="hr-HR"/>
        </w:rPr>
      </w:pPr>
      <w:r>
        <w:rPr>
          <w:rFonts w:cs="Times New Roman" w:eastAsia="Times New Roman"/>
          <w:color w:val="000000"/>
          <w:sz w:val="24"/>
          <w:szCs w:val="24"/>
          <w:lang w:eastAsia="hr-HR"/>
        </w:rPr>
        <w:t xml:space="preserve">U slučaju stečaja Društva stečajni upravitelj ne bi imao od kuda namiriti obveze prema vjerovnicima s obzirom da se imovina Društva pretežito sastoji od nekretnina i opreme založenih za naplatu kreditnih obveza, čija vrijednost bi u postupku prodaje radi brzog unovčenja bila izuzetno niska. </w:t>
      </w:r>
    </w:p>
    <w:p w:rsidRDefault="001E3364" w:rsidP="001E3364" w:rsidR="001E3364">
      <w:pPr>
        <w:jc w:val="both"/>
        <w:rPr>
          <w:rFonts w:cs="Times New Roman" w:eastAsia="Times New Roman"/>
          <w:color w:val="000000"/>
          <w:sz w:val="24"/>
          <w:szCs w:val="24"/>
          <w:lang w:eastAsia="hr-HR"/>
        </w:rPr>
      </w:pPr>
      <w:r>
        <w:rPr>
          <w:rFonts w:cs="Times New Roman" w:eastAsia="Times New Roman"/>
          <w:color w:val="000000"/>
          <w:sz w:val="24"/>
          <w:szCs w:val="24"/>
          <w:lang w:eastAsia="hr-HR"/>
        </w:rPr>
        <w:t>U tom smislu, očekivano namirenje u slučaju prihvaćanja predstečajne nagodbe u usporedbi s namirenjem u stečaju je za vjerovnike višestruko povoljnije.</w:t>
      </w:r>
    </w:p>
    <w:p w:rsidRDefault="001E3364" w:rsidP="001E3364" w:rsidR="001E3364">
      <w:pPr>
        <w:jc w:val="both"/>
        <w:rPr>
          <w:rFonts w:cs="Times New Roman" w:eastAsia="Times New Roman"/>
          <w:b/>
          <w:color w:val="000000"/>
          <w:sz w:val="24"/>
          <w:szCs w:val="24"/>
          <w:u w:val="single"/>
          <w:lang w:eastAsia="hr-HR"/>
        </w:rPr>
      </w:pPr>
      <w:r>
        <w:rPr>
          <w:rFonts w:cs="Times New Roman" w:eastAsia="Times New Roman"/>
          <w:b/>
          <w:color w:val="000000"/>
          <w:sz w:val="24"/>
          <w:szCs w:val="24"/>
          <w:u w:val="single"/>
          <w:lang w:eastAsia="hr-HR"/>
        </w:rPr>
        <w:t>Tražbine radnika i prijašnjih radnika dužnika na koje ne utječe predstečajni postupak</w:t>
      </w:r>
    </w:p>
    <w:p w:rsidRDefault="001E3364" w:rsidP="001E3364" w:rsidR="001E3364">
      <w:pPr>
        <w:jc w:val="both"/>
        <w:rPr>
          <w:rFonts w:cs="Times New Roman" w:eastAsia="Times New Roman"/>
          <w:color w:val="000000"/>
          <w:sz w:val="24"/>
          <w:szCs w:val="24"/>
          <w:lang w:eastAsia="hr-HR"/>
        </w:rPr>
      </w:pPr>
      <w:r>
        <w:rPr>
          <w:rFonts w:cs="Times New Roman" w:eastAsia="Times New Roman"/>
          <w:color w:val="000000"/>
          <w:sz w:val="24"/>
          <w:szCs w:val="24"/>
          <w:lang w:eastAsia="hr-HR"/>
        </w:rPr>
        <w:t>Predstečajni postupak sukladno odredbama čl. 37 Stečajnog zakona ne utječe na tražbine radnika i prijašnjih radnika dužnika s osnova tražbina iz radnog odnosa, otpremnina do iznosa propisanoga zakonom, odnosno kolektivnim ugovorom i tražbine po osnovi naknade štete pretrpljene zbog ozljede na radu ili profesionalne bolesti.</w:t>
      </w:r>
    </w:p>
    <w:p w:rsidRDefault="001E3364" w:rsidP="001E3364" w:rsidR="001E3364">
      <w:pPr>
        <w:jc w:val="both"/>
        <w:rPr>
          <w:rFonts w:cs="Times New Roman" w:eastAsia="Times New Roman"/>
          <w:color w:val="000000"/>
          <w:sz w:val="24"/>
          <w:szCs w:val="24"/>
          <w:lang w:eastAsia="hr-HR"/>
        </w:rPr>
      </w:pPr>
      <w:r>
        <w:rPr>
          <w:rFonts w:cs="Times New Roman" w:eastAsia="Times New Roman"/>
          <w:color w:val="000000"/>
          <w:sz w:val="24"/>
          <w:szCs w:val="24"/>
          <w:lang w:eastAsia="hr-HR"/>
        </w:rPr>
        <w:t>Dužnik ima sljedeće obveze na koje ne utječe predstečajni postupak:</w:t>
      </w:r>
    </w:p>
    <w:tbl>
      <w:tblPr>
        <w:tblW w:type="dxa" w:w="9422"/>
        <w:tblLook w:val="04A0" w:noVBand="1" w:noHBand="0" w:lastColumn="0" w:firstColumn="1" w:lastRow="0" w:firstRow="1"/>
      </w:tblPr>
      <w:tblGrid>
        <w:gridCol w:w="7213"/>
        <w:gridCol w:w="2209"/>
      </w:tblGrid>
      <w:tr w:rsidTr="001E3364" w:rsidR="001E3364">
        <w:trPr>
          <w:trHeight w:val="20"/>
        </w:trPr>
        <w:tc>
          <w:tcPr>
            <w:tcW w:type="dxa" w:w="9422"/>
            <w:gridSpan w:val="2"/>
            <w:tcBorders>
              <w:top w:val="nil"/>
              <w:left w:val="nil"/>
              <w:bottom w:space="0" w:sz="4" w:color="auto" w:val="single"/>
              <w:right w:val="nil"/>
            </w:tcBorders>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U kn</w:t>
            </w:r>
          </w:p>
        </w:tc>
      </w:tr>
      <w:tr w:rsidTr="001E3364" w:rsidR="001E3364">
        <w:trPr>
          <w:trHeight w:val="20"/>
        </w:trPr>
        <w:tc>
          <w:tcPr>
            <w:tcW w:type="dxa" w:w="7213"/>
            <w:tcBorders>
              <w:top w:space="0" w:sz="4" w:color="auto" w:val="single"/>
              <w:left w:space="0" w:sz="4" w:color="auto" w:val="single"/>
              <w:bottom w:space="0" w:sz="4" w:color="auto" w:val="single"/>
              <w:right w:space="0" w:sz="4" w:color="auto" w:val="single"/>
            </w:tcBorders>
            <w:noWrap/>
            <w:vAlign w:val="bottom"/>
            <w:hideMark/>
          </w:tcPr>
          <w:p w:rsidRDefault="001E3364" w:rsidR="001E3364">
            <w:pPr>
              <w:spacing w:lineRule="auto" w:line="240" w:after="0"/>
              <w:rPr>
                <w:rFonts w:cstheme="minorHAnsi" w:eastAsia="Times New Roman"/>
                <w:color w:val="000000"/>
                <w:sz w:val="24"/>
                <w:szCs w:val="24"/>
                <w:lang w:eastAsia="hr-HR"/>
              </w:rPr>
            </w:pPr>
            <w:r>
              <w:rPr>
                <w:rFonts w:cstheme="minorHAnsi" w:eastAsia="Times New Roman"/>
                <w:color w:val="000000"/>
                <w:sz w:val="24"/>
                <w:szCs w:val="24"/>
                <w:lang w:eastAsia="hr-HR"/>
              </w:rPr>
              <w:t>Obveze za neto plaće, nadoknade</w:t>
            </w:r>
          </w:p>
        </w:tc>
        <w:tc>
          <w:tcPr>
            <w:tcW w:type="dxa" w:w="2209"/>
            <w:tcBorders>
              <w:top w:space="0" w:sz="4" w:color="auto" w:val="single"/>
              <w:left w:val="nil"/>
              <w:bottom w:space="0" w:sz="4" w:color="auto" w:val="single"/>
              <w:right w:space="0" w:sz="4" w:color="auto" w:val="single"/>
            </w:tcBorders>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399.380</w:t>
            </w:r>
          </w:p>
        </w:tc>
      </w:tr>
      <w:tr w:rsidTr="001E3364" w:rsidR="001E3364">
        <w:trPr>
          <w:trHeight w:val="20"/>
        </w:trPr>
        <w:tc>
          <w:tcPr>
            <w:tcW w:type="dxa" w:w="7213"/>
            <w:tcBorders>
              <w:top w:val="nil"/>
              <w:left w:space="0" w:sz="4" w:color="auto" w:val="single"/>
              <w:bottom w:space="0" w:sz="4" w:color="auto" w:val="single"/>
              <w:right w:space="0" w:sz="4" w:color="auto" w:val="single"/>
            </w:tcBorders>
            <w:vAlign w:val="bottom"/>
            <w:hideMark/>
          </w:tcPr>
          <w:p w:rsidRDefault="001E3364" w:rsidR="001E3364">
            <w:pPr>
              <w:spacing w:lineRule="auto" w:line="240" w:after="0"/>
              <w:rPr>
                <w:rFonts w:cstheme="minorHAnsi" w:eastAsia="Times New Roman"/>
                <w:color w:val="000000"/>
                <w:sz w:val="24"/>
                <w:szCs w:val="24"/>
                <w:lang w:eastAsia="hr-HR"/>
              </w:rPr>
            </w:pPr>
            <w:r>
              <w:rPr>
                <w:rFonts w:cstheme="minorHAnsi" w:eastAsia="Times New Roman"/>
                <w:color w:val="000000"/>
                <w:sz w:val="24"/>
                <w:szCs w:val="24"/>
                <w:lang w:eastAsia="hr-HR"/>
              </w:rPr>
              <w:t>Obveze za poreze i prireze, doprinose iz plaće i doprinose na plaću</w:t>
            </w:r>
          </w:p>
        </w:tc>
        <w:tc>
          <w:tcPr>
            <w:tcW w:type="dxa" w:w="2209"/>
            <w:tcBorders>
              <w:top w:val="nil"/>
              <w:left w:val="nil"/>
              <w:bottom w:space="0" w:sz="4" w:color="auto" w:val="single"/>
              <w:right w:space="0" w:sz="4" w:color="auto" w:val="single"/>
            </w:tcBorders>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 xml:space="preserve">248.649 </w:t>
            </w:r>
          </w:p>
        </w:tc>
      </w:tr>
      <w:tr w:rsidTr="001E3364" w:rsidR="001E3364">
        <w:trPr>
          <w:trHeight w:val="20"/>
        </w:trPr>
        <w:tc>
          <w:tcPr>
            <w:tcW w:type="dxa" w:w="7213"/>
            <w:tcBorders>
              <w:top w:val="nil"/>
              <w:left w:space="0" w:sz="4" w:color="auto" w:val="single"/>
              <w:bottom w:space="0" w:sz="4" w:color="auto" w:val="single"/>
              <w:right w:space="0" w:sz="4" w:color="auto" w:val="single"/>
            </w:tcBorders>
            <w:noWrap/>
            <w:vAlign w:val="bottom"/>
            <w:hideMark/>
          </w:tcPr>
          <w:p w:rsidRDefault="001E3364" w:rsidR="001E3364">
            <w:pPr>
              <w:spacing w:lineRule="auto" w:line="240" w:after="0"/>
              <w:rPr>
                <w:rFonts w:cstheme="minorHAnsi" w:eastAsia="Times New Roman"/>
                <w:b/>
                <w:color w:val="000000"/>
                <w:sz w:val="24"/>
                <w:szCs w:val="24"/>
                <w:lang w:eastAsia="hr-HR"/>
              </w:rPr>
            </w:pPr>
            <w:r>
              <w:rPr>
                <w:rFonts w:cstheme="minorHAnsi" w:eastAsia="Times New Roman"/>
                <w:b/>
                <w:color w:val="000000"/>
                <w:sz w:val="24"/>
                <w:szCs w:val="24"/>
                <w:lang w:eastAsia="hr-HR"/>
              </w:rPr>
              <w:t>Ukupno</w:t>
            </w:r>
          </w:p>
        </w:tc>
        <w:tc>
          <w:tcPr>
            <w:tcW w:type="dxa" w:w="2209"/>
            <w:tcBorders>
              <w:top w:val="nil"/>
              <w:left w:val="nil"/>
              <w:bottom w:space="0" w:sz="4" w:color="auto" w:val="single"/>
              <w:right w:space="0" w:sz="4" w:color="auto" w:val="single"/>
            </w:tcBorders>
            <w:noWrap/>
            <w:vAlign w:val="bottom"/>
            <w:hideMark/>
          </w:tcPr>
          <w:p w:rsidRDefault="001E3364" w:rsidR="001E3364">
            <w:pPr>
              <w:spacing w:lineRule="auto" w:line="240" w:after="0"/>
              <w:jc w:val="right"/>
              <w:rPr>
                <w:rFonts w:cstheme="minorHAnsi" w:eastAsia="Times New Roman"/>
                <w:b/>
                <w:color w:val="000000"/>
                <w:sz w:val="24"/>
                <w:szCs w:val="24"/>
                <w:lang w:eastAsia="hr-HR"/>
              </w:rPr>
            </w:pPr>
            <w:r>
              <w:rPr>
                <w:rFonts w:cstheme="minorHAnsi" w:eastAsia="Times New Roman"/>
                <w:b/>
                <w:color w:val="000000"/>
                <w:sz w:val="24"/>
                <w:szCs w:val="24"/>
                <w:lang w:eastAsia="hr-HR"/>
              </w:rPr>
              <w:t xml:space="preserve">615.824 </w:t>
            </w:r>
          </w:p>
        </w:tc>
      </w:tr>
    </w:tbl>
    <w:p w:rsidRDefault="001E3364" w:rsidP="001E3364" w:rsidR="001E3364">
      <w:pPr>
        <w:jc w:val="both"/>
        <w:rPr>
          <w:rFonts w:cs="Times New Roman" w:eastAsia="Times New Roman"/>
          <w:color w:val="000000"/>
          <w:sz w:val="24"/>
          <w:szCs w:val="24"/>
          <w:lang w:eastAsia="hr-HR"/>
        </w:rPr>
      </w:pPr>
      <w:r>
        <w:rPr>
          <w:rFonts w:cs="Times New Roman" w:eastAsia="Times New Roman"/>
          <w:color w:val="000000"/>
          <w:sz w:val="24"/>
          <w:szCs w:val="24"/>
          <w:lang w:eastAsia="hr-HR"/>
        </w:rPr>
        <w:t>Dužnik će prioritetne tražbine plaćati iz redovitih priljeva po otvaranju predstečajnog postupka.</w:t>
      </w:r>
    </w:p>
    <w:p w:rsidRDefault="001E3364" w:rsidP="001E3364" w:rsidR="001E3364">
      <w:pPr>
        <w:spacing w:after="0"/>
        <w:rPr>
          <w:rFonts w:cs="Times New Roman" w:eastAsia="Times New Roman"/>
          <w:color w:val="000000"/>
          <w:sz w:val="24"/>
          <w:szCs w:val="24"/>
          <w:lang w:eastAsia="hr-HR"/>
        </w:rPr>
        <w:sectPr w:rsidR="001E3364">
          <w:pgSz w:orient="landscape" w:h="16839" w:w="23814"/>
          <w:pgMar w:gutter="0" w:footer="708" w:header="708" w:left="1417" w:bottom="1417" w:right="1417" w:top="1417"/>
          <w:cols w:space="720"/>
        </w:sectPr>
      </w:pPr>
    </w:p>
    <w:p w:rsidRDefault="001E3364" w:rsidP="001E3364" w:rsidR="001E3364">
      <w:pPr>
        <w:pStyle w:val="Naslov1"/>
        <w:numPr>
          <w:ilvl w:val="0"/>
          <w:numId w:val="2"/>
        </w:numPr>
        <w:rPr>
          <w:rFonts w:hAnsiTheme="minorHAnsi" w:asciiTheme="minorHAnsi"/>
          <w:sz w:val="24"/>
          <w:szCs w:val="24"/>
        </w:rPr>
      </w:pPr>
      <w:bookmarkStart w:name="_Toc521023693" w:id="14"/>
      <w:r>
        <w:rPr>
          <w:rFonts w:hAnsiTheme="minorHAnsi" w:asciiTheme="minorHAnsi"/>
          <w:sz w:val="24"/>
          <w:szCs w:val="24"/>
        </w:rPr>
        <w:lastRenderedPageBreak/>
        <w:t>Ponuda vjerovnicima razvrstanim u skupine odgovarajućom primjenom pravila o razvrstavanju sudionika u stečajnom planu o načinu, rokovima i uvjetima namirenja tražbina</w:t>
      </w:r>
      <w:bookmarkEnd w:id="14"/>
    </w:p>
    <w:p w:rsidRDefault="001E3364" w:rsidP="001E3364" w:rsidR="001E3364">
      <w:pPr>
        <w:jc w:val="both"/>
        <w:rPr>
          <w:sz w:val="24"/>
          <w:szCs w:val="24"/>
        </w:rPr>
      </w:pPr>
      <w:r>
        <w:rPr>
          <w:sz w:val="24"/>
          <w:szCs w:val="24"/>
        </w:rPr>
        <w:t>Kao što je navedeno, primjenom pravila iz članka 308. Zakona, o razvrstavanju sudionika u stečajnom planu o načinu, rokovima i uvjetima namirenja tražbina, vjerovnici su razvrstani u sljedeće skupine:</w:t>
      </w:r>
    </w:p>
    <w:p w:rsidRDefault="001E3364" w:rsidP="001E3364" w:rsidR="001E3364">
      <w:pPr>
        <w:pStyle w:val="Odlomakpopisa"/>
        <w:numPr>
          <w:ilvl w:val="0"/>
          <w:numId w:val="22"/>
        </w:numPr>
        <w:jc w:val="both"/>
        <w:rPr>
          <w:sz w:val="24"/>
          <w:szCs w:val="24"/>
        </w:rPr>
      </w:pPr>
      <w:r>
        <w:rPr>
          <w:sz w:val="24"/>
          <w:szCs w:val="24"/>
        </w:rPr>
        <w:t>razlučni vjerovnici s pravom odvojenoga namirenja,</w:t>
      </w:r>
    </w:p>
    <w:p w:rsidRDefault="001E3364" w:rsidP="001E3364" w:rsidR="001E3364">
      <w:pPr>
        <w:pStyle w:val="Odlomakpopisa"/>
        <w:numPr>
          <w:ilvl w:val="0"/>
          <w:numId w:val="22"/>
        </w:numPr>
        <w:jc w:val="both"/>
        <w:rPr>
          <w:sz w:val="24"/>
          <w:szCs w:val="24"/>
        </w:rPr>
      </w:pPr>
      <w:r>
        <w:rPr>
          <w:sz w:val="24"/>
          <w:szCs w:val="24"/>
        </w:rPr>
        <w:t>izlučni vjerovnici s pravom povrata stvari</w:t>
      </w:r>
    </w:p>
    <w:p w:rsidRDefault="001E3364" w:rsidP="001E3364" w:rsidR="001E3364">
      <w:pPr>
        <w:pStyle w:val="Odlomakpopisa"/>
        <w:numPr>
          <w:ilvl w:val="0"/>
          <w:numId w:val="22"/>
        </w:numPr>
        <w:jc w:val="both"/>
        <w:rPr>
          <w:sz w:val="24"/>
          <w:szCs w:val="24"/>
        </w:rPr>
      </w:pPr>
      <w:r>
        <w:rPr>
          <w:sz w:val="24"/>
          <w:szCs w:val="24"/>
        </w:rPr>
        <w:t>vjerovnici s neosiguranim tražbinama, koji nisu nižega isplatnog reda.</w:t>
      </w:r>
    </w:p>
    <w:p w:rsidRDefault="001E3364" w:rsidP="001E3364" w:rsidR="001E3364">
      <w:pPr>
        <w:jc w:val="both"/>
        <w:rPr>
          <w:sz w:val="24"/>
          <w:szCs w:val="24"/>
        </w:rPr>
      </w:pPr>
      <w:r>
        <w:rPr>
          <w:sz w:val="24"/>
          <w:szCs w:val="24"/>
        </w:rPr>
        <w:t>Prijedlog predstečajne nagodbe stoga predviđa izmirenje obveza:</w:t>
      </w:r>
    </w:p>
    <w:p w:rsidRDefault="001E3364" w:rsidP="001E3364" w:rsidR="001E3364">
      <w:pPr>
        <w:pStyle w:val="Style1"/>
        <w:numPr>
          <w:ilvl w:val="0"/>
          <w:numId w:val="24"/>
        </w:numPr>
        <w:adjustRightInd/>
        <w:spacing w:lineRule="auto" w:line="276" w:before="240"/>
        <w:ind w:hanging="357" w:left="357"/>
        <w:jc w:val="both"/>
        <w:rPr>
          <w:rFonts w:hAnsiTheme="minorHAnsi" w:asciiTheme="minorHAnsi" w:cs="Arial"/>
          <w:sz w:val="24"/>
          <w:szCs w:val="24"/>
          <w:u w:val="single"/>
          <w:lang w:val="hr-HR"/>
        </w:rPr>
      </w:pPr>
      <w:r>
        <w:rPr>
          <w:rFonts w:hAnsiTheme="minorHAnsi" w:asciiTheme="minorHAnsi" w:cs="Arial"/>
          <w:sz w:val="24"/>
          <w:szCs w:val="24"/>
          <w:u w:val="single"/>
          <w:lang w:val="hr-HR"/>
        </w:rPr>
        <w:t>za razlučne vjerovnike s pravom odvojenog namirenja:</w:t>
      </w:r>
    </w:p>
    <w:p w:rsidRDefault="001E3364" w:rsidP="001E3364" w:rsidR="001E3364">
      <w:pPr>
        <w:pStyle w:val="Odlomakpopisa"/>
        <w:numPr>
          <w:ilvl w:val="0"/>
          <w:numId w:val="12"/>
        </w:numPr>
        <w:jc w:val="both"/>
        <w:rPr>
          <w:sz w:val="24"/>
          <w:szCs w:val="24"/>
        </w:rPr>
      </w:pPr>
      <w:r>
        <w:rPr>
          <w:sz w:val="24"/>
          <w:szCs w:val="24"/>
        </w:rPr>
        <w:t xml:space="preserve">promjena dospijeća tražbina - reprogram kreditnih obveza razlučnih vjerovnika s pravom odvojenoga namirenja na dulji rok i uz smanjenje visine trenutne kamatne stope (uz zadržavanje postojećih instrumenata osiguranja i zaštitnih mehanizama u vidu postojećih valutnih klauzula), na sljedeći način: </w:t>
      </w:r>
    </w:p>
    <w:p w:rsidRDefault="001E3364" w:rsidP="001E3364" w:rsidR="001E3364">
      <w:pPr>
        <w:pStyle w:val="Odlomakpopisa"/>
        <w:numPr>
          <w:ilvl w:val="1"/>
          <w:numId w:val="14"/>
        </w:numPr>
        <w:jc w:val="both"/>
        <w:rPr>
          <w:sz w:val="24"/>
          <w:szCs w:val="24"/>
        </w:rPr>
      </w:pPr>
      <w:r>
        <w:rPr>
          <w:sz w:val="24"/>
          <w:szCs w:val="24"/>
        </w:rPr>
        <w:t xml:space="preserve">100% namirenje ukupno utvrđenih tražbina na ime glavnice, redovne i zatezne kamate - pripis glavnici tražbina na ime redovnih i zateznih kamata, te reprogram, odnosno produljenje roka otplate tražbina na rok od 9 godina (poček od 24 mjeseca plus 7 godina otplate), u jednakim kvartalnim ratama i uz fiksnu godišnju kamatnu stopu od 2,5% koja se obračunava i za vrijeme počeka, </w:t>
      </w:r>
    </w:p>
    <w:p w:rsidRDefault="001E3364" w:rsidP="001E3364" w:rsidR="001E3364">
      <w:pPr>
        <w:pStyle w:val="Odlomakpopisa"/>
        <w:numPr>
          <w:ilvl w:val="0"/>
          <w:numId w:val="24"/>
        </w:numPr>
        <w:jc w:val="both"/>
        <w:rPr>
          <w:sz w:val="24"/>
          <w:szCs w:val="24"/>
        </w:rPr>
      </w:pPr>
      <w:r>
        <w:rPr>
          <w:sz w:val="24"/>
          <w:szCs w:val="24"/>
          <w:u w:val="single"/>
        </w:rPr>
        <w:t>inicijalno ugovoreni rokovi – otplata kreditnih obveza izlučnih vjerovnika s pravom povrata stvari</w:t>
      </w:r>
      <w:r>
        <w:rPr>
          <w:sz w:val="24"/>
          <w:szCs w:val="24"/>
        </w:rPr>
        <w:t xml:space="preserve"> prema ugovorenim rokovima i u ugovorenim iznosima</w:t>
      </w:r>
      <w:r>
        <w:rPr>
          <w:rFonts w:eastAsiaTheme="minorEastAsia" w:cs="Arial"/>
          <w:sz w:val="24"/>
          <w:szCs w:val="24"/>
          <w:u w:val="single"/>
          <w:lang w:eastAsia="hr-HR"/>
        </w:rPr>
        <w:t xml:space="preserve"> </w:t>
      </w:r>
    </w:p>
    <w:p w:rsidRDefault="001E3364" w:rsidP="001E3364" w:rsidR="001E3364">
      <w:pPr>
        <w:pStyle w:val="Odlomakpopisa"/>
        <w:numPr>
          <w:ilvl w:val="0"/>
          <w:numId w:val="24"/>
        </w:numPr>
        <w:jc w:val="both"/>
        <w:rPr>
          <w:sz w:val="24"/>
          <w:szCs w:val="24"/>
        </w:rPr>
      </w:pPr>
      <w:r>
        <w:rPr>
          <w:rFonts w:eastAsiaTheme="minorEastAsia" w:cs="Arial"/>
          <w:sz w:val="24"/>
          <w:szCs w:val="24"/>
          <w:u w:val="single"/>
          <w:lang w:eastAsia="hr-HR"/>
        </w:rPr>
        <w:t>za vjerovnike s neosiguranim tražbinama koji nisu nižeg isplatnog reda:</w:t>
      </w:r>
    </w:p>
    <w:p w:rsidRDefault="001E3364" w:rsidP="001E3364" w:rsidR="001E3364">
      <w:pPr>
        <w:pStyle w:val="Odlomakpopisa"/>
        <w:numPr>
          <w:ilvl w:val="0"/>
          <w:numId w:val="12"/>
        </w:numPr>
        <w:jc w:val="both"/>
        <w:rPr>
          <w:sz w:val="24"/>
          <w:szCs w:val="24"/>
        </w:rPr>
      </w:pPr>
      <w:r>
        <w:rPr>
          <w:sz w:val="24"/>
          <w:szCs w:val="24"/>
        </w:rPr>
        <w:t>promjena dospijeća tražbina - reprogram obveza prema vjerovnicima s neosiguranim tražbinama na dulji rok, bez kamate, na sljedeći način:</w:t>
      </w:r>
    </w:p>
    <w:p w:rsidRDefault="001E3364" w:rsidP="001E3364" w:rsidR="001E3364">
      <w:pPr>
        <w:pStyle w:val="Odlomakpopisa"/>
        <w:numPr>
          <w:ilvl w:val="1"/>
          <w:numId w:val="14"/>
        </w:numPr>
        <w:jc w:val="both"/>
        <w:rPr>
          <w:sz w:val="24"/>
          <w:szCs w:val="24"/>
        </w:rPr>
      </w:pPr>
      <w:r>
        <w:rPr>
          <w:sz w:val="24"/>
          <w:szCs w:val="24"/>
        </w:rPr>
        <w:t>100% namirenje ukupno utvrđenih tražbina, uz produljenje roka otplate tražbina na rok od 5 godina (poček od 24 mjeseca plus 3 godina otplate), u jednakim kvartalnim ratama bez kamate.</w:t>
      </w:r>
    </w:p>
    <w:p w:rsidRDefault="001E3364" w:rsidP="001E3364" w:rsidR="001E3364">
      <w:pPr>
        <w:spacing w:before="240"/>
        <w:jc w:val="both"/>
        <w:rPr>
          <w:sz w:val="24"/>
          <w:szCs w:val="24"/>
        </w:rPr>
      </w:pPr>
      <w:r>
        <w:rPr>
          <w:sz w:val="24"/>
          <w:szCs w:val="24"/>
        </w:rPr>
        <w:t>Solidarni dužnici, jamci, osobe s pravom regresa u slučaju regresne obveze preuzimaju uvjete namirenja identične uvjetima namirenja prema pojedinačnom vjerovniku za koje su solidarni dužnici, jamci ili imaju regresno pravo.</w:t>
      </w:r>
    </w:p>
    <w:p w:rsidRDefault="001E3364" w:rsidP="001E3364" w:rsidR="001E3364">
      <w:pPr>
        <w:jc w:val="both"/>
        <w:rPr>
          <w:sz w:val="24"/>
          <w:szCs w:val="24"/>
        </w:rPr>
      </w:pPr>
    </w:p>
    <w:p w:rsidRDefault="001E3364" w:rsidP="001E3364" w:rsidR="001E3364">
      <w:pPr>
        <w:spacing w:after="0"/>
        <w:rPr>
          <w:sz w:val="24"/>
          <w:szCs w:val="24"/>
        </w:rPr>
        <w:sectPr w:rsidR="001E3364">
          <w:pgSz w:h="16838" w:w="11906"/>
          <w:pgMar w:gutter="0" w:footer="708" w:header="708" w:left="1417" w:bottom="1417" w:right="1417" w:top="1417"/>
          <w:cols w:space="720"/>
        </w:sectPr>
      </w:pPr>
    </w:p>
    <w:p w:rsidRDefault="001E3364" w:rsidP="001E3364" w:rsidR="001E3364">
      <w:pPr>
        <w:jc w:val="both"/>
        <w:rPr>
          <w:sz w:val="24"/>
          <w:szCs w:val="24"/>
        </w:rPr>
      </w:pPr>
      <w:r>
        <w:rPr>
          <w:sz w:val="24"/>
          <w:szCs w:val="24"/>
        </w:rPr>
        <w:lastRenderedPageBreak/>
        <w:t>U skladu s navedenim, pregled efekata predstečajnog sporazuma za svakog pojedinog vjerovnika je sljedeći:</w:t>
      </w:r>
    </w:p>
    <w:tbl>
      <w:tblPr>
        <w:tblW w:type="dxa" w:w="21678"/>
        <w:tblLook w:val="04A0" w:noVBand="1" w:noHBand="0" w:lastColumn="0" w:firstColumn="1" w:lastRow="0" w:firstRow="1"/>
      </w:tblPr>
      <w:tblGrid>
        <w:gridCol w:w="323"/>
        <w:gridCol w:w="737"/>
        <w:gridCol w:w="2019"/>
        <w:gridCol w:w="28"/>
        <w:gridCol w:w="1126"/>
        <w:gridCol w:w="28"/>
        <w:gridCol w:w="1073"/>
        <w:gridCol w:w="1236"/>
        <w:gridCol w:w="1235"/>
        <w:gridCol w:w="1235"/>
        <w:gridCol w:w="971"/>
        <w:gridCol w:w="812"/>
        <w:gridCol w:w="1154"/>
        <w:gridCol w:w="1371"/>
        <w:gridCol w:w="28"/>
        <w:gridCol w:w="8264"/>
        <w:gridCol w:w="28"/>
        <w:gridCol w:w="10"/>
      </w:tblGrid>
      <w:tr w:rsidTr="001E3364" w:rsidR="001E3364">
        <w:trPr>
          <w:gridAfter w:val="1"/>
          <w:wAfter w:type="dxa" w:w="10"/>
          <w:trHeight w:val="20"/>
          <w:tblHeader/>
        </w:trPr>
        <w:tc>
          <w:tcPr>
            <w:tcW w:type="dxa" w:w="1060"/>
            <w:gridSpan w:val="2"/>
            <w:noWrap/>
            <w:vAlign w:val="bottom"/>
            <w:hideMark/>
          </w:tcPr>
          <w:p w:rsidRDefault="001E3364" w:rsidR="001E3364">
            <w:pPr>
              <w:rPr>
                <w:rFonts w:cs="Times New Roman"/>
              </w:rPr>
            </w:pPr>
          </w:p>
        </w:tc>
        <w:tc>
          <w:tcPr>
            <w:tcW w:type="dxa" w:w="2019"/>
            <w:noWrap/>
            <w:vAlign w:val="center"/>
            <w:hideMark/>
          </w:tcPr>
          <w:p w:rsidRDefault="001E3364" w:rsidR="001E3364">
            <w:pPr>
              <w:rPr>
                <w:rFonts w:cs="Times New Roman"/>
              </w:rPr>
            </w:pPr>
          </w:p>
        </w:tc>
        <w:tc>
          <w:tcPr>
            <w:tcW w:type="dxa" w:w="1154"/>
            <w:gridSpan w:val="2"/>
            <w:noWrap/>
            <w:vAlign w:val="center"/>
            <w:hideMark/>
          </w:tcPr>
          <w:p w:rsidRDefault="001E3364" w:rsidR="001E3364">
            <w:pPr>
              <w:rPr>
                <w:rFonts w:cs="Times New Roman"/>
              </w:rPr>
            </w:pPr>
          </w:p>
        </w:tc>
        <w:tc>
          <w:tcPr>
            <w:tcW w:type="dxa" w:w="1101"/>
            <w:gridSpan w:val="2"/>
            <w:noWrap/>
            <w:vAlign w:val="center"/>
            <w:hideMark/>
          </w:tcPr>
          <w:p w:rsidRDefault="001E3364" w:rsidR="001E3364">
            <w:pPr>
              <w:rPr>
                <w:rFonts w:cs="Times New Roman"/>
              </w:rPr>
            </w:pPr>
          </w:p>
        </w:tc>
        <w:tc>
          <w:tcPr>
            <w:tcW w:type="dxa" w:w="1236"/>
            <w:noWrap/>
            <w:vAlign w:val="center"/>
            <w:hideMark/>
          </w:tcPr>
          <w:p w:rsidRDefault="001E3364" w:rsidR="001E3364">
            <w:pPr>
              <w:rPr>
                <w:rFonts w:cs="Times New Roman"/>
              </w:rPr>
            </w:pPr>
          </w:p>
        </w:tc>
        <w:tc>
          <w:tcPr>
            <w:tcW w:type="dxa" w:w="1235"/>
            <w:noWrap/>
            <w:vAlign w:val="center"/>
            <w:hideMark/>
          </w:tcPr>
          <w:p w:rsidRDefault="001E3364" w:rsidR="001E3364">
            <w:pPr>
              <w:rPr>
                <w:rFonts w:cs="Times New Roman"/>
              </w:rPr>
            </w:pPr>
          </w:p>
        </w:tc>
        <w:tc>
          <w:tcPr>
            <w:tcW w:type="dxa" w:w="4172"/>
            <w:gridSpan w:val="4"/>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lineRule="auto" w:line="240" w:after="0"/>
              <w:jc w:val="center"/>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Uvjeti restrukturiranja</w:t>
            </w:r>
          </w:p>
        </w:tc>
        <w:tc>
          <w:tcPr>
            <w:tcW w:type="dxa" w:w="1399"/>
            <w:gridSpan w:val="2"/>
            <w:tcBorders>
              <w:top w:val="nil"/>
              <w:left w:val="nil"/>
              <w:bottom w:space="0" w:sz="4" w:color="auto" w:val="single"/>
              <w:right w:val="nil"/>
            </w:tcBorders>
          </w:tcPr>
          <w:p w:rsidRDefault="001E3364" w:rsidR="001E3364">
            <w:pPr>
              <w:spacing w:lineRule="auto" w:line="240" w:after="0"/>
              <w:jc w:val="center"/>
              <w:rPr>
                <w:rFonts w:cs="Calibri" w:eastAsia="Times New Roman" w:hAnsi="Calibri" w:ascii="Calibri"/>
                <w:b/>
                <w:bCs/>
                <w:color w:val="000000"/>
                <w:sz w:val="16"/>
                <w:szCs w:val="16"/>
                <w:lang w:eastAsia="hr-HR"/>
              </w:rPr>
            </w:pPr>
          </w:p>
        </w:tc>
        <w:tc>
          <w:tcPr>
            <w:tcW w:type="dxa" w:w="8292"/>
            <w:gridSpan w:val="2"/>
            <w:vAlign w:val="center"/>
            <w:hideMark/>
          </w:tcPr>
          <w:p w:rsidRDefault="001E3364" w:rsidR="001E3364">
            <w:pPr>
              <w:spacing w:after="0"/>
              <w:rPr>
                <w:rFonts w:cs="Times New Roman"/>
              </w:rPr>
            </w:pPr>
          </w:p>
        </w:tc>
      </w:tr>
      <w:tr w:rsidTr="001E3364" w:rsidR="001E3364">
        <w:trPr>
          <w:gridAfter w:val="1"/>
          <w:wAfter w:type="dxa" w:w="10"/>
          <w:trHeight w:val="20"/>
          <w:tblHeader/>
        </w:trPr>
        <w:tc>
          <w:tcPr>
            <w:tcW w:type="dxa" w:w="1060"/>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jc w:val="center"/>
              <w:rPr>
                <w:rFonts w:cs="Calibri" w:eastAsia="Times New Roman" w:hAnsi="Calibri" w:ascii="Calibri"/>
                <w:b/>
                <w:bCs/>
                <w:i/>
                <w:iCs/>
                <w:color w:val="000000"/>
                <w:sz w:val="16"/>
                <w:szCs w:val="16"/>
                <w:lang w:eastAsia="hr-HR"/>
              </w:rPr>
            </w:pPr>
            <w:r>
              <w:rPr>
                <w:rFonts w:cs="Calibri" w:eastAsia="Times New Roman" w:hAnsi="Calibri" w:ascii="Calibri"/>
                <w:b/>
                <w:bCs/>
                <w:i/>
                <w:iCs/>
                <w:color w:val="000000"/>
                <w:sz w:val="16"/>
                <w:szCs w:val="16"/>
                <w:lang w:eastAsia="hr-HR"/>
              </w:rPr>
              <w:t>R.Br</w:t>
            </w:r>
          </w:p>
        </w:tc>
        <w:tc>
          <w:tcPr>
            <w:tcW w:type="dxa" w:w="2019"/>
            <w:tcBorders>
              <w:top w:space="0" w:sz="4" w:color="auto" w:val="single"/>
              <w:left w:val="nil"/>
              <w:bottom w:space="0" w:sz="4" w:color="auto" w:val="single"/>
              <w:right w:space="0" w:sz="4" w:color="auto" w:val="single"/>
            </w:tcBorders>
            <w:vAlign w:val="center"/>
            <w:hideMark/>
          </w:tcPr>
          <w:p w:rsidRDefault="001E3364" w:rsidR="001E3364">
            <w:pPr>
              <w:spacing w:lineRule="auto" w:line="240" w:after="0"/>
              <w:jc w:val="center"/>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Ime i prezime/tvrtka/naziv vjerovnika, OIB vjerovnika, Adresa/sjedište vjerovnika</w:t>
            </w:r>
          </w:p>
        </w:tc>
        <w:tc>
          <w:tcPr>
            <w:tcW w:type="dxa" w:w="1154"/>
            <w:gridSpan w:val="2"/>
            <w:tcBorders>
              <w:top w:space="0" w:sz="4" w:color="auto" w:val="single"/>
              <w:left w:val="nil"/>
              <w:bottom w:space="0" w:sz="4" w:color="auto" w:val="single"/>
              <w:right w:space="0" w:sz="4" w:color="auto" w:val="single"/>
            </w:tcBorders>
            <w:vAlign w:val="center"/>
            <w:hideMark/>
          </w:tcPr>
          <w:p w:rsidRDefault="001E3364" w:rsidR="001E3364">
            <w:pPr>
              <w:spacing w:lineRule="auto" w:line="240" w:after="0"/>
              <w:jc w:val="center"/>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Glavnica</w:t>
            </w:r>
          </w:p>
        </w:tc>
        <w:tc>
          <w:tcPr>
            <w:tcW w:type="dxa" w:w="1101"/>
            <w:gridSpan w:val="2"/>
            <w:tcBorders>
              <w:top w:space="0" w:sz="4" w:color="auto" w:val="single"/>
              <w:left w:val="nil"/>
              <w:bottom w:space="0" w:sz="4" w:color="auto" w:val="single"/>
              <w:right w:space="0" w:sz="4" w:color="auto" w:val="single"/>
            </w:tcBorders>
            <w:vAlign w:val="center"/>
            <w:hideMark/>
          </w:tcPr>
          <w:p w:rsidRDefault="001E3364" w:rsidR="001E3364">
            <w:pPr>
              <w:spacing w:lineRule="auto" w:line="240" w:after="0"/>
              <w:jc w:val="center"/>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Redovna kamata</w:t>
            </w:r>
          </w:p>
        </w:tc>
        <w:tc>
          <w:tcPr>
            <w:tcW w:type="dxa" w:w="1236"/>
            <w:tcBorders>
              <w:top w:space="0" w:sz="4" w:color="auto" w:val="single"/>
              <w:left w:val="nil"/>
              <w:bottom w:space="0" w:sz="4" w:color="auto" w:val="single"/>
              <w:right w:space="0" w:sz="4" w:color="auto" w:val="single"/>
            </w:tcBorders>
            <w:vAlign w:val="center"/>
            <w:hideMark/>
          </w:tcPr>
          <w:p w:rsidRDefault="001E3364" w:rsidR="001E3364">
            <w:pPr>
              <w:spacing w:lineRule="auto" w:line="240" w:after="0"/>
              <w:jc w:val="center"/>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Zatezna kamata i troškovi</w:t>
            </w:r>
          </w:p>
        </w:tc>
        <w:tc>
          <w:tcPr>
            <w:tcW w:type="dxa" w:w="1235"/>
            <w:tcBorders>
              <w:top w:space="0" w:sz="4" w:color="auto" w:val="single"/>
              <w:left w:val="nil"/>
              <w:bottom w:space="0" w:sz="4" w:color="auto" w:val="single"/>
              <w:right w:space="0" w:sz="4" w:color="auto" w:val="single"/>
            </w:tcBorders>
            <w:vAlign w:val="center"/>
            <w:hideMark/>
          </w:tcPr>
          <w:p w:rsidRDefault="001E3364" w:rsidR="001E3364">
            <w:pPr>
              <w:spacing w:lineRule="auto" w:line="240" w:after="0"/>
              <w:jc w:val="center"/>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Tražbina ukupno</w:t>
            </w:r>
          </w:p>
        </w:tc>
        <w:tc>
          <w:tcPr>
            <w:tcW w:type="dxa" w:w="1235"/>
            <w:tcBorders>
              <w:top w:val="nil"/>
              <w:left w:val="nil"/>
              <w:bottom w:space="0" w:sz="4" w:color="auto" w:val="single"/>
              <w:right w:space="0" w:sz="4" w:color="auto" w:val="single"/>
            </w:tcBorders>
            <w:vAlign w:val="center"/>
            <w:hideMark/>
          </w:tcPr>
          <w:p w:rsidRDefault="001E3364" w:rsidR="001E3364">
            <w:pPr>
              <w:spacing w:lineRule="auto" w:line="240" w:after="0"/>
              <w:jc w:val="center"/>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Preostalo za otplatu</w:t>
            </w:r>
          </w:p>
        </w:tc>
        <w:tc>
          <w:tcPr>
            <w:tcW w:type="dxa" w:w="971"/>
            <w:tcBorders>
              <w:top w:val="nil"/>
              <w:left w:val="nil"/>
              <w:bottom w:space="0" w:sz="4" w:color="auto" w:val="single"/>
              <w:right w:space="0" w:sz="4" w:color="auto" w:val="single"/>
            </w:tcBorders>
            <w:vAlign w:val="center"/>
            <w:hideMark/>
          </w:tcPr>
          <w:p w:rsidRDefault="001E3364" w:rsidR="001E3364">
            <w:pPr>
              <w:spacing w:lineRule="auto" w:line="240" w:after="0"/>
              <w:jc w:val="center"/>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Rok otplate</w:t>
            </w:r>
          </w:p>
        </w:tc>
        <w:tc>
          <w:tcPr>
            <w:tcW w:type="dxa" w:w="812"/>
            <w:tcBorders>
              <w:top w:val="nil"/>
              <w:left w:val="nil"/>
              <w:bottom w:space="0" w:sz="4" w:color="auto" w:val="single"/>
              <w:right w:space="0" w:sz="4" w:color="auto" w:val="single"/>
            </w:tcBorders>
            <w:vAlign w:val="center"/>
            <w:hideMark/>
          </w:tcPr>
          <w:p w:rsidRDefault="001E3364" w:rsidR="001E3364">
            <w:pPr>
              <w:spacing w:lineRule="auto" w:line="240" w:after="0"/>
              <w:jc w:val="center"/>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Kamatna stopa</w:t>
            </w:r>
          </w:p>
        </w:tc>
        <w:tc>
          <w:tcPr>
            <w:tcW w:type="dxa" w:w="1154"/>
            <w:tcBorders>
              <w:top w:val="nil"/>
              <w:left w:val="nil"/>
              <w:bottom w:space="0" w:sz="4" w:color="auto" w:val="single"/>
              <w:right w:space="0" w:sz="4" w:color="auto" w:val="single"/>
            </w:tcBorders>
            <w:vAlign w:val="center"/>
            <w:hideMark/>
          </w:tcPr>
          <w:p w:rsidRDefault="001E3364" w:rsidR="001E3364">
            <w:pPr>
              <w:spacing w:lineRule="auto" w:line="240" w:after="0"/>
              <w:jc w:val="center"/>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Poček</w:t>
            </w:r>
          </w:p>
        </w:tc>
        <w:tc>
          <w:tcPr>
            <w:tcW w:type="dxa" w:w="1399"/>
            <w:gridSpan w:val="2"/>
            <w:tcBorders>
              <w:top w:space="0" w:sz="4" w:color="auto" w:val="single"/>
              <w:left w:val="nil"/>
              <w:bottom w:space="0" w:sz="4" w:color="auto" w:val="single"/>
              <w:right w:space="0" w:sz="4" w:color="auto" w:val="single"/>
            </w:tcBorders>
            <w:hideMark/>
          </w:tcPr>
          <w:p w:rsidRDefault="001E3364" w:rsidR="001E3364">
            <w:pPr>
              <w:spacing w:lineRule="auto" w:line="240" w:after="0"/>
              <w:jc w:val="center"/>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Iznos kvartalne rate</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jc w:val="center"/>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Prijedlog predstečajne nagodbe</w:t>
            </w:r>
          </w:p>
        </w:tc>
      </w:tr>
      <w:tr w:rsidTr="001E3364" w:rsidR="001E3364">
        <w:trPr>
          <w:trHeight w:val="20"/>
        </w:trPr>
        <w:tc>
          <w:tcPr>
            <w:tcW w:type="dxa" w:w="323"/>
            <w:tcBorders>
              <w:top w:val="nil"/>
              <w:left w:space="0" w:sz="4" w:color="auto" w:val="single"/>
              <w:bottom w:space="0" w:sz="4" w:color="auto" w:val="single"/>
              <w:right w:space="0" w:sz="4" w:color="auto" w:val="single"/>
            </w:tcBorders>
          </w:tcPr>
          <w:p w:rsidRDefault="001E3364" w:rsidR="001E3364">
            <w:pPr>
              <w:spacing w:lineRule="auto" w:line="240" w:after="0"/>
              <w:rPr>
                <w:rFonts w:cs="Calibri" w:eastAsia="Times New Roman" w:hAnsi="Calibri" w:ascii="Calibri"/>
                <w:b/>
                <w:bCs/>
                <w:color w:val="000000"/>
                <w:sz w:val="16"/>
                <w:szCs w:val="16"/>
                <w:lang w:eastAsia="hr-HR"/>
              </w:rPr>
            </w:pPr>
          </w:p>
        </w:tc>
        <w:tc>
          <w:tcPr>
            <w:tcW w:type="dxa" w:w="21355"/>
            <w:gridSpan w:val="17"/>
            <w:tcBorders>
              <w:top w:val="nil"/>
              <w:left w:space="0" w:sz="4" w:color="auto" w:val="single"/>
              <w:bottom w:space="0" w:sz="4" w:color="auto" w:val="single"/>
              <w:right w:space="0" w:sz="4" w:color="auto" w:val="single"/>
            </w:tcBorders>
            <w:noWrap/>
            <w:vAlign w:val="bottom"/>
            <w:hideMark/>
          </w:tcPr>
          <w:p w:rsidRDefault="001E3364" w:rsidR="001E3364">
            <w:pPr>
              <w:spacing w:lineRule="auto" w:line="240" w:after="0"/>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1. Vjerovnici s odvojenim pravom namirenja </w:t>
            </w:r>
          </w:p>
        </w:tc>
      </w:tr>
      <w:tr w:rsidTr="001E3364" w:rsidR="001E3364">
        <w:trPr>
          <w:gridAfter w:val="1"/>
          <w:wAfter w:type="dxa" w:w="10"/>
          <w:trHeight w:val="20"/>
        </w:trPr>
        <w:tc>
          <w:tcPr>
            <w:tcW w:type="dxa" w:w="1060"/>
            <w:gridSpan w:val="2"/>
            <w:tcBorders>
              <w:top w:val="nil"/>
              <w:left w:space="0" w:sz="4" w:color="auto" w:val="single"/>
              <w:bottom w:val="nil"/>
              <w:right w:space="0" w:sz="4" w:color="auto" w:val="single"/>
            </w:tcBorders>
            <w:noWrap/>
            <w:vAlign w:val="center"/>
            <w:hideMark/>
          </w:tcPr>
          <w:p w:rsidRDefault="001E3364" w:rsidR="001E3364">
            <w:pPr>
              <w:spacing w:after="0"/>
              <w:jc w:val="right"/>
              <w:rPr>
                <w:rFonts w:cs="Calibri" w:hAnsi="Calibri" w:ascii="Calibri"/>
                <w:color w:val="000000"/>
                <w:sz w:val="16"/>
                <w:szCs w:val="16"/>
              </w:rPr>
            </w:pPr>
            <w:r>
              <w:rPr>
                <w:rFonts w:cs="Calibri" w:hAnsi="Calibri" w:ascii="Calibri"/>
                <w:color w:val="000000"/>
                <w:sz w:val="16"/>
                <w:szCs w:val="16"/>
              </w:rPr>
              <w:t>1</w:t>
            </w:r>
          </w:p>
        </w:tc>
        <w:tc>
          <w:tcPr>
            <w:tcW w:type="dxa" w:w="2019"/>
            <w:tcBorders>
              <w:top w:val="nil"/>
              <w:left w:val="nil"/>
              <w:bottom w:val="nil"/>
              <w:right w:space="0" w:sz="4" w:color="auto" w:val="single"/>
            </w:tcBorders>
            <w:vAlign w:val="center"/>
            <w:hideMark/>
          </w:tcPr>
          <w:p w:rsidRDefault="001E3364" w:rsidR="001E3364">
            <w:pPr>
              <w:spacing w:after="0"/>
              <w:jc w:val="center"/>
              <w:rPr>
                <w:rFonts w:cs="Calibri" w:hAnsi="Calibri" w:ascii="Calibri"/>
                <w:color w:val="000000"/>
                <w:sz w:val="16"/>
                <w:szCs w:val="16"/>
              </w:rPr>
            </w:pPr>
            <w:r>
              <w:rPr>
                <w:rFonts w:cs="Calibri" w:hAnsi="Calibri" w:ascii="Calibri"/>
                <w:color w:val="000000"/>
                <w:sz w:val="16"/>
                <w:szCs w:val="16"/>
              </w:rPr>
              <w:t>Hrvatska banka za obnovu i razvoj, OIB: 26702280390, Strossmayerov trg 9, 10000 ZAGREB</w:t>
            </w:r>
          </w:p>
        </w:tc>
        <w:tc>
          <w:tcPr>
            <w:tcW w:type="dxa" w:w="1154"/>
            <w:gridSpan w:val="2"/>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color w:val="000000"/>
                <w:sz w:val="16"/>
                <w:szCs w:val="16"/>
              </w:rPr>
            </w:pPr>
            <w:r>
              <w:rPr>
                <w:rFonts w:cs="Calibri" w:hAnsi="Calibri" w:ascii="Calibri"/>
                <w:color w:val="000000"/>
                <w:sz w:val="16"/>
                <w:szCs w:val="16"/>
              </w:rPr>
              <w:t>34.400.502,22</w:t>
            </w:r>
          </w:p>
        </w:tc>
        <w:tc>
          <w:tcPr>
            <w:tcW w:type="dxa" w:w="1101"/>
            <w:gridSpan w:val="2"/>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color w:val="000000"/>
                <w:sz w:val="16"/>
                <w:szCs w:val="16"/>
              </w:rPr>
            </w:pPr>
            <w:r>
              <w:rPr>
                <w:rFonts w:cs="Calibri" w:hAnsi="Calibri" w:ascii="Calibri"/>
                <w:color w:val="000000"/>
                <w:sz w:val="16"/>
                <w:szCs w:val="16"/>
              </w:rPr>
              <w:t>273.750,00</w:t>
            </w:r>
          </w:p>
        </w:tc>
        <w:tc>
          <w:tcPr>
            <w:tcW w:type="dxa" w:w="1236"/>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b/>
                <w:bCs/>
                <w:color w:val="000000"/>
                <w:sz w:val="16"/>
                <w:szCs w:val="16"/>
              </w:rPr>
            </w:pPr>
            <w:r>
              <w:rPr>
                <w:rFonts w:cs="Calibri" w:hAnsi="Calibri" w:ascii="Calibri"/>
                <w:b/>
                <w:bCs/>
                <w:color w:val="000000"/>
                <w:sz w:val="16"/>
                <w:szCs w:val="16"/>
              </w:rPr>
              <w:t>34.674.252,22</w:t>
            </w:r>
          </w:p>
        </w:tc>
        <w:tc>
          <w:tcPr>
            <w:tcW w:type="dxa" w:w="1235"/>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b/>
                <w:bCs/>
                <w:color w:val="000000"/>
                <w:sz w:val="16"/>
                <w:szCs w:val="16"/>
              </w:rPr>
            </w:pPr>
            <w:r>
              <w:rPr>
                <w:rFonts w:cs="Calibri" w:hAnsi="Calibri" w:ascii="Calibri"/>
                <w:b/>
                <w:bCs/>
                <w:color w:val="000000"/>
                <w:sz w:val="16"/>
                <w:szCs w:val="16"/>
              </w:rPr>
              <w:t>34.674.252,22</w:t>
            </w:r>
          </w:p>
        </w:tc>
        <w:tc>
          <w:tcPr>
            <w:tcW w:type="dxa" w:w="971"/>
            <w:tcBorders>
              <w:top w:val="nil"/>
              <w:left w:val="nil"/>
              <w:bottom w:val="nil"/>
              <w:right w:space="0" w:sz="4" w:color="auto" w:val="single"/>
            </w:tcBorders>
            <w:vAlign w:val="center"/>
            <w:hideMark/>
          </w:tcPr>
          <w:p w:rsidRDefault="001E3364" w:rsidR="001E3364">
            <w:pPr>
              <w:spacing w:lineRule="auto" w:line="240" w:after="0"/>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9 godina</w:t>
            </w:r>
          </w:p>
        </w:tc>
        <w:tc>
          <w:tcPr>
            <w:tcW w:type="dxa" w:w="812"/>
            <w:tcBorders>
              <w:top w:val="nil"/>
              <w:left w:val="nil"/>
              <w:bottom w:val="nil"/>
              <w:right w:space="0" w:sz="4" w:color="auto" w:val="single"/>
            </w:tcBorders>
            <w:noWrap/>
            <w:vAlign w:val="center"/>
            <w:hideMark/>
          </w:tcPr>
          <w:p w:rsidRDefault="001E3364" w:rsidR="001E3364">
            <w:pPr>
              <w:spacing w:lineRule="auto" w:line="240" w:after="0"/>
              <w:jc w:val="right"/>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2,50%</w:t>
            </w:r>
          </w:p>
        </w:tc>
        <w:tc>
          <w:tcPr>
            <w:tcW w:type="dxa" w:w="1154"/>
            <w:tcBorders>
              <w:top w:val="nil"/>
              <w:left w:val="nil"/>
              <w:bottom w:val="nil"/>
              <w:right w:space="0" w:sz="4" w:color="auto" w:val="single"/>
            </w:tcBorders>
            <w:noWrap/>
            <w:vAlign w:val="center"/>
            <w:hideMark/>
          </w:tcPr>
          <w:p w:rsidRDefault="001E3364" w:rsidR="001E3364">
            <w:pPr>
              <w:spacing w:lineRule="auto" w:line="240" w:after="0"/>
              <w:jc w:val="right"/>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24 mjeseca</w:t>
            </w:r>
          </w:p>
        </w:tc>
        <w:tc>
          <w:tcPr>
            <w:tcW w:type="dxa" w:w="1399"/>
            <w:gridSpan w:val="2"/>
            <w:tcBorders>
              <w:top w:space="0" w:sz="4" w:color="auto" w:val="single"/>
              <w:left w:val="nil"/>
              <w:bottom w:space="0" w:sz="4" w:color="auto" w:val="single"/>
              <w:right w:space="0" w:sz="4" w:color="auto" w:val="single"/>
            </w:tcBorders>
          </w:tcPr>
          <w:p w:rsidRDefault="001E3364" w:rsidR="001E3364">
            <w:pPr>
              <w:rPr>
                <w:rFonts w:cs="Calibri" w:hAnsi="Calibri" w:ascii="Calibri"/>
                <w:color w:val="000000"/>
                <w:sz w:val="16"/>
                <w:szCs w:val="16"/>
              </w:rPr>
            </w:pPr>
            <w:r>
              <w:rPr>
                <w:rFonts w:cs="Calibri" w:hAnsi="Calibri" w:ascii="Calibri"/>
                <w:color w:val="000000"/>
                <w:sz w:val="16"/>
                <w:szCs w:val="16"/>
              </w:rPr>
              <w:t>1.228.589,37 kn</w:t>
            </w:r>
          </w:p>
          <w:p w:rsidRDefault="001E3364" w:rsidR="001E3364">
            <w:pPr>
              <w:rPr>
                <w:rFonts w:cs="Calibri" w:hAnsi="Calibri" w:ascii="Calibri"/>
                <w:color w:val="000000"/>
                <w:sz w:val="16"/>
                <w:szCs w:val="16"/>
              </w:rPr>
            </w:pPr>
            <w:r>
              <w:rPr>
                <w:rFonts w:cs="Calibri" w:eastAsia="Times New Roman" w:hAnsi="Calibri" w:ascii="Calibri"/>
                <w:color w:val="000000"/>
                <w:sz w:val="16"/>
                <w:szCs w:val="16"/>
                <w:lang w:eastAsia="hr-HR"/>
              </w:rPr>
              <w:t>plus 2,5% kamate na preostalu glavnicu</w:t>
            </w:r>
          </w:p>
          <w:p w:rsidRDefault="001E3364" w:rsidR="001E3364">
            <w:pPr>
              <w:spacing w:lineRule="auto" w:line="240" w:after="0"/>
              <w:rPr>
                <w:rFonts w:cs="Calibri" w:eastAsia="Times New Roman" w:hAnsi="Calibri" w:ascii="Calibri"/>
                <w:color w:val="000000"/>
                <w:sz w:val="16"/>
                <w:szCs w:val="16"/>
                <w:lang w:eastAsia="hr-HR"/>
              </w:rPr>
            </w:pPr>
          </w:p>
        </w:tc>
        <w:tc>
          <w:tcPr>
            <w:tcW w:type="dxa" w:w="8292"/>
            <w:gridSpan w:val="2"/>
            <w:tcBorders>
              <w:top w:val="nil"/>
              <w:left w:space="0" w:sz="4" w:color="auto" w:val="single"/>
              <w:bottom w:val="nil"/>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kreditnih obveza razlučnih vjerovnika s pravom odvojenoga namirenja na dulji rok i uz smanjenje visine trenutne kamatne stope (uz zadržavanje postojećih instrumenata osiguranja i zaštitnih mehanizama u vidu postojećih valutnih klauzula)</w:t>
            </w:r>
            <w:r>
              <w:rPr>
                <w:rFonts w:cs="Calibri" w:eastAsia="Times New Roman" w:hAnsi="Calibri" w:ascii="Calibri"/>
                <w:color w:val="000000"/>
                <w:sz w:val="16"/>
                <w:szCs w:val="16"/>
                <w:lang w:eastAsia="hr-HR"/>
              </w:rPr>
              <w:t xml:space="preserve">, na sljedeći način: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o 100% namirenje ukupno utvrđenih tražbina na ime glavnice, redovne i zatezne kamate - pripis glavnici tražbina na ime redovnih i zateznih kamata, te reprogram, odnosno produljenje roka otplate tražbina na rok od 9 godina (poček od 24 mjeseca plus 7 godina otplate), u 28 kvartalnih rata, uvećano za fiksnu godišnju kamatnu stopu od 2,5% koja se obračunava i za vrijeme počeka,</w:t>
            </w:r>
          </w:p>
        </w:tc>
      </w:tr>
      <w:tr w:rsidTr="001E3364" w:rsidR="001E3364">
        <w:trPr>
          <w:gridAfter w:val="1"/>
          <w:wAfter w:type="dxa" w:w="10"/>
          <w:trHeight w:val="20"/>
        </w:trPr>
        <w:tc>
          <w:tcPr>
            <w:tcW w:type="dxa" w:w="1060"/>
            <w:gridSpan w:val="2"/>
            <w:tcBorders>
              <w:top w:space="0" w:sz="4" w:color="auto" w:val="single"/>
              <w:left w:space="0" w:sz="4" w:color="auto" w:val="single"/>
              <w:bottom w:val="nil"/>
              <w:right w:space="0" w:sz="4" w:color="auto" w:val="single"/>
            </w:tcBorders>
            <w:noWrap/>
            <w:vAlign w:val="center"/>
            <w:hideMark/>
          </w:tcPr>
          <w:p w:rsidRDefault="001E3364" w:rsidR="001E3364">
            <w:pPr>
              <w:spacing w:after="0"/>
              <w:jc w:val="right"/>
              <w:rPr>
                <w:rFonts w:cs="Calibri" w:hAnsi="Calibri" w:ascii="Calibri"/>
                <w:color w:val="000000"/>
                <w:sz w:val="16"/>
                <w:szCs w:val="16"/>
              </w:rPr>
            </w:pPr>
            <w:r>
              <w:rPr>
                <w:rFonts w:cs="Calibri" w:hAnsi="Calibri" w:ascii="Calibri"/>
                <w:color w:val="000000"/>
                <w:sz w:val="16"/>
                <w:szCs w:val="16"/>
              </w:rPr>
              <w:t>2</w:t>
            </w:r>
          </w:p>
        </w:tc>
        <w:tc>
          <w:tcPr>
            <w:tcW w:type="dxa" w:w="2019"/>
            <w:tcBorders>
              <w:top w:space="0" w:sz="4" w:color="auto" w:val="single"/>
              <w:left w:val="nil"/>
              <w:bottom w:space="0" w:sz="4" w:color="auto" w:val="single"/>
              <w:right w:space="0" w:sz="4" w:color="auto" w:val="single"/>
            </w:tcBorders>
            <w:vAlign w:val="center"/>
            <w:hideMark/>
          </w:tcPr>
          <w:p w:rsidRDefault="001E3364" w:rsidR="001E3364">
            <w:pPr>
              <w:spacing w:after="0"/>
              <w:jc w:val="center"/>
              <w:rPr>
                <w:rFonts w:cs="Calibri" w:hAnsi="Calibri" w:ascii="Calibri"/>
                <w:color w:val="000000"/>
                <w:sz w:val="16"/>
                <w:szCs w:val="16"/>
              </w:rPr>
            </w:pPr>
            <w:r>
              <w:rPr>
                <w:rFonts w:cs="Calibri" w:hAnsi="Calibri" w:ascii="Calibri"/>
                <w:color w:val="000000"/>
                <w:sz w:val="16"/>
                <w:szCs w:val="16"/>
              </w:rPr>
              <w:t>Ana Radišić, OIB: 74458596939, Zadvorska 14, Brezovica, 10000 Zagreb i Milan Radišić, OIB: 19221326034, Zadvorska 14, Brezovica, 10000 Zagreb</w:t>
            </w:r>
          </w:p>
        </w:tc>
        <w:tc>
          <w:tcPr>
            <w:tcW w:type="dxa" w:w="1154"/>
            <w:gridSpan w:val="2"/>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color w:val="000000"/>
                <w:sz w:val="16"/>
                <w:szCs w:val="16"/>
              </w:rPr>
            </w:pPr>
            <w:r>
              <w:rPr>
                <w:rFonts w:cs="Calibri" w:hAnsi="Calibri" w:ascii="Calibri"/>
                <w:color w:val="000000"/>
                <w:sz w:val="16"/>
                <w:szCs w:val="16"/>
              </w:rPr>
              <w:t>23.736.804,67</w:t>
            </w:r>
          </w:p>
        </w:tc>
        <w:tc>
          <w:tcPr>
            <w:tcW w:type="dxa" w:w="1101"/>
            <w:gridSpan w:val="2"/>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color w:val="000000"/>
                <w:sz w:val="16"/>
                <w:szCs w:val="16"/>
              </w:rPr>
            </w:pPr>
            <w:r>
              <w:rPr>
                <w:rFonts w:cs="Calibri" w:hAnsi="Calibri" w:ascii="Calibri"/>
                <w:color w:val="000000"/>
                <w:sz w:val="16"/>
                <w:szCs w:val="16"/>
              </w:rPr>
              <w:t> </w:t>
            </w:r>
          </w:p>
        </w:tc>
        <w:tc>
          <w:tcPr>
            <w:tcW w:type="dxa" w:w="1236"/>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b/>
                <w:bCs/>
                <w:color w:val="000000"/>
                <w:sz w:val="16"/>
                <w:szCs w:val="16"/>
              </w:rPr>
            </w:pPr>
            <w:r>
              <w:rPr>
                <w:rFonts w:cs="Calibri" w:hAnsi="Calibri" w:ascii="Calibri"/>
                <w:b/>
                <w:bCs/>
                <w:color w:val="000000"/>
                <w:sz w:val="16"/>
                <w:szCs w:val="16"/>
              </w:rPr>
              <w:t>23.736.804,67</w:t>
            </w:r>
          </w:p>
        </w:tc>
        <w:tc>
          <w:tcPr>
            <w:tcW w:type="dxa" w:w="1235"/>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b/>
                <w:bCs/>
                <w:color w:val="000000"/>
                <w:sz w:val="16"/>
                <w:szCs w:val="16"/>
              </w:rPr>
            </w:pPr>
            <w:r>
              <w:rPr>
                <w:rFonts w:cs="Calibri" w:hAnsi="Calibri" w:ascii="Calibri"/>
                <w:b/>
                <w:bCs/>
                <w:color w:val="000000"/>
                <w:sz w:val="16"/>
                <w:szCs w:val="16"/>
              </w:rPr>
              <w:t>23.736.804,67</w:t>
            </w:r>
          </w:p>
        </w:tc>
        <w:tc>
          <w:tcPr>
            <w:tcW w:type="dxa" w:w="971"/>
            <w:tcBorders>
              <w:top w:space="0" w:sz="4" w:color="auto" w:val="single"/>
              <w:left w:val="nil"/>
              <w:bottom w:val="nil"/>
              <w:right w:space="0" w:sz="4" w:color="auto" w:val="single"/>
            </w:tcBorders>
            <w:vAlign w:val="center"/>
            <w:hideMark/>
          </w:tcPr>
          <w:p w:rsidRDefault="001E3364" w:rsidR="001E3364">
            <w:pPr>
              <w:spacing w:lineRule="auto" w:line="240" w:after="0"/>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9 godina</w:t>
            </w:r>
          </w:p>
        </w:tc>
        <w:tc>
          <w:tcPr>
            <w:tcW w:type="dxa" w:w="812"/>
            <w:tcBorders>
              <w:top w:space="0" w:sz="4" w:color="auto" w:val="single"/>
              <w:left w:val="nil"/>
              <w:bottom w:val="nil"/>
              <w:right w:space="0" w:sz="4" w:color="auto" w:val="single"/>
            </w:tcBorders>
            <w:noWrap/>
            <w:vAlign w:val="center"/>
            <w:hideMark/>
          </w:tcPr>
          <w:p w:rsidRDefault="001E3364" w:rsidR="001E3364">
            <w:pPr>
              <w:spacing w:lineRule="auto" w:line="240" w:after="0"/>
              <w:jc w:val="right"/>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2,50%</w:t>
            </w:r>
          </w:p>
        </w:tc>
        <w:tc>
          <w:tcPr>
            <w:tcW w:type="dxa" w:w="1154"/>
            <w:tcBorders>
              <w:top w:space="0" w:sz="4" w:color="auto" w:val="single"/>
              <w:left w:val="nil"/>
              <w:bottom w:val="nil"/>
              <w:right w:space="0" w:sz="4" w:color="auto" w:val="single"/>
            </w:tcBorders>
            <w:noWrap/>
            <w:vAlign w:val="center"/>
            <w:hideMark/>
          </w:tcPr>
          <w:p w:rsidRDefault="001E3364" w:rsidR="001E3364">
            <w:pPr>
              <w:spacing w:lineRule="auto" w:line="240" w:after="0"/>
              <w:jc w:val="right"/>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24 mjeseca</w:t>
            </w:r>
          </w:p>
        </w:tc>
        <w:tc>
          <w:tcPr>
            <w:tcW w:type="dxa" w:w="1399"/>
            <w:gridSpan w:val="2"/>
            <w:tcBorders>
              <w:top w:space="0" w:sz="4" w:color="auto" w:val="single"/>
              <w:left w:val="nil"/>
              <w:bottom w:space="0" w:sz="4" w:color="auto" w:val="single"/>
              <w:right w:space="0" w:sz="4" w:color="auto" w:val="single"/>
            </w:tcBorders>
            <w:hideMark/>
          </w:tcPr>
          <w:p w:rsidRDefault="001E3364" w:rsidR="001E3364">
            <w:pPr>
              <w:rPr>
                <w:rFonts w:cs="Calibri" w:hAnsi="Calibri" w:ascii="Calibri"/>
                <w:color w:val="000000"/>
                <w:sz w:val="16"/>
                <w:szCs w:val="16"/>
              </w:rPr>
            </w:pPr>
            <w:r>
              <w:rPr>
                <w:rFonts w:cs="Calibri" w:hAnsi="Calibri" w:ascii="Calibri"/>
                <w:color w:val="000000"/>
                <w:sz w:val="16"/>
                <w:szCs w:val="16"/>
              </w:rPr>
              <w:t>847.743,02 kn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plus 2,5% kamate na preostalu glavnicu</w:t>
            </w:r>
          </w:p>
        </w:tc>
        <w:tc>
          <w:tcPr>
            <w:tcW w:type="dxa" w:w="8292"/>
            <w:gridSpan w:val="2"/>
            <w:tcBorders>
              <w:top w:space="0" w:sz="4" w:color="auto" w:val="single"/>
              <w:left w:space="0" w:sz="4" w:color="auto" w:val="single"/>
              <w:bottom w:val="nil"/>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kreditnih obveza razlučnih vjerovnika s pravom odvojenoga namirenja na dulji rok i uz smanjenje visine trenutne kamatne stope (uz zadržavanje postojećih instrumenata osiguranja i zaštitnih mehanizama u vidu postojećih valutnih klauzula)</w:t>
            </w:r>
            <w:r>
              <w:rPr>
                <w:rFonts w:cs="Calibri" w:eastAsia="Times New Roman" w:hAnsi="Calibri" w:ascii="Calibri"/>
                <w:color w:val="000000"/>
                <w:sz w:val="16"/>
                <w:szCs w:val="16"/>
                <w:lang w:eastAsia="hr-HR"/>
              </w:rPr>
              <w:t xml:space="preserve">, na sljedeći način: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o 100% namirenje ukupno utvrđenih tražbina na ime glavnice, redovne i zatezne kamate - pripis glavnici tražbina na ime redovnih i zateznih kamata, te reprogram, odnosno produljenje roka otplate tražbina na rok od 9 godina (poček od 24 mjeseca plus 7 godina otplate), u 28 kvartalnih rata, uvećano za fiksnu godišnju kamatnu stopu od 2,5% koja se obračunava i za vrijeme počeka,</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val="nil"/>
              <w:right w:space="0" w:sz="4" w:color="auto" w:val="single"/>
            </w:tcBorders>
            <w:noWrap/>
            <w:vAlign w:val="center"/>
            <w:hideMark/>
          </w:tcPr>
          <w:p w:rsidRDefault="001E3364" w:rsidR="001E3364">
            <w:pPr>
              <w:spacing w:after="0"/>
              <w:jc w:val="right"/>
              <w:rPr>
                <w:rFonts w:cs="Calibri" w:hAnsi="Calibri" w:ascii="Calibri"/>
                <w:color w:val="000000"/>
                <w:sz w:val="16"/>
                <w:szCs w:val="16"/>
              </w:rPr>
            </w:pPr>
            <w:r>
              <w:rPr>
                <w:rFonts w:cs="Calibri" w:hAnsi="Calibri" w:ascii="Calibri"/>
                <w:color w:val="000000"/>
                <w:sz w:val="16"/>
                <w:szCs w:val="16"/>
              </w:rPr>
              <w:t>3</w:t>
            </w:r>
          </w:p>
        </w:tc>
        <w:tc>
          <w:tcPr>
            <w:tcW w:type="dxa" w:w="2019"/>
            <w:tcBorders>
              <w:top w:val="nil"/>
              <w:left w:val="nil"/>
              <w:bottom w:val="nil"/>
              <w:right w:space="0" w:sz="4" w:color="auto" w:val="single"/>
            </w:tcBorders>
            <w:vAlign w:val="center"/>
            <w:hideMark/>
          </w:tcPr>
          <w:p w:rsidRDefault="001E3364" w:rsidR="001E3364">
            <w:pPr>
              <w:spacing w:after="0"/>
              <w:jc w:val="center"/>
              <w:rPr>
                <w:rFonts w:cs="Calibri" w:hAnsi="Calibri" w:ascii="Calibri"/>
                <w:color w:val="000000"/>
                <w:sz w:val="16"/>
                <w:szCs w:val="16"/>
              </w:rPr>
            </w:pPr>
            <w:r>
              <w:rPr>
                <w:rFonts w:cs="Calibri" w:hAnsi="Calibri" w:ascii="Calibri"/>
                <w:color w:val="000000"/>
                <w:sz w:val="16"/>
                <w:szCs w:val="16"/>
              </w:rPr>
              <w:t>RAIFFEISENBANK AUSTRIA D.D., OIB:53056966535, Magazinska cesta 69, 10000 ZAGREB</w:t>
            </w:r>
          </w:p>
        </w:tc>
        <w:tc>
          <w:tcPr>
            <w:tcW w:type="dxa" w:w="1154"/>
            <w:gridSpan w:val="2"/>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color w:val="000000"/>
                <w:sz w:val="16"/>
                <w:szCs w:val="16"/>
              </w:rPr>
            </w:pPr>
            <w:r>
              <w:rPr>
                <w:rFonts w:cs="Calibri" w:hAnsi="Calibri" w:ascii="Calibri"/>
                <w:color w:val="000000"/>
                <w:sz w:val="16"/>
                <w:szCs w:val="16"/>
              </w:rPr>
              <w:t>5.894.254,07</w:t>
            </w:r>
          </w:p>
        </w:tc>
        <w:tc>
          <w:tcPr>
            <w:tcW w:type="dxa" w:w="1101"/>
            <w:gridSpan w:val="2"/>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color w:val="000000"/>
                <w:sz w:val="16"/>
                <w:szCs w:val="16"/>
              </w:rPr>
            </w:pPr>
            <w:r>
              <w:rPr>
                <w:rFonts w:cs="Calibri" w:hAnsi="Calibri" w:ascii="Calibri"/>
                <w:color w:val="000000"/>
                <w:sz w:val="16"/>
                <w:szCs w:val="16"/>
              </w:rPr>
              <w:t>119.480,56</w:t>
            </w:r>
          </w:p>
        </w:tc>
        <w:tc>
          <w:tcPr>
            <w:tcW w:type="dxa" w:w="1236"/>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color w:val="000000"/>
                <w:sz w:val="16"/>
                <w:szCs w:val="16"/>
              </w:rPr>
            </w:pPr>
            <w:r>
              <w:rPr>
                <w:rFonts w:cs="Calibri" w:hAnsi="Calibri" w:ascii="Calibri"/>
                <w:color w:val="000000"/>
                <w:sz w:val="16"/>
                <w:szCs w:val="16"/>
              </w:rPr>
              <w:t>285.213,71</w:t>
            </w:r>
          </w:p>
        </w:tc>
        <w:tc>
          <w:tcPr>
            <w:tcW w:type="dxa" w:w="1235"/>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b/>
                <w:bCs/>
                <w:color w:val="000000"/>
                <w:sz w:val="16"/>
                <w:szCs w:val="16"/>
              </w:rPr>
            </w:pPr>
            <w:r>
              <w:rPr>
                <w:rFonts w:cs="Calibri" w:hAnsi="Calibri" w:ascii="Calibri"/>
                <w:b/>
                <w:bCs/>
                <w:color w:val="000000"/>
                <w:sz w:val="16"/>
                <w:szCs w:val="16"/>
              </w:rPr>
              <w:t>6.298.948,34</w:t>
            </w:r>
          </w:p>
        </w:tc>
        <w:tc>
          <w:tcPr>
            <w:tcW w:type="dxa" w:w="1235"/>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b/>
                <w:bCs/>
                <w:color w:val="000000"/>
                <w:sz w:val="16"/>
                <w:szCs w:val="16"/>
              </w:rPr>
            </w:pPr>
            <w:r>
              <w:rPr>
                <w:rFonts w:cs="Calibri" w:hAnsi="Calibri" w:ascii="Calibri"/>
                <w:b/>
                <w:bCs/>
                <w:color w:val="000000"/>
                <w:sz w:val="16"/>
                <w:szCs w:val="16"/>
              </w:rPr>
              <w:t>6.298.948,34</w:t>
            </w:r>
          </w:p>
        </w:tc>
        <w:tc>
          <w:tcPr>
            <w:tcW w:type="dxa" w:w="971"/>
            <w:tcBorders>
              <w:top w:space="0" w:sz="4" w:color="auto" w:val="single"/>
              <w:left w:val="nil"/>
              <w:bottom w:val="nil"/>
              <w:right w:space="0" w:sz="4" w:color="auto" w:val="single"/>
            </w:tcBorders>
            <w:vAlign w:val="center"/>
            <w:hideMark/>
          </w:tcPr>
          <w:p w:rsidRDefault="001E3364" w:rsidR="001E3364">
            <w:pPr>
              <w:spacing w:lineRule="auto" w:line="240" w:after="0"/>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9 godina</w:t>
            </w:r>
          </w:p>
        </w:tc>
        <w:tc>
          <w:tcPr>
            <w:tcW w:type="dxa" w:w="812"/>
            <w:tcBorders>
              <w:top w:space="0" w:sz="4" w:color="auto" w:val="single"/>
              <w:left w:val="nil"/>
              <w:bottom w:val="nil"/>
              <w:right w:space="0" w:sz="4" w:color="auto" w:val="single"/>
            </w:tcBorders>
            <w:noWrap/>
            <w:vAlign w:val="center"/>
            <w:hideMark/>
          </w:tcPr>
          <w:p w:rsidRDefault="001E3364" w:rsidR="001E3364">
            <w:pPr>
              <w:spacing w:lineRule="auto" w:line="240" w:after="0"/>
              <w:jc w:val="right"/>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2,50%</w:t>
            </w:r>
          </w:p>
        </w:tc>
        <w:tc>
          <w:tcPr>
            <w:tcW w:type="dxa" w:w="1154"/>
            <w:tcBorders>
              <w:top w:space="0" w:sz="4" w:color="auto" w:val="single"/>
              <w:left w:val="nil"/>
              <w:bottom w:val="nil"/>
              <w:right w:space="0" w:sz="4" w:color="auto" w:val="single"/>
            </w:tcBorders>
            <w:noWrap/>
            <w:vAlign w:val="center"/>
            <w:hideMark/>
          </w:tcPr>
          <w:p w:rsidRDefault="001E3364" w:rsidR="001E3364">
            <w:pPr>
              <w:spacing w:lineRule="auto" w:line="240" w:after="0"/>
              <w:jc w:val="right"/>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24 mjeseca</w:t>
            </w:r>
          </w:p>
        </w:tc>
        <w:tc>
          <w:tcPr>
            <w:tcW w:type="dxa" w:w="1399"/>
            <w:gridSpan w:val="2"/>
            <w:tcBorders>
              <w:top w:space="0" w:sz="4" w:color="auto" w:val="single"/>
              <w:left w:val="nil"/>
              <w:bottom w:space="0" w:sz="4" w:color="auto" w:val="single"/>
              <w:right w:space="0" w:sz="4" w:color="auto" w:val="single"/>
            </w:tcBorders>
            <w:hideMark/>
          </w:tcPr>
          <w:p w:rsidRDefault="001E3364" w:rsidR="001E3364">
            <w:pPr>
              <w:rPr>
                <w:rFonts w:cs="Calibri" w:hAnsi="Calibri" w:ascii="Calibri"/>
                <w:color w:val="000000"/>
                <w:sz w:val="16"/>
                <w:szCs w:val="16"/>
              </w:rPr>
            </w:pPr>
            <w:r>
              <w:rPr>
                <w:rFonts w:cs="Calibri" w:hAnsi="Calibri" w:ascii="Calibri"/>
                <w:color w:val="000000"/>
                <w:sz w:val="16"/>
                <w:szCs w:val="16"/>
              </w:rPr>
              <w:t>224.962,44 kn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plus 2,5% kamate na preostalu glavnicu</w:t>
            </w:r>
          </w:p>
        </w:tc>
        <w:tc>
          <w:tcPr>
            <w:tcW w:type="dxa" w:w="8292"/>
            <w:gridSpan w:val="2"/>
            <w:tcBorders>
              <w:top w:space="0" w:sz="4" w:color="auto" w:val="single"/>
              <w:left w:space="0" w:sz="4" w:color="auto" w:val="single"/>
              <w:bottom w:val="nil"/>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kreditnih obveza razlučnih vjerovnika s pravom odvojenoga namirenja na dulji rok i uz smanjenje visine trenutne kamatne stope (uz zadržavanje postojećih instrumenata osiguranja i zaštitnih mehanizama u vidu postojećih valutnih klauzula)</w:t>
            </w:r>
            <w:r>
              <w:rPr>
                <w:rFonts w:cs="Calibri" w:eastAsia="Times New Roman" w:hAnsi="Calibri" w:ascii="Calibri"/>
                <w:color w:val="000000"/>
                <w:sz w:val="16"/>
                <w:szCs w:val="16"/>
                <w:lang w:eastAsia="hr-HR"/>
              </w:rPr>
              <w:t xml:space="preserve">, na sljedeći način: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o 100% namirenje ukupno utvrđenih tražbina na ime glavnice, redovne i zatezne kamate - pripis glavnici tražbina na ime redovnih i zateznih kamata, te reprogram, odnosno produljenje roka otplate tražbina na rok od 9 godina (poček od 24 mjeseca plus 7 godina otplate), u 28 kvartalnih rata, uvećano za fiksnu godišnju kamatnu stopu od 2,5% koja se obračunava i za vrijeme počeka,</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val="nil"/>
              <w:right w:space="0" w:sz="4" w:color="auto" w:val="single"/>
            </w:tcBorders>
            <w:noWrap/>
            <w:vAlign w:val="center"/>
            <w:hideMark/>
          </w:tcPr>
          <w:p w:rsidRDefault="001E3364" w:rsidR="001E3364">
            <w:pPr>
              <w:spacing w:after="0"/>
              <w:jc w:val="right"/>
              <w:rPr>
                <w:rFonts w:cs="Calibri" w:hAnsi="Calibri" w:ascii="Calibri"/>
                <w:color w:val="000000"/>
                <w:sz w:val="16"/>
                <w:szCs w:val="16"/>
              </w:rPr>
            </w:pPr>
            <w:r>
              <w:rPr>
                <w:rFonts w:cs="Calibri" w:hAnsi="Calibri" w:ascii="Calibri"/>
                <w:color w:val="000000"/>
                <w:sz w:val="16"/>
                <w:szCs w:val="16"/>
              </w:rPr>
              <w:t>4</w:t>
            </w:r>
          </w:p>
        </w:tc>
        <w:tc>
          <w:tcPr>
            <w:tcW w:type="dxa" w:w="2019"/>
            <w:tcBorders>
              <w:top w:space="0" w:sz="4" w:color="auto" w:val="single"/>
              <w:left w:val="nil"/>
              <w:bottom w:val="nil"/>
              <w:right w:space="0" w:sz="4" w:color="auto" w:val="single"/>
            </w:tcBorders>
            <w:vAlign w:val="center"/>
            <w:hideMark/>
          </w:tcPr>
          <w:p w:rsidRDefault="001E3364" w:rsidR="001E3364">
            <w:pPr>
              <w:spacing w:after="0"/>
              <w:jc w:val="center"/>
              <w:rPr>
                <w:rFonts w:cs="Calibri" w:hAnsi="Calibri" w:ascii="Calibri"/>
                <w:color w:val="000000"/>
                <w:sz w:val="16"/>
                <w:szCs w:val="16"/>
              </w:rPr>
            </w:pPr>
            <w:r>
              <w:rPr>
                <w:rFonts w:cs="Calibri" w:hAnsi="Calibri" w:ascii="Calibri"/>
                <w:color w:val="000000"/>
                <w:sz w:val="16"/>
                <w:szCs w:val="16"/>
              </w:rPr>
              <w:t>SOCIETE GENERALE - SPLITSKA BANKA D.D., OIB:69326397242, RUĐERA BOŠKOVIĆA 16, 21000 SPLIT</w:t>
            </w:r>
          </w:p>
        </w:tc>
        <w:tc>
          <w:tcPr>
            <w:tcW w:type="dxa" w:w="1154"/>
            <w:gridSpan w:val="2"/>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color w:val="000000"/>
                <w:sz w:val="16"/>
                <w:szCs w:val="16"/>
              </w:rPr>
            </w:pPr>
            <w:r>
              <w:rPr>
                <w:rFonts w:cs="Calibri" w:hAnsi="Calibri" w:ascii="Calibri"/>
                <w:color w:val="000000"/>
                <w:sz w:val="16"/>
                <w:szCs w:val="16"/>
              </w:rPr>
              <w:t>1.498.040,78</w:t>
            </w:r>
          </w:p>
        </w:tc>
        <w:tc>
          <w:tcPr>
            <w:tcW w:type="dxa" w:w="1101"/>
            <w:gridSpan w:val="2"/>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color w:val="000000"/>
                <w:sz w:val="16"/>
                <w:szCs w:val="16"/>
              </w:rPr>
            </w:pPr>
            <w:r>
              <w:rPr>
                <w:rFonts w:cs="Calibri" w:hAnsi="Calibri" w:ascii="Calibri"/>
                <w:color w:val="000000"/>
                <w:sz w:val="16"/>
                <w:szCs w:val="16"/>
              </w:rPr>
              <w:t> </w:t>
            </w:r>
          </w:p>
        </w:tc>
        <w:tc>
          <w:tcPr>
            <w:tcW w:type="dxa" w:w="1236"/>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color w:val="000000"/>
                <w:sz w:val="16"/>
                <w:szCs w:val="16"/>
              </w:rPr>
            </w:pPr>
            <w:r>
              <w:rPr>
                <w:rFonts w:cs="Calibri" w:hAnsi="Calibri" w:ascii="Calibri"/>
                <w:color w:val="000000"/>
                <w:sz w:val="16"/>
                <w:szCs w:val="16"/>
              </w:rPr>
              <w:t> </w:t>
            </w:r>
          </w:p>
        </w:tc>
        <w:tc>
          <w:tcPr>
            <w:tcW w:type="dxa" w:w="1235"/>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b/>
                <w:bCs/>
                <w:color w:val="000000"/>
                <w:sz w:val="16"/>
                <w:szCs w:val="16"/>
              </w:rPr>
            </w:pPr>
            <w:r>
              <w:rPr>
                <w:rFonts w:cs="Calibri" w:hAnsi="Calibri" w:ascii="Calibri"/>
                <w:b/>
                <w:bCs/>
                <w:color w:val="000000"/>
                <w:sz w:val="16"/>
                <w:szCs w:val="16"/>
              </w:rPr>
              <w:t>1.498.040,78</w:t>
            </w:r>
          </w:p>
        </w:tc>
        <w:tc>
          <w:tcPr>
            <w:tcW w:type="dxa" w:w="1235"/>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b/>
                <w:bCs/>
                <w:color w:val="000000"/>
                <w:sz w:val="16"/>
                <w:szCs w:val="16"/>
              </w:rPr>
            </w:pPr>
            <w:r>
              <w:rPr>
                <w:rFonts w:cs="Calibri" w:hAnsi="Calibri" w:ascii="Calibri"/>
                <w:b/>
                <w:bCs/>
                <w:color w:val="000000"/>
                <w:sz w:val="16"/>
                <w:szCs w:val="16"/>
              </w:rPr>
              <w:t>1.498.040,78</w:t>
            </w:r>
          </w:p>
        </w:tc>
        <w:tc>
          <w:tcPr>
            <w:tcW w:type="dxa" w:w="971"/>
            <w:tcBorders>
              <w:top w:space="0" w:sz="4" w:color="auto" w:val="single"/>
              <w:left w:val="nil"/>
              <w:bottom w:val="nil"/>
              <w:right w:space="0" w:sz="4" w:color="auto" w:val="single"/>
            </w:tcBorders>
            <w:vAlign w:val="center"/>
            <w:hideMark/>
          </w:tcPr>
          <w:p w:rsidRDefault="001E3364" w:rsidR="001E3364">
            <w:pPr>
              <w:spacing w:lineRule="auto" w:line="240" w:after="0"/>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9 godina</w:t>
            </w:r>
          </w:p>
        </w:tc>
        <w:tc>
          <w:tcPr>
            <w:tcW w:type="dxa" w:w="812"/>
            <w:tcBorders>
              <w:top w:space="0" w:sz="4" w:color="auto" w:val="single"/>
              <w:left w:val="nil"/>
              <w:bottom w:val="nil"/>
              <w:right w:space="0" w:sz="4" w:color="auto" w:val="single"/>
            </w:tcBorders>
            <w:noWrap/>
            <w:vAlign w:val="center"/>
            <w:hideMark/>
          </w:tcPr>
          <w:p w:rsidRDefault="001E3364" w:rsidR="001E3364">
            <w:pPr>
              <w:spacing w:lineRule="auto" w:line="240" w:after="0"/>
              <w:jc w:val="right"/>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2,50%</w:t>
            </w:r>
          </w:p>
        </w:tc>
        <w:tc>
          <w:tcPr>
            <w:tcW w:type="dxa" w:w="1154"/>
            <w:tcBorders>
              <w:top w:space="0" w:sz="4" w:color="auto" w:val="single"/>
              <w:left w:val="nil"/>
              <w:bottom w:val="nil"/>
              <w:right w:space="0" w:sz="4" w:color="auto" w:val="single"/>
            </w:tcBorders>
            <w:noWrap/>
            <w:vAlign w:val="center"/>
            <w:hideMark/>
          </w:tcPr>
          <w:p w:rsidRDefault="001E3364" w:rsidR="001E3364">
            <w:pPr>
              <w:spacing w:lineRule="auto" w:line="240" w:after="0"/>
              <w:jc w:val="right"/>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24 mjeseca</w:t>
            </w:r>
          </w:p>
        </w:tc>
        <w:tc>
          <w:tcPr>
            <w:tcW w:type="dxa" w:w="1399"/>
            <w:gridSpan w:val="2"/>
            <w:tcBorders>
              <w:top w:space="0" w:sz="4" w:color="auto" w:val="single"/>
              <w:left w:val="nil"/>
              <w:bottom w:space="0" w:sz="4" w:color="auto" w:val="single"/>
              <w:right w:space="0" w:sz="4" w:color="auto" w:val="single"/>
            </w:tcBorders>
            <w:hideMark/>
          </w:tcPr>
          <w:p w:rsidRDefault="001E3364" w:rsidR="001E3364">
            <w:pPr>
              <w:rPr>
                <w:rFonts w:cs="Calibri" w:hAnsi="Calibri" w:ascii="Calibri"/>
                <w:color w:val="000000"/>
                <w:sz w:val="16"/>
                <w:szCs w:val="16"/>
              </w:rPr>
            </w:pPr>
            <w:r>
              <w:rPr>
                <w:rFonts w:cs="Calibri" w:hAnsi="Calibri" w:ascii="Calibri"/>
                <w:color w:val="000000"/>
                <w:sz w:val="16"/>
                <w:szCs w:val="16"/>
              </w:rPr>
              <w:t>53.501,46 kn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plus 2,5% kamate na preostalu glavnicu</w:t>
            </w:r>
          </w:p>
        </w:tc>
        <w:tc>
          <w:tcPr>
            <w:tcW w:type="dxa" w:w="8292"/>
            <w:gridSpan w:val="2"/>
            <w:tcBorders>
              <w:top w:space="0" w:sz="4" w:color="auto" w:val="single"/>
              <w:left w:space="0" w:sz="4" w:color="auto" w:val="single"/>
              <w:bottom w:val="nil"/>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kreditnih obveza razlučnih vjerovnika s pravom odvojenoga namirenja na dulji rok i uz smanjenje visine trenutne kamatne stope (uz zadržavanje postojećih instrumenata osiguranja i zaštitnih mehanizama u vidu postojećih valutnih klauzula)</w:t>
            </w:r>
            <w:r>
              <w:rPr>
                <w:rFonts w:cs="Calibri" w:eastAsia="Times New Roman" w:hAnsi="Calibri" w:ascii="Calibri"/>
                <w:color w:val="000000"/>
                <w:sz w:val="16"/>
                <w:szCs w:val="16"/>
                <w:lang w:eastAsia="hr-HR"/>
              </w:rPr>
              <w:t xml:space="preserve">, na sljedeći način: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o 100% namirenje ukupno utvrđenih tražbina na ime glavnice, redovne i zatezne kamate - pripis glavnici tražbina na ime redovnih i zateznih kamata, te reprogram, odnosno produljenje roka otplate tražbina na rok od 9 godina (poček od 24 mjeseca plus 7 godina otplate), u 28 kvartalnih rata, uvećano za fiksnu godišnju kamatnu stopu od 2,5% koja se obračunava i za vrijeme počeka,</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val="nil"/>
              <w:right w:space="0" w:sz="4" w:color="auto" w:val="single"/>
            </w:tcBorders>
            <w:noWrap/>
            <w:vAlign w:val="center"/>
            <w:hideMark/>
          </w:tcPr>
          <w:p w:rsidRDefault="001E3364" w:rsidR="001E3364">
            <w:pPr>
              <w:spacing w:after="0"/>
              <w:jc w:val="right"/>
              <w:rPr>
                <w:rFonts w:cs="Calibri" w:hAnsi="Calibri" w:ascii="Calibri"/>
                <w:color w:val="000000"/>
                <w:sz w:val="16"/>
                <w:szCs w:val="16"/>
              </w:rPr>
            </w:pPr>
            <w:r>
              <w:rPr>
                <w:rFonts w:cs="Calibri" w:hAnsi="Calibri" w:ascii="Calibri"/>
                <w:color w:val="000000"/>
                <w:sz w:val="16"/>
                <w:szCs w:val="16"/>
              </w:rPr>
              <w:t>5</w:t>
            </w:r>
          </w:p>
        </w:tc>
        <w:tc>
          <w:tcPr>
            <w:tcW w:type="dxa" w:w="2019"/>
            <w:tcBorders>
              <w:top w:space="0" w:sz="4" w:color="auto" w:val="single"/>
              <w:left w:val="nil"/>
              <w:bottom w:val="nil"/>
              <w:right w:space="0" w:sz="4" w:color="auto" w:val="single"/>
            </w:tcBorders>
            <w:vAlign w:val="center"/>
            <w:hideMark/>
          </w:tcPr>
          <w:p w:rsidRDefault="001E3364" w:rsidR="001E3364">
            <w:pPr>
              <w:spacing w:after="0"/>
              <w:jc w:val="center"/>
              <w:rPr>
                <w:rFonts w:cs="Calibri" w:hAnsi="Calibri" w:ascii="Calibri"/>
                <w:color w:val="000000"/>
                <w:sz w:val="16"/>
                <w:szCs w:val="16"/>
              </w:rPr>
            </w:pPr>
            <w:r>
              <w:rPr>
                <w:rFonts w:cs="Calibri" w:hAnsi="Calibri" w:ascii="Calibri"/>
                <w:color w:val="000000"/>
                <w:sz w:val="16"/>
                <w:szCs w:val="16"/>
              </w:rPr>
              <w:t>BKS BANK d.d., OIB:61436608168, Mljekarski trg 3, 51000 RIJEKA</w:t>
            </w:r>
          </w:p>
        </w:tc>
        <w:tc>
          <w:tcPr>
            <w:tcW w:type="dxa" w:w="1154"/>
            <w:gridSpan w:val="2"/>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color w:val="000000"/>
                <w:sz w:val="16"/>
                <w:szCs w:val="16"/>
              </w:rPr>
            </w:pPr>
            <w:r>
              <w:rPr>
                <w:rFonts w:cs="Calibri" w:hAnsi="Calibri" w:ascii="Calibri"/>
                <w:color w:val="000000"/>
                <w:sz w:val="16"/>
                <w:szCs w:val="16"/>
              </w:rPr>
              <w:t>2.701.248,10</w:t>
            </w:r>
          </w:p>
        </w:tc>
        <w:tc>
          <w:tcPr>
            <w:tcW w:type="dxa" w:w="1101"/>
            <w:gridSpan w:val="2"/>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color w:val="000000"/>
                <w:sz w:val="16"/>
                <w:szCs w:val="16"/>
              </w:rPr>
            </w:pPr>
            <w:r>
              <w:rPr>
                <w:rFonts w:cs="Calibri" w:hAnsi="Calibri" w:ascii="Calibri"/>
                <w:color w:val="000000"/>
                <w:sz w:val="16"/>
                <w:szCs w:val="16"/>
              </w:rPr>
              <w:t>8.638,71</w:t>
            </w:r>
          </w:p>
        </w:tc>
        <w:tc>
          <w:tcPr>
            <w:tcW w:type="dxa" w:w="1236"/>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color w:val="000000"/>
                <w:sz w:val="16"/>
                <w:szCs w:val="16"/>
              </w:rPr>
            </w:pPr>
            <w:r>
              <w:rPr>
                <w:rFonts w:cs="Calibri" w:hAnsi="Calibri" w:ascii="Calibri"/>
                <w:color w:val="000000"/>
                <w:sz w:val="16"/>
                <w:szCs w:val="16"/>
              </w:rPr>
              <w:t> </w:t>
            </w:r>
          </w:p>
        </w:tc>
        <w:tc>
          <w:tcPr>
            <w:tcW w:type="dxa" w:w="1235"/>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b/>
                <w:bCs/>
                <w:color w:val="000000"/>
                <w:sz w:val="16"/>
                <w:szCs w:val="16"/>
              </w:rPr>
            </w:pPr>
            <w:r>
              <w:rPr>
                <w:rFonts w:cs="Calibri" w:hAnsi="Calibri" w:ascii="Calibri"/>
                <w:b/>
                <w:bCs/>
                <w:color w:val="000000"/>
                <w:sz w:val="16"/>
                <w:szCs w:val="16"/>
              </w:rPr>
              <w:t>2.709.886,81</w:t>
            </w:r>
          </w:p>
        </w:tc>
        <w:tc>
          <w:tcPr>
            <w:tcW w:type="dxa" w:w="1235"/>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b/>
                <w:bCs/>
                <w:color w:val="000000"/>
                <w:sz w:val="16"/>
                <w:szCs w:val="16"/>
              </w:rPr>
            </w:pPr>
            <w:r>
              <w:rPr>
                <w:rFonts w:cs="Calibri" w:hAnsi="Calibri" w:ascii="Calibri"/>
                <w:b/>
                <w:bCs/>
                <w:color w:val="000000"/>
                <w:sz w:val="16"/>
                <w:szCs w:val="16"/>
              </w:rPr>
              <w:t>2.709.886,81</w:t>
            </w:r>
          </w:p>
        </w:tc>
        <w:tc>
          <w:tcPr>
            <w:tcW w:type="dxa" w:w="971"/>
            <w:tcBorders>
              <w:top w:space="0" w:sz="4" w:color="auto" w:val="single"/>
              <w:left w:val="nil"/>
              <w:bottom w:val="nil"/>
              <w:right w:space="0" w:sz="4" w:color="auto" w:val="single"/>
            </w:tcBorders>
            <w:vAlign w:val="center"/>
            <w:hideMark/>
          </w:tcPr>
          <w:p w:rsidRDefault="001E3364" w:rsidR="001E3364">
            <w:pPr>
              <w:spacing w:lineRule="auto" w:line="240" w:after="0"/>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9 godina</w:t>
            </w:r>
          </w:p>
        </w:tc>
        <w:tc>
          <w:tcPr>
            <w:tcW w:type="dxa" w:w="812"/>
            <w:tcBorders>
              <w:top w:space="0" w:sz="4" w:color="auto" w:val="single"/>
              <w:left w:val="nil"/>
              <w:bottom w:val="nil"/>
              <w:right w:space="0" w:sz="4" w:color="auto" w:val="single"/>
            </w:tcBorders>
            <w:noWrap/>
            <w:vAlign w:val="center"/>
            <w:hideMark/>
          </w:tcPr>
          <w:p w:rsidRDefault="001E3364" w:rsidR="001E3364">
            <w:pPr>
              <w:spacing w:lineRule="auto" w:line="240" w:after="0"/>
              <w:jc w:val="right"/>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2,50%</w:t>
            </w:r>
          </w:p>
        </w:tc>
        <w:tc>
          <w:tcPr>
            <w:tcW w:type="dxa" w:w="1154"/>
            <w:tcBorders>
              <w:top w:space="0" w:sz="4" w:color="auto" w:val="single"/>
              <w:left w:val="nil"/>
              <w:bottom w:val="nil"/>
              <w:right w:space="0" w:sz="4" w:color="auto" w:val="single"/>
            </w:tcBorders>
            <w:noWrap/>
            <w:vAlign w:val="center"/>
            <w:hideMark/>
          </w:tcPr>
          <w:p w:rsidRDefault="001E3364" w:rsidR="001E3364">
            <w:pPr>
              <w:spacing w:lineRule="auto" w:line="240" w:after="0"/>
              <w:jc w:val="right"/>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24 mjeseca</w:t>
            </w:r>
          </w:p>
        </w:tc>
        <w:tc>
          <w:tcPr>
            <w:tcW w:type="dxa" w:w="1399"/>
            <w:gridSpan w:val="2"/>
            <w:tcBorders>
              <w:top w:space="0" w:sz="4" w:color="auto" w:val="single"/>
              <w:left w:val="nil"/>
              <w:bottom w:space="0" w:sz="4" w:color="auto" w:val="single"/>
              <w:right w:space="0" w:sz="4" w:color="auto" w:val="single"/>
            </w:tcBorders>
            <w:hideMark/>
          </w:tcPr>
          <w:p w:rsidRDefault="001E3364" w:rsidR="001E3364">
            <w:pPr>
              <w:rPr>
                <w:rFonts w:cs="Calibri" w:hAnsi="Calibri" w:ascii="Calibri"/>
                <w:color w:val="000000"/>
                <w:sz w:val="16"/>
                <w:szCs w:val="16"/>
              </w:rPr>
            </w:pPr>
            <w:r>
              <w:rPr>
                <w:rFonts w:cs="Calibri" w:hAnsi="Calibri" w:ascii="Calibri"/>
                <w:color w:val="000000"/>
                <w:sz w:val="16"/>
                <w:szCs w:val="16"/>
              </w:rPr>
              <w:t>96.473,15 kn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plus 2,5% kamate na preostalu glavnicu</w:t>
            </w:r>
          </w:p>
        </w:tc>
        <w:tc>
          <w:tcPr>
            <w:tcW w:type="dxa" w:w="8292"/>
            <w:gridSpan w:val="2"/>
            <w:tcBorders>
              <w:top w:space="0" w:sz="4" w:color="auto" w:val="single"/>
              <w:left w:space="0" w:sz="4" w:color="auto" w:val="single"/>
              <w:bottom w:val="nil"/>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kreditnih obveza razlučnih vjerovnika s pravom odvojenoga namirenja na dulji rok i uz smanjenje visine trenutne kamatne stope (uz zadržavanje postojećih instrumenata osiguranja i zaštitnih mehanizama u vidu postojećih valutnih klauzula)</w:t>
            </w:r>
            <w:r>
              <w:rPr>
                <w:rFonts w:cs="Calibri" w:eastAsia="Times New Roman" w:hAnsi="Calibri" w:ascii="Calibri"/>
                <w:color w:val="000000"/>
                <w:sz w:val="16"/>
                <w:szCs w:val="16"/>
                <w:lang w:eastAsia="hr-HR"/>
              </w:rPr>
              <w:t xml:space="preserve">, na sljedeći način: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o 100% namirenje ukupno utvrđenih tražbina na ime glavnice, redovne i zatezne kamate - pripis glavnici tražbina na ime redovnih i zateznih kamata, te reprogram, odnosno produljenje roka otplate tražbina na rok od 9 godina (poček od 24 mjeseca plus 7 godina otplate), u 28 kvartalnih rata, uvećano za fiksnu godišnju kamatnu stopu od 2,5% koja se obračunava i za vrijeme počeka,</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val="nil"/>
              <w:right w:space="0" w:sz="4" w:color="auto" w:val="single"/>
            </w:tcBorders>
            <w:noWrap/>
            <w:vAlign w:val="center"/>
            <w:hideMark/>
          </w:tcPr>
          <w:p w:rsidRDefault="001E3364" w:rsidR="001E3364">
            <w:pPr>
              <w:spacing w:after="0"/>
              <w:rPr>
                <w:rFonts w:cs="Calibri" w:hAnsi="Calibri" w:ascii="Calibri"/>
                <w:color w:val="000000"/>
                <w:sz w:val="16"/>
                <w:szCs w:val="16"/>
              </w:rPr>
            </w:pPr>
            <w:r>
              <w:rPr>
                <w:rFonts w:cs="Calibri" w:hAnsi="Calibri" w:ascii="Calibri"/>
                <w:color w:val="000000"/>
                <w:sz w:val="16"/>
                <w:szCs w:val="16"/>
              </w:rPr>
              <w:t> </w:t>
            </w:r>
          </w:p>
        </w:tc>
        <w:tc>
          <w:tcPr>
            <w:tcW w:type="dxa" w:w="2019"/>
            <w:tcBorders>
              <w:top w:space="0" w:sz="4" w:color="auto" w:val="single"/>
              <w:left w:val="nil"/>
              <w:bottom w:val="nil"/>
              <w:right w:space="0" w:sz="4" w:color="auto" w:val="single"/>
            </w:tcBorders>
            <w:vAlign w:val="center"/>
            <w:hideMark/>
          </w:tcPr>
          <w:p w:rsidRDefault="001E3364" w:rsidR="001E3364">
            <w:pPr>
              <w:spacing w:after="0"/>
              <w:jc w:val="center"/>
              <w:rPr>
                <w:rFonts w:cs="Calibri" w:hAnsi="Calibri" w:ascii="Calibri"/>
                <w:color w:val="000000"/>
                <w:sz w:val="16"/>
                <w:szCs w:val="16"/>
              </w:rPr>
            </w:pPr>
            <w:r>
              <w:rPr>
                <w:rFonts w:cs="Calibri" w:hAnsi="Calibri" w:ascii="Calibri"/>
                <w:color w:val="000000"/>
                <w:sz w:val="16"/>
                <w:szCs w:val="16"/>
              </w:rPr>
              <w:t> UKUPNO</w:t>
            </w:r>
          </w:p>
        </w:tc>
        <w:tc>
          <w:tcPr>
            <w:tcW w:type="dxa" w:w="1154"/>
            <w:gridSpan w:val="2"/>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b/>
                <w:bCs/>
                <w:color w:val="000000"/>
                <w:sz w:val="16"/>
                <w:szCs w:val="16"/>
              </w:rPr>
            </w:pPr>
            <w:r>
              <w:rPr>
                <w:rFonts w:cs="Calibri" w:hAnsi="Calibri" w:ascii="Calibri"/>
                <w:b/>
                <w:bCs/>
                <w:color w:val="000000"/>
                <w:sz w:val="16"/>
                <w:szCs w:val="16"/>
              </w:rPr>
              <w:t>68.230.849,84</w:t>
            </w:r>
          </w:p>
        </w:tc>
        <w:tc>
          <w:tcPr>
            <w:tcW w:type="dxa" w:w="1101"/>
            <w:gridSpan w:val="2"/>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b/>
                <w:bCs/>
                <w:color w:val="000000"/>
                <w:sz w:val="16"/>
                <w:szCs w:val="16"/>
              </w:rPr>
            </w:pPr>
            <w:r>
              <w:rPr>
                <w:rFonts w:cs="Calibri" w:hAnsi="Calibri" w:ascii="Calibri"/>
                <w:b/>
                <w:bCs/>
                <w:color w:val="000000"/>
                <w:sz w:val="16"/>
                <w:szCs w:val="16"/>
              </w:rPr>
              <w:t>401.869,27</w:t>
            </w:r>
          </w:p>
        </w:tc>
        <w:tc>
          <w:tcPr>
            <w:tcW w:type="dxa" w:w="1236"/>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b/>
                <w:bCs/>
                <w:color w:val="000000"/>
                <w:sz w:val="16"/>
                <w:szCs w:val="16"/>
              </w:rPr>
            </w:pPr>
            <w:r>
              <w:rPr>
                <w:rFonts w:cs="Calibri" w:hAnsi="Calibri" w:ascii="Calibri"/>
                <w:b/>
                <w:bCs/>
                <w:color w:val="000000"/>
                <w:sz w:val="16"/>
                <w:szCs w:val="16"/>
              </w:rPr>
              <w:t>285.213,71</w:t>
            </w:r>
          </w:p>
        </w:tc>
        <w:tc>
          <w:tcPr>
            <w:tcW w:type="dxa" w:w="1235"/>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b/>
                <w:bCs/>
                <w:color w:val="000000"/>
                <w:sz w:val="16"/>
                <w:szCs w:val="16"/>
              </w:rPr>
            </w:pPr>
            <w:r>
              <w:rPr>
                <w:rFonts w:cs="Calibri" w:hAnsi="Calibri" w:ascii="Calibri"/>
                <w:b/>
                <w:bCs/>
                <w:color w:val="000000"/>
                <w:sz w:val="16"/>
                <w:szCs w:val="16"/>
              </w:rPr>
              <w:t>68.917.932,82</w:t>
            </w:r>
          </w:p>
        </w:tc>
        <w:tc>
          <w:tcPr>
            <w:tcW w:type="dxa" w:w="1235"/>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b/>
                <w:bCs/>
                <w:color w:val="000000"/>
                <w:sz w:val="16"/>
                <w:szCs w:val="16"/>
              </w:rPr>
            </w:pPr>
            <w:r>
              <w:rPr>
                <w:rFonts w:cs="Calibri" w:hAnsi="Calibri" w:ascii="Calibri"/>
                <w:b/>
                <w:bCs/>
                <w:color w:val="000000"/>
                <w:sz w:val="16"/>
                <w:szCs w:val="16"/>
              </w:rPr>
              <w:t>68.917.932,82</w:t>
            </w:r>
          </w:p>
        </w:tc>
        <w:tc>
          <w:tcPr>
            <w:tcW w:type="dxa" w:w="971"/>
            <w:tcBorders>
              <w:top w:space="0" w:sz="4" w:color="auto" w:val="single"/>
              <w:left w:val="nil"/>
              <w:bottom w:val="nil"/>
              <w:right w:space="0" w:sz="4" w:color="auto" w:val="single"/>
            </w:tcBorders>
            <w:vAlign w:val="center"/>
          </w:tcPr>
          <w:p w:rsidRDefault="001E3364" w:rsidR="001E3364">
            <w:pPr>
              <w:spacing w:lineRule="auto" w:line="240" w:after="0"/>
              <w:rPr>
                <w:rFonts w:cs="Calibri" w:eastAsia="Times New Roman" w:hAnsi="Calibri" w:ascii="Calibri"/>
                <w:b/>
                <w:bCs/>
                <w:color w:val="000000"/>
                <w:sz w:val="16"/>
                <w:szCs w:val="16"/>
                <w:lang w:eastAsia="hr-HR"/>
              </w:rPr>
            </w:pPr>
          </w:p>
        </w:tc>
        <w:tc>
          <w:tcPr>
            <w:tcW w:type="dxa" w:w="812"/>
            <w:tcBorders>
              <w:top w:space="0" w:sz="4" w:color="auto" w:val="single"/>
              <w:left w:val="nil"/>
              <w:bottom w:val="nil"/>
              <w:right w:space="0" w:sz="4" w:color="auto" w:val="single"/>
            </w:tcBorders>
            <w:noWrap/>
            <w:vAlign w:val="center"/>
          </w:tcPr>
          <w:p w:rsidRDefault="001E3364" w:rsidR="001E3364">
            <w:pPr>
              <w:spacing w:lineRule="auto" w:line="240" w:after="0"/>
              <w:jc w:val="right"/>
              <w:rPr>
                <w:rFonts w:cs="Calibri" w:eastAsia="Times New Roman" w:hAnsi="Calibri" w:ascii="Calibri"/>
                <w:b/>
                <w:bCs/>
                <w:color w:val="000000"/>
                <w:sz w:val="16"/>
                <w:szCs w:val="16"/>
                <w:lang w:eastAsia="hr-HR"/>
              </w:rPr>
            </w:pPr>
          </w:p>
        </w:tc>
        <w:tc>
          <w:tcPr>
            <w:tcW w:type="dxa" w:w="1154"/>
            <w:tcBorders>
              <w:top w:space="0" w:sz="4" w:color="auto" w:val="single"/>
              <w:left w:val="nil"/>
              <w:bottom w:val="nil"/>
              <w:right w:space="0" w:sz="4" w:color="auto" w:val="single"/>
            </w:tcBorders>
            <w:noWrap/>
            <w:vAlign w:val="center"/>
          </w:tcPr>
          <w:p w:rsidRDefault="001E3364" w:rsidR="001E3364">
            <w:pPr>
              <w:spacing w:lineRule="auto" w:line="240" w:after="0"/>
              <w:jc w:val="right"/>
              <w:rPr>
                <w:rFonts w:cs="Calibri" w:eastAsia="Times New Roman" w:hAnsi="Calibri" w:ascii="Calibri"/>
                <w:b/>
                <w:bCs/>
                <w:color w:val="000000"/>
                <w:sz w:val="16"/>
                <w:szCs w:val="16"/>
                <w:lang w:eastAsia="hr-HR"/>
              </w:rPr>
            </w:pPr>
          </w:p>
        </w:tc>
        <w:tc>
          <w:tcPr>
            <w:tcW w:type="dxa" w:w="1399"/>
            <w:gridSpan w:val="2"/>
            <w:tcBorders>
              <w:top w:space="0" w:sz="4" w:color="auto" w:val="single"/>
              <w:left w:val="nil"/>
              <w:bottom w:space="0" w:sz="4" w:color="auto" w:val="single"/>
              <w:right w:space="0" w:sz="4" w:color="auto" w:val="single"/>
            </w:tcBorders>
          </w:tcPr>
          <w:p w:rsidRDefault="001E3364" w:rsidR="001E3364">
            <w:pPr>
              <w:spacing w:lineRule="auto" w:line="240" w:after="0"/>
              <w:rPr>
                <w:rFonts w:cs="Calibri" w:eastAsia="Times New Roman" w:hAnsi="Calibri" w:ascii="Calibri"/>
                <w:color w:val="000000"/>
                <w:sz w:val="16"/>
                <w:szCs w:val="16"/>
                <w:lang w:eastAsia="hr-HR"/>
              </w:rPr>
            </w:pPr>
          </w:p>
        </w:tc>
        <w:tc>
          <w:tcPr>
            <w:tcW w:type="dxa" w:w="8292"/>
            <w:gridSpan w:val="2"/>
            <w:tcBorders>
              <w:top w:space="0" w:sz="4" w:color="auto" w:val="single"/>
              <w:left w:space="0" w:sz="4" w:color="auto" w:val="single"/>
              <w:bottom w:val="nil"/>
              <w:right w:space="0" w:sz="4" w:color="auto" w:val="single"/>
            </w:tcBorders>
            <w:vAlign w:val="center"/>
          </w:tcPr>
          <w:p w:rsidRDefault="001E3364" w:rsidR="001E3364">
            <w:pPr>
              <w:spacing w:lineRule="auto" w:line="240" w:after="0"/>
              <w:rPr>
                <w:rFonts w:cs="Calibri" w:eastAsia="Times New Roman" w:hAnsi="Calibri" w:ascii="Calibri"/>
                <w:color w:val="000000"/>
                <w:sz w:val="16"/>
                <w:szCs w:val="16"/>
                <w:lang w:eastAsia="hr-HR"/>
              </w:rPr>
            </w:pPr>
          </w:p>
        </w:tc>
      </w:tr>
      <w:tr w:rsidTr="001E3364" w:rsidR="001E3364">
        <w:trPr>
          <w:trHeight w:val="20"/>
        </w:trPr>
        <w:tc>
          <w:tcPr>
            <w:tcW w:type="dxa" w:w="323"/>
            <w:tcBorders>
              <w:top w:space="0" w:sz="4" w:color="auto" w:val="single"/>
              <w:left w:space="0" w:sz="4" w:color="auto" w:val="single"/>
              <w:bottom w:space="0" w:sz="4" w:color="auto" w:val="single"/>
              <w:right w:space="0" w:sz="4" w:color="auto" w:val="single"/>
            </w:tcBorders>
          </w:tcPr>
          <w:p w:rsidRDefault="001E3364" w:rsidR="001E3364">
            <w:pPr>
              <w:spacing w:lineRule="auto" w:line="240" w:after="0"/>
              <w:jc w:val="both"/>
              <w:rPr>
                <w:rFonts w:cs="Calibri" w:eastAsia="Times New Roman" w:hAnsi="Calibri" w:ascii="Calibri"/>
                <w:b/>
                <w:bCs/>
                <w:color w:val="000000"/>
                <w:sz w:val="16"/>
                <w:szCs w:val="16"/>
                <w:lang w:eastAsia="hr-HR"/>
              </w:rPr>
            </w:pPr>
          </w:p>
        </w:tc>
        <w:tc>
          <w:tcPr>
            <w:tcW w:type="dxa" w:w="21355"/>
            <w:gridSpan w:val="17"/>
            <w:tcBorders>
              <w:top w:space="0" w:sz="4" w:color="auto" w:val="single"/>
              <w:left w:space="0" w:sz="4" w:color="auto" w:val="single"/>
              <w:bottom w:space="0" w:sz="4" w:color="auto" w:val="single"/>
              <w:right w:space="0" w:sz="4" w:color="auto" w:val="single"/>
            </w:tcBorders>
            <w:noWrap/>
            <w:vAlign w:val="bottom"/>
            <w:hideMark/>
          </w:tcPr>
          <w:p w:rsidRDefault="001E3364" w:rsidR="001E3364">
            <w:pPr>
              <w:spacing w:lineRule="auto" w:line="240" w:after="0"/>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2. Izlučni vjerovnici </w:t>
            </w:r>
          </w:p>
        </w:tc>
      </w:tr>
      <w:tr w:rsidTr="001E3364" w:rsidR="001E3364">
        <w:trPr>
          <w:gridAfter w:val="1"/>
          <w:wAfter w:type="dxa" w:w="10"/>
          <w:trHeight w:val="20"/>
        </w:trPr>
        <w:tc>
          <w:tcPr>
            <w:tcW w:type="dxa" w:w="1060"/>
            <w:gridSpan w:val="2"/>
            <w:tcBorders>
              <w:top w:val="nil"/>
              <w:left w:space="0" w:sz="4" w:color="auto" w:val="single"/>
              <w:bottom w:val="nil"/>
              <w:right w:space="0" w:sz="4" w:color="auto" w:val="single"/>
            </w:tcBorders>
            <w:noWrap/>
            <w:vAlign w:val="center"/>
            <w:hideMark/>
          </w:tcPr>
          <w:p w:rsidRDefault="001E3364" w:rsidR="001E3364">
            <w:pPr>
              <w:spacing w:lineRule="auto" w:line="240" w:after="0"/>
              <w:jc w:val="right"/>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1</w:t>
            </w:r>
          </w:p>
        </w:tc>
        <w:tc>
          <w:tcPr>
            <w:tcW w:type="dxa" w:w="2019"/>
            <w:tcBorders>
              <w:top w:val="nil"/>
              <w:left w:val="nil"/>
              <w:bottom w:val="nil"/>
              <w:right w:space="0" w:sz="4" w:color="auto" w:val="single"/>
            </w:tcBorders>
            <w:vAlign w:val="center"/>
            <w:hideMark/>
          </w:tcPr>
          <w:p w:rsidRDefault="001E3364" w:rsidR="001E3364">
            <w:pPr>
              <w:spacing w:lineRule="auto" w:line="240" w:after="0"/>
              <w:jc w:val="center"/>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SB LEASING d.o.o., OIB:08745792574, Ulica grada Vukovara 284, 10000 ZAGREB</w:t>
            </w:r>
          </w:p>
        </w:tc>
        <w:tc>
          <w:tcPr>
            <w:tcW w:type="dxa" w:w="1154"/>
            <w:gridSpan w:val="2"/>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color w:val="000000"/>
                <w:sz w:val="16"/>
                <w:szCs w:val="16"/>
              </w:rPr>
            </w:pPr>
            <w:r>
              <w:rPr>
                <w:rFonts w:cs="Calibri" w:hAnsi="Calibri" w:ascii="Calibri"/>
                <w:color w:val="000000"/>
                <w:sz w:val="16"/>
                <w:szCs w:val="16"/>
              </w:rPr>
              <w:t>305.378,23</w:t>
            </w:r>
          </w:p>
        </w:tc>
        <w:tc>
          <w:tcPr>
            <w:tcW w:type="dxa" w:w="1101"/>
            <w:gridSpan w:val="2"/>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color w:val="000000"/>
                <w:sz w:val="16"/>
                <w:szCs w:val="16"/>
              </w:rPr>
            </w:pPr>
            <w:r>
              <w:rPr>
                <w:rFonts w:cs="Calibri" w:hAnsi="Calibri" w:ascii="Calibri"/>
                <w:color w:val="000000"/>
                <w:sz w:val="16"/>
                <w:szCs w:val="16"/>
              </w:rPr>
              <w:t> </w:t>
            </w:r>
          </w:p>
        </w:tc>
        <w:tc>
          <w:tcPr>
            <w:tcW w:type="dxa" w:w="1236"/>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b/>
                <w:bCs/>
                <w:color w:val="000000"/>
                <w:sz w:val="16"/>
                <w:szCs w:val="16"/>
              </w:rPr>
            </w:pPr>
            <w:r>
              <w:rPr>
                <w:rFonts w:cs="Calibri" w:hAnsi="Calibri" w:ascii="Calibri"/>
                <w:b/>
                <w:bCs/>
                <w:color w:val="000000"/>
                <w:sz w:val="16"/>
                <w:szCs w:val="16"/>
              </w:rPr>
              <w:t>305.378,23</w:t>
            </w:r>
          </w:p>
        </w:tc>
        <w:tc>
          <w:tcPr>
            <w:tcW w:type="dxa" w:w="1235"/>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b/>
                <w:bCs/>
                <w:color w:val="000000"/>
                <w:sz w:val="16"/>
                <w:szCs w:val="16"/>
              </w:rPr>
            </w:pPr>
            <w:r>
              <w:rPr>
                <w:rFonts w:cs="Calibri" w:hAnsi="Calibri" w:ascii="Calibri"/>
                <w:b/>
                <w:bCs/>
                <w:color w:val="000000"/>
                <w:sz w:val="16"/>
                <w:szCs w:val="16"/>
              </w:rPr>
              <w:t>305.378,23</w:t>
            </w:r>
          </w:p>
        </w:tc>
        <w:tc>
          <w:tcPr>
            <w:tcW w:type="dxa" w:w="4336"/>
            <w:gridSpan w:val="5"/>
            <w:tcBorders>
              <w:top w:val="nil"/>
              <w:left w:val="nil"/>
              <w:bottom w:val="nil"/>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hAnsi="Calibri" w:ascii="Calibri"/>
                <w:b/>
                <w:color w:val="000000"/>
                <w:sz w:val="16"/>
                <w:szCs w:val="16"/>
              </w:rPr>
              <w:t>Prema inicijalno ugovorenim uvjetima</w:t>
            </w:r>
          </w:p>
        </w:tc>
        <w:tc>
          <w:tcPr>
            <w:tcW w:type="dxa" w:w="8292"/>
            <w:gridSpan w:val="2"/>
            <w:tcBorders>
              <w:top w:val="nil"/>
              <w:left w:space="0" w:sz="4" w:color="auto" w:val="single"/>
              <w:bottom w:val="nil"/>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o 100% namirenje prema inicijalno ugovorenim uvjetima</w:t>
            </w:r>
          </w:p>
        </w:tc>
      </w:tr>
      <w:tr w:rsidTr="001E3364" w:rsidR="001E3364">
        <w:trPr>
          <w:gridAfter w:val="1"/>
          <w:wAfter w:type="dxa" w:w="10"/>
          <w:trHeight w:val="20"/>
        </w:trPr>
        <w:tc>
          <w:tcPr>
            <w:tcW w:type="dxa" w:w="1060"/>
            <w:gridSpan w:val="2"/>
            <w:tcBorders>
              <w:top w:space="0" w:sz="4" w:color="auto" w:val="single"/>
              <w:left w:space="0" w:sz="4" w:color="auto" w:val="single"/>
              <w:bottom w:val="nil"/>
              <w:right w:space="0" w:sz="4" w:color="auto" w:val="single"/>
            </w:tcBorders>
            <w:noWrap/>
            <w:vAlign w:val="center"/>
            <w:hideMark/>
          </w:tcPr>
          <w:p w:rsidRDefault="001E3364" w:rsidR="001E3364">
            <w:pPr>
              <w:spacing w:lineRule="auto" w:line="240" w:after="0"/>
              <w:jc w:val="right"/>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2</w:t>
            </w:r>
          </w:p>
        </w:tc>
        <w:tc>
          <w:tcPr>
            <w:tcW w:type="dxa" w:w="2019"/>
            <w:tcBorders>
              <w:top w:space="0" w:sz="4" w:color="auto" w:val="single"/>
              <w:left w:val="nil"/>
              <w:bottom w:val="nil"/>
              <w:right w:space="0" w:sz="4" w:color="auto" w:val="single"/>
            </w:tcBorders>
            <w:vAlign w:val="center"/>
            <w:hideMark/>
          </w:tcPr>
          <w:p w:rsidRDefault="001E3364" w:rsidR="001E3364">
            <w:pPr>
              <w:spacing w:lineRule="auto" w:line="240" w:after="0"/>
              <w:jc w:val="center"/>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ERSTE &amp; ST. S-LEASING, OIB:46550671661, ZELINSKA 3, 10000 ZAGREB</w:t>
            </w:r>
          </w:p>
        </w:tc>
        <w:tc>
          <w:tcPr>
            <w:tcW w:type="dxa" w:w="1154"/>
            <w:gridSpan w:val="2"/>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color w:val="000000"/>
                <w:sz w:val="16"/>
                <w:szCs w:val="16"/>
              </w:rPr>
            </w:pPr>
            <w:r>
              <w:rPr>
                <w:rFonts w:cs="Calibri" w:hAnsi="Calibri" w:ascii="Calibri"/>
                <w:color w:val="000000"/>
                <w:sz w:val="16"/>
                <w:szCs w:val="16"/>
              </w:rPr>
              <w:t>545.726,08</w:t>
            </w:r>
          </w:p>
        </w:tc>
        <w:tc>
          <w:tcPr>
            <w:tcW w:type="dxa" w:w="1101"/>
            <w:gridSpan w:val="2"/>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color w:val="000000"/>
                <w:sz w:val="16"/>
                <w:szCs w:val="16"/>
              </w:rPr>
            </w:pPr>
            <w:r>
              <w:rPr>
                <w:rFonts w:cs="Calibri" w:hAnsi="Calibri" w:ascii="Calibri"/>
                <w:color w:val="000000"/>
                <w:sz w:val="16"/>
                <w:szCs w:val="16"/>
              </w:rPr>
              <w:t> </w:t>
            </w:r>
          </w:p>
        </w:tc>
        <w:tc>
          <w:tcPr>
            <w:tcW w:type="dxa" w:w="1236"/>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b/>
                <w:bCs/>
                <w:color w:val="000000"/>
                <w:sz w:val="16"/>
                <w:szCs w:val="16"/>
              </w:rPr>
            </w:pPr>
            <w:r>
              <w:rPr>
                <w:rFonts w:cs="Calibri" w:hAnsi="Calibri" w:ascii="Calibri"/>
                <w:b/>
                <w:bCs/>
                <w:color w:val="000000"/>
                <w:sz w:val="16"/>
                <w:szCs w:val="16"/>
              </w:rPr>
              <w:t>545.726,08</w:t>
            </w:r>
          </w:p>
        </w:tc>
        <w:tc>
          <w:tcPr>
            <w:tcW w:type="dxa" w:w="1235"/>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b/>
                <w:bCs/>
                <w:color w:val="000000"/>
                <w:sz w:val="16"/>
                <w:szCs w:val="16"/>
              </w:rPr>
            </w:pPr>
            <w:r>
              <w:rPr>
                <w:rFonts w:cs="Calibri" w:hAnsi="Calibri" w:ascii="Calibri"/>
                <w:b/>
                <w:bCs/>
                <w:color w:val="000000"/>
                <w:sz w:val="16"/>
                <w:szCs w:val="16"/>
              </w:rPr>
              <w:t>545.726,08</w:t>
            </w:r>
          </w:p>
        </w:tc>
        <w:tc>
          <w:tcPr>
            <w:tcW w:type="dxa" w:w="4336"/>
            <w:gridSpan w:val="5"/>
            <w:tcBorders>
              <w:top w:space="0" w:sz="4" w:color="auto" w:val="single"/>
              <w:left w:val="nil"/>
              <w:bottom w:val="nil"/>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hAnsi="Calibri" w:ascii="Calibri"/>
                <w:b/>
                <w:color w:val="000000"/>
                <w:sz w:val="16"/>
                <w:szCs w:val="16"/>
              </w:rPr>
              <w:t>Prema inicijalno ugovorenim uvjetima</w:t>
            </w:r>
          </w:p>
        </w:tc>
        <w:tc>
          <w:tcPr>
            <w:tcW w:type="dxa" w:w="8292"/>
            <w:gridSpan w:val="2"/>
            <w:tcBorders>
              <w:top w:space="0" w:sz="4" w:color="auto" w:val="single"/>
              <w:left w:space="0" w:sz="4" w:color="auto" w:val="single"/>
              <w:bottom w:val="nil"/>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o 100% namirenje prema inicijalno ugovorenim uvjetima</w:t>
            </w:r>
          </w:p>
        </w:tc>
      </w:tr>
      <w:tr w:rsidTr="001E3364" w:rsidR="001E3364">
        <w:trPr>
          <w:gridAfter w:val="1"/>
          <w:wAfter w:type="dxa" w:w="10"/>
          <w:trHeight w:val="20"/>
        </w:trPr>
        <w:tc>
          <w:tcPr>
            <w:tcW w:type="dxa" w:w="1060"/>
            <w:gridSpan w:val="2"/>
            <w:tcBorders>
              <w:top w:space="0" w:sz="4" w:color="auto" w:val="single"/>
              <w:left w:space="0" w:sz="4" w:color="auto" w:val="single"/>
              <w:bottom w:val="nil"/>
              <w:right w:space="0" w:sz="4" w:color="auto" w:val="single"/>
            </w:tcBorders>
            <w:noWrap/>
            <w:vAlign w:val="center"/>
            <w:hideMark/>
          </w:tcPr>
          <w:p w:rsidRDefault="001E3364" w:rsidR="001E3364">
            <w:pPr>
              <w:spacing w:lineRule="auto" w:line="240" w:after="0"/>
              <w:jc w:val="right"/>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3</w:t>
            </w:r>
          </w:p>
        </w:tc>
        <w:tc>
          <w:tcPr>
            <w:tcW w:type="dxa" w:w="2019"/>
            <w:tcBorders>
              <w:top w:space="0" w:sz="4" w:color="auto" w:val="single"/>
              <w:left w:val="nil"/>
              <w:bottom w:val="nil"/>
              <w:right w:space="0" w:sz="4" w:color="auto" w:val="single"/>
            </w:tcBorders>
            <w:vAlign w:val="center"/>
            <w:hideMark/>
          </w:tcPr>
          <w:p w:rsidRDefault="001E3364" w:rsidR="001E3364">
            <w:pPr>
              <w:spacing w:lineRule="auto" w:line="240" w:after="0"/>
              <w:jc w:val="center"/>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RAIFFEISEN LEASING d.o.o., OIB:75346450537, Radnička cesta 43, 10000 ZAGREB</w:t>
            </w:r>
          </w:p>
        </w:tc>
        <w:tc>
          <w:tcPr>
            <w:tcW w:type="dxa" w:w="1154"/>
            <w:gridSpan w:val="2"/>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color w:val="000000"/>
                <w:sz w:val="16"/>
                <w:szCs w:val="16"/>
              </w:rPr>
            </w:pPr>
            <w:r>
              <w:rPr>
                <w:rFonts w:cs="Calibri" w:hAnsi="Calibri" w:ascii="Calibri"/>
                <w:color w:val="000000"/>
                <w:sz w:val="16"/>
                <w:szCs w:val="16"/>
              </w:rPr>
              <w:t>984.648,10</w:t>
            </w:r>
          </w:p>
        </w:tc>
        <w:tc>
          <w:tcPr>
            <w:tcW w:type="dxa" w:w="1101"/>
            <w:gridSpan w:val="2"/>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color w:val="000000"/>
                <w:sz w:val="16"/>
                <w:szCs w:val="16"/>
              </w:rPr>
            </w:pPr>
            <w:r>
              <w:rPr>
                <w:rFonts w:cs="Calibri" w:hAnsi="Calibri" w:ascii="Calibri"/>
                <w:color w:val="000000"/>
                <w:sz w:val="16"/>
                <w:szCs w:val="16"/>
              </w:rPr>
              <w:t> </w:t>
            </w:r>
          </w:p>
        </w:tc>
        <w:tc>
          <w:tcPr>
            <w:tcW w:type="dxa" w:w="1236"/>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b/>
                <w:bCs/>
                <w:color w:val="000000"/>
                <w:sz w:val="16"/>
                <w:szCs w:val="16"/>
              </w:rPr>
            </w:pPr>
            <w:r>
              <w:rPr>
                <w:rFonts w:cs="Calibri" w:hAnsi="Calibri" w:ascii="Calibri"/>
                <w:b/>
                <w:bCs/>
                <w:color w:val="000000"/>
                <w:sz w:val="16"/>
                <w:szCs w:val="16"/>
              </w:rPr>
              <w:t>984.648,10</w:t>
            </w:r>
          </w:p>
        </w:tc>
        <w:tc>
          <w:tcPr>
            <w:tcW w:type="dxa" w:w="1235"/>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b/>
                <w:bCs/>
                <w:color w:val="000000"/>
                <w:sz w:val="16"/>
                <w:szCs w:val="16"/>
              </w:rPr>
            </w:pPr>
            <w:r>
              <w:rPr>
                <w:rFonts w:cs="Calibri" w:hAnsi="Calibri" w:ascii="Calibri"/>
                <w:b/>
                <w:bCs/>
                <w:color w:val="000000"/>
                <w:sz w:val="16"/>
                <w:szCs w:val="16"/>
              </w:rPr>
              <w:t>984.648,10</w:t>
            </w:r>
          </w:p>
        </w:tc>
        <w:tc>
          <w:tcPr>
            <w:tcW w:type="dxa" w:w="4336"/>
            <w:gridSpan w:val="5"/>
            <w:tcBorders>
              <w:top w:space="0" w:sz="4" w:color="auto" w:val="single"/>
              <w:left w:val="nil"/>
              <w:bottom w:val="nil"/>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hAnsi="Calibri" w:ascii="Calibri"/>
                <w:b/>
                <w:color w:val="000000"/>
                <w:sz w:val="16"/>
                <w:szCs w:val="16"/>
              </w:rPr>
              <w:t>Prema inicijalno ugovorenim uvjetima</w:t>
            </w:r>
          </w:p>
        </w:tc>
        <w:tc>
          <w:tcPr>
            <w:tcW w:type="dxa" w:w="8292"/>
            <w:gridSpan w:val="2"/>
            <w:tcBorders>
              <w:top w:space="0" w:sz="4" w:color="auto" w:val="single"/>
              <w:left w:space="0" w:sz="4" w:color="auto" w:val="single"/>
              <w:bottom w:val="nil"/>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o 100% namirenje prema inicijalno ugovorenim uvjetima</w:t>
            </w:r>
          </w:p>
        </w:tc>
      </w:tr>
      <w:tr w:rsidTr="001E3364" w:rsidR="001E3364">
        <w:trPr>
          <w:gridAfter w:val="1"/>
          <w:wAfter w:type="dxa" w:w="10"/>
          <w:trHeight w:val="20"/>
        </w:trPr>
        <w:tc>
          <w:tcPr>
            <w:tcW w:type="dxa" w:w="1060"/>
            <w:gridSpan w:val="2"/>
            <w:tcBorders>
              <w:top w:space="0" w:sz="4" w:color="auto" w:val="single"/>
              <w:left w:space="0" w:sz="4" w:color="auto" w:val="single"/>
              <w:bottom w:val="nil"/>
              <w:right w:space="0" w:sz="4" w:color="auto" w:val="single"/>
            </w:tcBorders>
            <w:noWrap/>
            <w:vAlign w:val="center"/>
          </w:tcPr>
          <w:p w:rsidRDefault="001E3364" w:rsidR="001E3364">
            <w:pPr>
              <w:spacing w:lineRule="auto" w:line="240" w:after="0"/>
              <w:jc w:val="right"/>
              <w:rPr>
                <w:rFonts w:cs="Calibri" w:eastAsia="Times New Roman" w:hAnsi="Calibri" w:ascii="Calibri"/>
                <w:color w:val="000000"/>
                <w:sz w:val="16"/>
                <w:szCs w:val="16"/>
                <w:lang w:eastAsia="hr-HR"/>
              </w:rPr>
            </w:pPr>
          </w:p>
        </w:tc>
        <w:tc>
          <w:tcPr>
            <w:tcW w:type="dxa" w:w="2019"/>
            <w:tcBorders>
              <w:top w:space="0" w:sz="4" w:color="auto" w:val="single"/>
              <w:left w:val="nil"/>
              <w:bottom w:val="nil"/>
              <w:right w:space="0" w:sz="4" w:color="auto" w:val="single"/>
            </w:tcBorders>
            <w:vAlign w:val="center"/>
            <w:hideMark/>
          </w:tcPr>
          <w:p w:rsidRDefault="001E3364" w:rsidR="001E3364">
            <w:pPr>
              <w:spacing w:lineRule="auto" w:line="240" w:after="0"/>
              <w:jc w:val="center"/>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UKUPNO</w:t>
            </w:r>
          </w:p>
        </w:tc>
        <w:tc>
          <w:tcPr>
            <w:tcW w:type="dxa" w:w="1154"/>
            <w:gridSpan w:val="2"/>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b/>
                <w:bCs/>
                <w:color w:val="000000"/>
                <w:sz w:val="16"/>
                <w:szCs w:val="16"/>
              </w:rPr>
            </w:pPr>
            <w:r>
              <w:rPr>
                <w:rFonts w:cs="Calibri" w:hAnsi="Calibri" w:ascii="Calibri"/>
                <w:b/>
                <w:bCs/>
                <w:color w:val="000000"/>
                <w:sz w:val="16"/>
                <w:szCs w:val="16"/>
              </w:rPr>
              <w:t>1.835.752,41</w:t>
            </w:r>
          </w:p>
        </w:tc>
        <w:tc>
          <w:tcPr>
            <w:tcW w:type="dxa" w:w="1101"/>
            <w:gridSpan w:val="2"/>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b/>
                <w:bCs/>
                <w:color w:val="000000"/>
                <w:sz w:val="16"/>
                <w:szCs w:val="16"/>
              </w:rPr>
            </w:pPr>
            <w:r>
              <w:rPr>
                <w:rFonts w:cs="Calibri" w:hAnsi="Calibri" w:ascii="Calibri"/>
                <w:b/>
                <w:bCs/>
                <w:color w:val="000000"/>
                <w:sz w:val="16"/>
                <w:szCs w:val="16"/>
              </w:rPr>
              <w:t> </w:t>
            </w:r>
          </w:p>
        </w:tc>
        <w:tc>
          <w:tcPr>
            <w:tcW w:type="dxa" w:w="1236"/>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b/>
                <w:bCs/>
                <w:color w:val="000000"/>
                <w:sz w:val="16"/>
                <w:szCs w:val="16"/>
              </w:rPr>
            </w:pPr>
            <w:r>
              <w:rPr>
                <w:rFonts w:cs="Calibri" w:hAnsi="Calibri" w:ascii="Calibri"/>
                <w:b/>
                <w:bCs/>
                <w:color w:val="000000"/>
                <w:sz w:val="16"/>
                <w:szCs w:val="16"/>
              </w:rPr>
              <w:t> </w:t>
            </w:r>
          </w:p>
        </w:tc>
        <w:tc>
          <w:tcPr>
            <w:tcW w:type="dxa" w:w="1235"/>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b/>
                <w:bCs/>
                <w:color w:val="000000"/>
                <w:sz w:val="16"/>
                <w:szCs w:val="16"/>
              </w:rPr>
            </w:pPr>
            <w:r>
              <w:rPr>
                <w:rFonts w:cs="Calibri" w:hAnsi="Calibri" w:ascii="Calibri"/>
                <w:b/>
                <w:bCs/>
                <w:color w:val="000000"/>
                <w:sz w:val="16"/>
                <w:szCs w:val="16"/>
              </w:rPr>
              <w:t>1.835.752,41</w:t>
            </w:r>
          </w:p>
        </w:tc>
        <w:tc>
          <w:tcPr>
            <w:tcW w:type="dxa" w:w="1235"/>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b/>
                <w:bCs/>
                <w:color w:val="000000"/>
                <w:sz w:val="16"/>
                <w:szCs w:val="16"/>
              </w:rPr>
            </w:pPr>
            <w:r>
              <w:rPr>
                <w:rFonts w:cs="Calibri" w:hAnsi="Calibri" w:ascii="Calibri"/>
                <w:b/>
                <w:bCs/>
                <w:color w:val="000000"/>
                <w:sz w:val="16"/>
                <w:szCs w:val="16"/>
              </w:rPr>
              <w:t>1.835.752,41</w:t>
            </w:r>
          </w:p>
        </w:tc>
        <w:tc>
          <w:tcPr>
            <w:tcW w:type="dxa" w:w="4336"/>
            <w:gridSpan w:val="5"/>
            <w:tcBorders>
              <w:top w:space="0" w:sz="4" w:color="auto" w:val="single"/>
              <w:left w:val="nil"/>
              <w:bottom w:val="nil"/>
              <w:right w:space="0" w:sz="4" w:color="auto" w:val="single"/>
            </w:tcBorders>
            <w:vAlign w:val="center"/>
          </w:tcPr>
          <w:p w:rsidRDefault="001E3364" w:rsidR="001E3364">
            <w:pPr>
              <w:spacing w:lineRule="auto" w:line="240" w:after="0"/>
              <w:rPr>
                <w:rFonts w:cs="Calibri" w:eastAsia="Times New Roman" w:hAnsi="Calibri" w:ascii="Calibri"/>
                <w:color w:val="000000"/>
                <w:sz w:val="16"/>
                <w:szCs w:val="16"/>
                <w:lang w:eastAsia="hr-HR"/>
              </w:rPr>
            </w:pPr>
          </w:p>
        </w:tc>
        <w:tc>
          <w:tcPr>
            <w:tcW w:type="dxa" w:w="8292"/>
            <w:gridSpan w:val="2"/>
            <w:tcBorders>
              <w:top w:space="0" w:sz="4" w:color="auto" w:val="single"/>
              <w:left w:space="0" w:sz="4" w:color="auto" w:val="single"/>
              <w:bottom w:val="nil"/>
              <w:right w:space="0" w:sz="4" w:color="auto" w:val="single"/>
            </w:tcBorders>
            <w:vAlign w:val="center"/>
          </w:tcPr>
          <w:p w:rsidRDefault="001E3364" w:rsidR="001E3364">
            <w:pPr>
              <w:spacing w:lineRule="auto" w:line="240" w:after="0"/>
              <w:rPr>
                <w:rFonts w:cs="Calibri" w:eastAsia="Times New Roman" w:hAnsi="Calibri" w:ascii="Calibri"/>
                <w:color w:val="000000"/>
                <w:sz w:val="16"/>
                <w:szCs w:val="16"/>
                <w:lang w:eastAsia="hr-HR"/>
              </w:rPr>
            </w:pPr>
          </w:p>
        </w:tc>
      </w:tr>
      <w:tr w:rsidTr="001E3364" w:rsidR="001E3364">
        <w:trPr>
          <w:trHeight w:val="20"/>
        </w:trPr>
        <w:tc>
          <w:tcPr>
            <w:tcW w:type="dxa" w:w="323"/>
            <w:tcBorders>
              <w:top w:space="0" w:sz="4" w:color="auto" w:val="single"/>
              <w:left w:space="0" w:sz="4" w:color="auto" w:val="single"/>
              <w:bottom w:space="0" w:sz="4" w:color="auto" w:val="single"/>
              <w:right w:space="0" w:sz="4" w:color="auto" w:val="single"/>
            </w:tcBorders>
          </w:tcPr>
          <w:p w:rsidRDefault="001E3364" w:rsidR="001E3364">
            <w:pPr>
              <w:spacing w:lineRule="auto" w:line="240" w:after="0"/>
              <w:rPr>
                <w:rFonts w:cs="Calibri" w:eastAsia="Times New Roman" w:hAnsi="Calibri" w:ascii="Calibri"/>
                <w:b/>
                <w:bCs/>
                <w:color w:val="000000"/>
                <w:sz w:val="16"/>
                <w:szCs w:val="16"/>
                <w:lang w:eastAsia="hr-HR"/>
              </w:rPr>
            </w:pPr>
          </w:p>
        </w:tc>
        <w:tc>
          <w:tcPr>
            <w:tcW w:type="dxa" w:w="21355"/>
            <w:gridSpan w:val="17"/>
            <w:tcBorders>
              <w:top w:space="0" w:sz="4" w:color="auto" w:val="single"/>
              <w:left w:space="0" w:sz="4" w:color="auto" w:val="single"/>
              <w:bottom w:space="0" w:sz="4" w:color="auto" w:val="single"/>
              <w:right w:space="0" w:sz="4" w:color="auto" w:val="single"/>
            </w:tcBorders>
            <w:noWrap/>
            <w:vAlign w:val="bottom"/>
            <w:hideMark/>
          </w:tcPr>
          <w:p w:rsidRDefault="001E3364" w:rsidR="001E3364">
            <w:pPr>
              <w:spacing w:lineRule="auto" w:line="240" w:after="0"/>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2. Vjerovnici koji nisu nižeg isplatnog reda </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lastRenderedPageBreak/>
              <w:t>1</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A. MERATI &amp; Co, OIB:00192150126, VIA SILVIO PELLICO 5, 21014 LAVENO MOMBELLO</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1.553.405,53</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1.553.405,53</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1.553.405,53</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129.450,46</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2</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ADMIRAL tisak d.o.o., OIB:13125981371, TOMISLAVOVA 69, 32272 CERNA</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2.073,73</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2.073,73</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2.073,73</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172,81</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3</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ALLIANZ ZAGREB d.d., OIB:23759810849, HEINZELOVA 70, 10000 ZAGREB</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65.634,41</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65.634,41</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65.634,41</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5.469,53</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4</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 xml:space="preserve">ALU PACK PLASTIC d.o.o., OIB: </w:t>
            </w:r>
            <w:r>
              <w:rPr>
                <w:rFonts w:cs="Calibri" w:hAnsi="Calibri" w:ascii="Calibri"/>
                <w:color w:val="000000"/>
                <w:sz w:val="16"/>
                <w:szCs w:val="16"/>
              </w:rPr>
              <w:br/>
              <w:t>95975992825, Slavonska avenija 24 a, 10000 Zagreb</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869.440,75</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869.440,75</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869.440,75</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72.453,40</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5</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Ana Radišić, OIB: 74458596939, Zadvorska 14, Brezovica, 10000 Zagreb</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11.739.940,24</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2.201.755,49</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13.941.695,73</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13.941.695,73</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1.161.807,98</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6</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sz w:val="16"/>
                <w:szCs w:val="16"/>
              </w:rPr>
            </w:pPr>
            <w:r>
              <w:rPr>
                <w:rFonts w:cs="Calibri" w:hAnsi="Calibri" w:ascii="Calibri"/>
                <w:sz w:val="16"/>
                <w:szCs w:val="16"/>
              </w:rPr>
              <w:t>ANTARES REVIZIJA d.o.o., OIB: 52011850372, HENIZELOVA 62A, 10000 ZAGREB</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37.500,00</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37.500,00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37.500,00</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3.125,00</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7</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ARBUROŽA d.o.o., OIB:65785118677, Čiponjac jug 6, 53291 NOVALJA</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274,59</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274,59</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274,59</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22,88</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8</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ASTARTA d.o.o., OIB:73493082524, Doverska 1, 21000 SPLIT</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8.071,95</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8.071,95</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8.071,95</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672,66</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9</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AUTO EXCLUSIVE d.o.o., OIB:16676796187, Mate Broza 5, 10360 SESVETE</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4.014,74</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4.014,74</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4.014,74</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334,56</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10</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 xml:space="preserve">AUTO GAŠPARIĆ d.o.o., OIB:69565927095, Velikogorička c. 19A, 10419 </w:t>
            </w:r>
            <w:r>
              <w:rPr>
                <w:rFonts w:cs="Calibri" w:hAnsi="Calibri" w:ascii="Calibri"/>
                <w:color w:val="000000"/>
                <w:sz w:val="16"/>
                <w:szCs w:val="16"/>
              </w:rPr>
              <w:lastRenderedPageBreak/>
              <w:t>VUKOVINA</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lastRenderedPageBreak/>
              <w:t>535,59</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535,59</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535,59</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44,63</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lastRenderedPageBreak/>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lastRenderedPageBreak/>
              <w:t>11</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AUTO GRIFON d.o.o., OIB:36117467723, Koledovčina 8, 10000 ZAGREB</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485,39</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485,39</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485,39</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40,45</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12</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AUTO-MOTO MANIA d.o.o., OIB:36068233016, Zrinskog Petra 63, 31551 BELIŠĆE</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1.868,25</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1.868,25</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1.868,25</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155,69</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13</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AUTOPRAONICA SZABO, OIB:72083773219, AVENIJA DUBROVNIK 9, 10000 ZAGREB</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694,25</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694,25</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694,25</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57,85</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14</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BANKO TRANSPORT d.o.o., OIB:78169601466, Banki 28 BREČEVIĆI, 52444 TINJAN</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7.732,04</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7.732,04</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7.732,04</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644,34</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15</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BAŽDAR d.o.o., OIB:39895661215, Tina Ujevića 5, 31551 BELIŠĆE</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3.100,00</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3.100,00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3.100,00</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258,33</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16</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BIGRAF d.o.o., OIB:17981771148, Hrvoja Macanovića 1, 10000 ZAGREB</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99.581,79</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99.581,79</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99.581,79</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8.298,48</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17</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BILIĆ-ERIĆ d.o.o., OIB:68580128211, I.F.Gundulića 5, 31000 OSIJEK</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1.730,63</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1.730,63</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1.730,63</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144,22</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18</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BIZ-PLIMA d.o.o., OIB:88755741866, BARANJSKA 10, 10373 IVANJA REKA</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1.326,75</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1.326,75</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1.326,75</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110,56</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19</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BOA PROMOCIJA d.o.o., OIB:22002669291, Tratinska 76, 10000 ZAGREB</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204,75</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204,75</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204,75</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17,06</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lastRenderedPageBreak/>
              <w:t>20</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BRUNNEA d.o.o., OIB:13823464045, Savski gaj 7. put 2a, 10000 ZAGREB</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117.000,00</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117.000,00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117.000,00</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9.750,00</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21</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BUSSCHER HOFFMANN d.o.o., OIB:01633868005, Draganići 16/a, 10000 ZAGREB</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38.956,24</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38.956,24</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38.956,24</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3.246,35</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22</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CARTIERA Di Ferrara S.p.A., OIB:01442090385,VIA MARCONI 69, 44122 FERRARA</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2.198,31</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2.198,31</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2.198,31</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183,19</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23</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CARTIERA FORNACI S.p.a., OIB:03114310125, Via Fornaci 16 , Mailbox 5721054 Fagnano Olona ( VA )</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1.682.312,78</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1.682.312,78</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1.682.312,78</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140.192,73</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24</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CENTAR ZA VOZILA HRVATSKE, OIB:73294314024, CAPRAŠKA 6, 10000 ZAGREB</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1.937,64</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1.937,64</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1.937,64</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161,47</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25</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CHROMOS MB D.D., OIB:46230517303, N.Š. ZRNISKOG BB, 10430 SAMOBOR</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1.451,99</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1.451,99</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1.451,99</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121,00</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26</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CIPRIJANOVIĆ d.o.o., OIB: 71602716836, Bjeljevina bb, 33515 ORAHOVICA</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778,13</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778,13</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778,13</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64,84</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27</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CREDO d.o.o., OIB:90255415493, ULICA JAVORA 12, 31000 OSIJEK</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43.414,13</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43.414,13</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43.414,13</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3.617,84</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28</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CRO EKSPRES d.o.o., OIB:81356145197,V RUDEŠKI OGRANAK 24, 10000 ZAGREB</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64.099,17</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64.099,17</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64.099,17</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5.341,60</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29</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 xml:space="preserve">CROATIA  OSIGURANJE DD, OIB:26187994862, TRG B. </w:t>
            </w:r>
            <w:r>
              <w:rPr>
                <w:rFonts w:cs="Calibri" w:hAnsi="Calibri" w:ascii="Calibri"/>
                <w:color w:val="000000"/>
                <w:sz w:val="16"/>
                <w:szCs w:val="16"/>
              </w:rPr>
              <w:lastRenderedPageBreak/>
              <w:t>JELAČIĆA 1, 10000 ZAGREB</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lastRenderedPageBreak/>
              <w:t>2.272,48</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2.272,48</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2.272,48</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189,37</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lastRenderedPageBreak/>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lastRenderedPageBreak/>
              <w:t>30</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CROMARIS D.D.za marikulturu, OIB:58921608350, TRG TRI BUNARA 5, 23000 ZADAR</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12.001,01</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12.001,01</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12.001,01</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1.000,08</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31</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ČULJAK PROIZVODNJA SPUŽVI,ČETKI I LIČILAČKIH ALATA, OIB:53091835347, Vjekoslava Babukića 12, 35000 SLAVONSKI BROD</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141,95</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141,95</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141,95</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11,83</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32</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DIZMAR d.o.o., OIB:42645058618, Majstorska 5 Savica - Šanci, 10000 ZAGREB</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2.139,74</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2.139,74</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2.139,74</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178,31</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33</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DOMI OBRT ZA VODOINSTAL.USL,VL.DARIO GAJIC, OIB:42910475032, Rušiščak 2/5, 10000 ZAGREB</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1.950,00</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1.950,00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1.950,00</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162,50</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34</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DRENIK d.o.o., OIB:52793468200, Slavonska avenija 24a, 10000 ZAGREB</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1.831.197,97</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1.831.197,97</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1.831.197,97</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152.599,83</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35</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DREZGA d.o.o., OIB: 46535283602, Obrtnička 2, Rakitje, 10437 RAKITJE</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580,00</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580,00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580,00</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48,33</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36</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DS SMITH BELIŠĆE CROATIA d.o.o., OIB:67131617872, VIJENAC S.H.GUTMANNA 30, 31551 BELIŠĆE</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36.309,47</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36.309,47</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36.309,47</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3.025,79</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37</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EDIN-KOM d.o.o., OIB:24478211698, Križna cesta 7, 10000 ZAGREB</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1.000,00</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1.000,00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1.000,00</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83,33</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38</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EKO EKSPRES d.o.o., OIB:10543181635, PIROVEC GORNJI 46, 10000 ZAGREB</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549,88</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549,88</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549,88</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45,82</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lastRenderedPageBreak/>
              <w:t>39</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EKO FLOR PLUS d.o.o., OIB:50730247993, Mokrice 180c, 49243 OROSLAVJE</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6.042,36</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6.042,36</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6.042,36</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503,53</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40</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ENERGOATEST ZAŠTITA D.O.O, OIB:67546770608, POTOČNJAKOVA 4, 10000 ZAGREB</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11.025,00</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11.025,00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11.025,00</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918,75</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41</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ENGLMAYER ZAGREB d.o.o., OIB:66346732180, Slavonska avenija 24A, 10000 ZAGREB</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134.966,54</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134.966,54</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134.966,54</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11.247,21</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42</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ERDUTSKI VINOGRADI d.o.o., OIB:00307094055, TRG BRANKA HERCEGA 1, 31206 ERDUT</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18.621,29</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18.621,29</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18.621,29</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1.551,77</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43</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ERSTE CARD CLUB - DINERS CLUB INERNATIONAL, OIB:85941596441,PRAŠKA 510000ZAGREB</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9.279,71</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9.279,71</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9.279,71</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773,31</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44</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ETI-TISAK d.o.o., OIB: 13076543483, Trg Sv.Marije Čučerske 9, 10000 ZAGREB</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10.121,13</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10.121,13</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10.121,13</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843,43</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45</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EUROCOMPANY99 d.o.o., OIB: 07407139934, Slavonska avenija 26/1, 10000 ZAGREB</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746,87</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746,87</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746,87</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62,24</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46</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EURO DAUS d.d., OIB:19212513210, Put Mostina 1, 21000 SPLIT</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13.125,00</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13.125,00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13.125,00</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1.093,75</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47</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FINANCIJSKA AGENCIJA, OIB:85821130368, VRTNI PUT 3, 10000 ZAGREB</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165,00</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165,00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165,00</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13,75</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48</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 xml:space="preserve">FOTON PROMET d.o.o., OIB: 99825614646, A.Šenoe 25 Vugrovec, </w:t>
            </w:r>
            <w:r>
              <w:rPr>
                <w:rFonts w:cs="Calibri" w:hAnsi="Calibri" w:ascii="Calibri"/>
                <w:color w:val="000000"/>
                <w:sz w:val="16"/>
                <w:szCs w:val="16"/>
              </w:rPr>
              <w:lastRenderedPageBreak/>
              <w:t>10360 SESVETE</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lastRenderedPageBreak/>
              <w:t>4.500,00</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4.500,00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4.500,00</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375,00</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lastRenderedPageBreak/>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lastRenderedPageBreak/>
              <w:t>49</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GABREK-GT d.o.o., OIB:14774782478, Stanka Vraza 6, 10434 STRMEC SAMOBORSKI</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8.906,33</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8.906,33</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8.906,33</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742,19</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50</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GRAD BELIŠĆE, OIB:70663673307,Vijenac Dr. Franje Tuđmana 1, 31551 BELIŠĆE</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63.038,16</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63.038,16</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63.038,16</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5.253,18</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51</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GRAD ĐAKOVO, OIB:23632093169, Trg dr.Franje Tuđmana 4, 31400 ĐAKOVO</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669,38</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669,38</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669,38</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55,78</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52</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GRAD NOVALJA, OIB:85290822507, Trg Dr.Franje Tuđmana 1, 53291 NOVALJA</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11.943,90</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11.943,90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11.943,90</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995,33</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53</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GRADSKA PLINARA ZAGREB-OPSKRBA d.o.o., OIB:74364571096, Radnička cesta 1, 10000 ZAGREB</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20.233,61</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20.233,61</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20.233,61</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1.686,13</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54</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GRADSKI URED ZA PROSTORNO UREĐENJE, OIB:61817894937, TRG STJEPANA RADIĆA 1, 10000 ZAGREB</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100.092,98</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100.092,98</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100.092,98</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8.341,08</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55</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GS 1 CROATIA, OIB:03365973101, TUŠKANAC 14, 10000 ZAGREB</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4.723,55</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4.723,55</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4.723,55</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393,63</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56</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GURU TECH j.d.o.o., OIB:97985674803, Gajevo 82a, 10413 KRAVARSKO</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6.000,00</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6.000,00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6.000,00</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500,00</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57</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HELIOS HRVATSKA d.o.o., OIB:51925436571, Radnička cesta 173d, 10000 ZAGREB</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177.146,72</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177.146,72</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177.146,72</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14.762,23</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lastRenderedPageBreak/>
              <w:t>58</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HEP ELEKTRA d.o.o., OIB:43965974818, Ulica grada Vukovara 37, 10000 ZAGREB</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15.150,95</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15.150,95</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15.150,95</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1.262,58</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59</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HIDROBEL d.o.o., OIB:90047074492, Radnička 1/b, 31551 BELIŠĆE</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1.300,59</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1.300,59</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1.300,59</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108,38</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60</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HOK OSIGURANJE D.D., OIB:00432869176, Capraška ulica 6, 10000 ZAGREB</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61,46</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61,46</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61,46</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5,12</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61</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HRVATSKA POŠTA  d.d., OIB:87311810356, Jurišićeva 13, 10000 ZAGREB</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1.726,50</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1.726,50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1.726,50</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143,88</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62</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HRVATSKA RADIOTELEVIZIJA, OIB:68419124305, Prisavlje 3, 10000 ZAGREB</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480,00</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480,00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480,00</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40,00</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63</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HRVATSKI TELEKOM  d.d., OIB:81793146560, Savska cesta 32, 10000 ZAGREB</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17.249,29</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17.249,29</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17.249,29</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1.437,44</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64</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HUNOR d.o.o., OIB:70897833190, REMETINEC 42, 10020 ZAGREB-NOVI ZAGREB</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24.394,44</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24.394,44</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24.394,44</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2.032,87</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65</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IMPOL 2000 D.D., OIB:55294260, Partizanska ulica 3, 82310 Slovenska Bistrica</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277.429,04</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277.429,04</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277.429,04</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23.119,09</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66</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IN TIME D.O.O., OIB:18458216879, Velika cesta 78, 10000 ZAGREB</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729,00</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729,00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729,00</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60,75</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67</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 xml:space="preserve">INAS- INVEST D.O.O., OIB:11042950364, Slavonska av. 22, 10000 </w:t>
            </w:r>
            <w:r>
              <w:rPr>
                <w:rFonts w:cs="Calibri" w:hAnsi="Calibri" w:ascii="Calibri"/>
                <w:color w:val="000000"/>
                <w:sz w:val="16"/>
                <w:szCs w:val="16"/>
              </w:rPr>
              <w:lastRenderedPageBreak/>
              <w:t>ZAGREB</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lastRenderedPageBreak/>
              <w:t>222.090,05</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222.090,05</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222.090,05</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18.507,50</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lastRenderedPageBreak/>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lastRenderedPageBreak/>
              <w:t>68</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IPSE AGO d.o.o., OIB:22724783460, Netretićka 10, 10000 ZAGREB</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14.329,25</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14.329,25</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14.329,25</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1.194,10</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69</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ISERVICE d.o.o., OIB:39737937925, Ulica grada Vukovara 20, 10000 ZAGREB</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960,18</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960,18</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960,18</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80,02</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70</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IVETA d.o.o., OIB: 87037331535, Ludbreška 3/a, 42202 Trnovec Bartolovečki</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7.601,33</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7.601,33</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7.601,33</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633,44</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71</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JAVNI BILJEŽNIK "ŽELJKA MAROSLAVAC", OIB:57579819162, AVENIJA DUBROVNIK 12, 10000 ZAGREB</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1.180,50</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1.180,50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1.180,50</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98,38</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72</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JAVNI BILJEŽNIK BRANKO JAKIĆ, OIB:08564858401, Zelinska 3, 10000 ZAGREB</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4.427,50</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4.427,50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4.427,50</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368,96</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73</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JAVNI BILJEŽNIK SANJA BARARIĆ, OIB:92033920274, Ivana Šibla 13, 10000 ZAGREB</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3.429,00</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3.429,00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3.429,00</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285,75</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74</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JELENA TRADE d.o.o., OIB: 79658899750, Koprivnička 32, 48311 KUNOVEC</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1.740,55</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1.740,55</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1.740,55</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145,05</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75</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JURANKO S.M. d.o.o., OIB:24626850319, I.G. Kovačića 10, 10434 STRMEC SAMOBORSKI</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4.995,00</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4.995,00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4.995,00</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416,25</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76</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KARTA D.O.O., OIB: 00141968435, NIKOLE TESLE 10, 44000 SISAK</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662,50</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662,50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662,50</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55,21</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lastRenderedPageBreak/>
              <w:t>77</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KARLO PROMET d.o.o., OIB:33071454371, DON RADOVANA JERKOVIĆA 1/5, 20350 METKOVIĆ</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3.125,00</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3.125,00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3.125,00</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260,42</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78</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KLIŠE KOP, OIB:33385763194, DR. FRANJE TUĐMANA 39, 10431 SVETA NEDELJA</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31.658,03</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31.658,03</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31.658,03</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2.638,17</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79</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KOMUNALIJE d.o.o., OIB:76954479056, Čiponjac jug 6, 53291 NOVALJA</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988,37</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988,37</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988,37</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82,36</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80</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KONZUM d.d., OIB:29955634590, M.Čavića 1a, 10000 ZAGREB</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104.667,31</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104.667,31</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104.667,31</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8.722,28</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81</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KREŠIMIR- FUTURA d.o.o., OIB:99386047584, Ivanečko Naselje 1/D, 42240 IVANEC</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944,50</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944,50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944,50</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78,71</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82</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LIDEREXPRESS d.o.o., OIB:11419453690, Supilova 7a, 10000 ZAGREB</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1.445,65</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1.445,65</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1.445,65</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120,47</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83</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MARNIK ALATI I STROJNI DIJELOVI, OIB:33693878125, JELAŠIČKA 18, 10090 ZAGREB-SUSEDGRAD</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31.349,88</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31.349,88</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31.349,88</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2.612,49</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84</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MEDIA RAČUNALA d.o.o., OIB:34570582638, Josipa Lončara 2c, 10000 ZAGREB</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4.250,00</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4.250,00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4.250,00</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354,17</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85</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METRO CASH&amp;CARRY d.o.o.nf.20132, OIB:38016445738, JANKOMIR 31, 10000 ZAGREB</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1.173,78</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1.173,78</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1.173,78</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97,82</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86</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 xml:space="preserve">Milan Radišić, OIB: 19221326034, Zadvorska 14, Brezovica, 10000 </w:t>
            </w:r>
            <w:r>
              <w:rPr>
                <w:rFonts w:cs="Calibri" w:hAnsi="Calibri" w:ascii="Calibri"/>
                <w:color w:val="000000"/>
                <w:sz w:val="16"/>
                <w:szCs w:val="16"/>
              </w:rPr>
              <w:lastRenderedPageBreak/>
              <w:t>Zagreb</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lastRenderedPageBreak/>
              <w:t>3.069.464,36</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1.104.578,94</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4.174.043,30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4.174.043,30</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347.836,94</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lastRenderedPageBreak/>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lastRenderedPageBreak/>
              <w:t>87</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Ministarstvo financija, Porezna uprava, OIB: 18683136487, Katančićeva 5, 10000 Zagreb</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1.443.475,60</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1.443.475,60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1.443.475,60</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120.289,63</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88</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MIT SOFTWARE d.o.o., OIB:51231601739, Podgradski odvojak 6, 10090 ZAGREB-SUSEDGRAD</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9.653,42</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9.653,42</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9.653,42</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804,45</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89</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NUTRIFIT d.o.o., OIB:07370330582, Vinkovićeva 3, 10000 ZAGREB</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118.000,00</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118.000,00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118.000,00</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9.833,33</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90</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ODVJETNIK Marin Ivanović, OIB: 96706680112, Selska cesta 46, 10000 ZAGREB</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31.875,00</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31.875,00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31.875,00</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2.656,25</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91</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OLIGO-LUX d.o.o., OIB:88775683499, Trgovačka 3, 10000 ZAGREB</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38.441,77</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38.441,77</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38.441,77</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3.203,48</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92</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PAŠIN IZVOR d.o.o., OIB:84720036823, Slavonska avenija 7, 10000 ZAGREB</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1.442,99</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1.442,99</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1.442,99</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120,25</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93</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PBZ CARD  d.o.o., OIB:28495895537,Radnička cesta 4410000ZAGREB</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4.939,19</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4.939,19</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4.939,19</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411,60</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94</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PGP-PUH d.o.o, OIB:64634316085, 1 RESNIK 6, 10000 ZAGREB</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4.306,50</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4.306,50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4.306,50</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358,88</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95</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PLASMAN vl. Nediljko Jerković, OIB:85086172559, Starčevićeva 49, 21251 ŽRNOVNICA</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50.305,93</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50.305,93</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50.305,93</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4.192,16</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lastRenderedPageBreak/>
              <w:t>96</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PLODINE d.d., OIB:92510683607, RUŽIĆEVA 29, 51000 RIJEKA</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20.488,03</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20.488,03</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20.488,03</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1.707,34</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97</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P-M.T.Č.  d.o.o., OIB: 70145829173, Josipa Broza 88, 40315 MURSKO SREDIŠĆE</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776,00</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776,00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776,00</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64,67</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98</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RADIN GRAFIKA d.o.o., OIB:51934286030, GOSPODARSKA 9, 10431 SVETA NEDELJA</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32.121,06</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32.121,06</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32.121,06</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2.676,76</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99</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RADION d.o.o., OIB:22025239366, Benkovačko selo 15, 723420 BENKOVAC</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40.235,40</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40.235,40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40.235,40</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3.352,95</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100</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RHEA d.o.o., OIB:43354566311, Buzinski prilaz 36 a, 10010 BUZIN</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532,71</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532,71</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532,71</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44,39</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101</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ROBIPLAST d.o.o.za proizvodnju i trgovinu, OIB:97814099371, Petra Preradovića 110, 31400 ĐAKOVO</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631.420,56</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631.420,56</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631.420,56</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52.618,38</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102</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ROLOGRAF, OIB:94310197655, DR.M.BUDAKA 1, 35000 SLAVONSKI BROD</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16.884,00</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16.884,00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16.884,00</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1.407,00</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103</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RTL Hrvatska d.o.o., OIB: 07330149920, Krapinska 45, 10000 ZAGREB</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100.000,00</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100.000,00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100.000,00</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8.333,33</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104</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RUBER d.o.o., OIB:17903306091, Zagrebačka 1, 48260 KRIŽEVCI</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57.757,50</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57.757,50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57.757,50</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4.813,13</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105</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 xml:space="preserve">RWE ENERGIJA D.O.O., OIB:81103558092, Capraška ulica 6, 10010 </w:t>
            </w:r>
            <w:r>
              <w:rPr>
                <w:rFonts w:cs="Calibri" w:hAnsi="Calibri" w:ascii="Calibri"/>
                <w:color w:val="000000"/>
                <w:sz w:val="16"/>
                <w:szCs w:val="16"/>
              </w:rPr>
              <w:lastRenderedPageBreak/>
              <w:t>BUZIN</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lastRenderedPageBreak/>
              <w:t>11.359,90</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11.359,90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11.359,90</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946,66</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lastRenderedPageBreak/>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lastRenderedPageBreak/>
              <w:t>106</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SALESIANER MIETTEX Lotos d.o.o., OIB:90491206575, Radnička cesta 169, 10000 ZAGREB</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46.800,97</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46.800,97</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46.800,97</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3.900,08</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107</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SAVAL ZG d.o.o., OIB:28065665817, Fallerovo šetalište 22, 10110 ZAGREB</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6.771,25</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6.771,25</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6.771,25</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564,27</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108</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SERVIS KUĆANSKIH APARATA P.PERKOVIĆ, OIB:56871556050, LJ.Posavskog 52, 10410 VELIKA GORICA</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2.260,00</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2.260,00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2.260,00</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188,33</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109</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SOKE HUNGARIA Kft, OIB:11126737, GYORI UT 1H-9228HALASZI</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869.547,96</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869.547,96</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869.547,96</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72.462,33</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110</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SOKOL d.o.o., OIB:82812328597, Vjekoslava Klaića 64, 10000 ZAGREB</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1.050,00</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1.050,00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1.050,00</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87,50</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111</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SUMAN d.o.o., OIB:85053522203, Karlovačka c.32f, 10020 ZAGREB-NOVI ZAGREB</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3.026,16</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3.026,16</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3.026,16</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252,18</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112</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TEHNO-DOM d.o.o., OIB:44115539420, Karlovačka 52 c, 10020 ZAGREB-NOVI ZAGREB</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11.956,25</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11.956,25</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11.956,25</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996,35</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113</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TEHNOGUMA d.o.o.o, OIB:38867318377, Obrtnička 1, Savica Šanci, 10000 ZAGREB</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3.444,56</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3.444,56</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3.444,56</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287,05</w:t>
            </w:r>
          </w:p>
        </w:tc>
        <w:tc>
          <w:tcPr>
            <w:tcW w:type="dxa" w:w="8292"/>
            <w:gridSpan w:val="2"/>
            <w:tcBorders>
              <w:top w:space="0" w:sz="4" w:color="auto" w:val="single"/>
              <w:left w:space="0" w:sz="4" w:color="auto" w:val="single"/>
              <w:bottom w:space="0" w:sz="4" w:color="auto" w:val="single"/>
              <w:right w:space="0" w:sz="4" w:color="auto" w:val="single"/>
            </w:tcBorders>
            <w:vAlign w:val="center"/>
          </w:tcPr>
          <w:p w:rsidRDefault="001E3364" w:rsidR="001E3364">
            <w:pPr>
              <w:spacing w:lineRule="auto" w:line="240" w:after="0"/>
              <w:rPr>
                <w:rFonts w:cs="Calibri" w:eastAsia="Times New Roman" w:hAnsi="Calibri" w:ascii="Calibri"/>
                <w:color w:val="000000"/>
                <w:sz w:val="16"/>
                <w:szCs w:val="16"/>
                <w:lang w:eastAsia="hr-HR"/>
              </w:rPr>
            </w:pP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114</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THE WESTIN, OIB:66859264899, Trg Krešimira Čosića 9, 10000 ZAGREB</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18.840,76</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18.840,76</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18.840,76</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1.570,06</w:t>
            </w:r>
          </w:p>
        </w:tc>
        <w:tc>
          <w:tcPr>
            <w:tcW w:type="dxa" w:w="8292"/>
            <w:gridSpan w:val="2"/>
            <w:tcBorders>
              <w:top w:space="0" w:sz="4" w:color="auto" w:val="single"/>
              <w:left w:space="0" w:sz="4" w:color="auto" w:val="single"/>
              <w:bottom w:space="0" w:sz="4" w:color="auto" w:val="single"/>
              <w:right w:space="0" w:sz="4" w:color="auto" w:val="single"/>
            </w:tcBorders>
            <w:vAlign w:val="center"/>
          </w:tcPr>
          <w:p w:rsidRDefault="001E3364" w:rsidR="001E3364">
            <w:pPr>
              <w:spacing w:lineRule="auto" w:line="240" w:after="0"/>
              <w:rPr>
                <w:rFonts w:cs="Calibri" w:eastAsia="Times New Roman" w:hAnsi="Calibri" w:ascii="Calibri"/>
                <w:color w:val="000000"/>
                <w:sz w:val="16"/>
                <w:szCs w:val="16"/>
                <w:lang w:eastAsia="hr-HR"/>
              </w:rPr>
            </w:pP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115</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 xml:space="preserve">Tihomir Radišić, OIB: 47289203252, Zadvorska 14, Brezovica, 10000 </w:t>
            </w:r>
            <w:r>
              <w:rPr>
                <w:rFonts w:cs="Calibri" w:hAnsi="Calibri" w:ascii="Calibri"/>
                <w:color w:val="000000"/>
                <w:sz w:val="16"/>
                <w:szCs w:val="16"/>
              </w:rPr>
              <w:lastRenderedPageBreak/>
              <w:t>Zagreb</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lastRenderedPageBreak/>
              <w:t>2.400,00</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28,60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2.428,60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2.428,60</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202,38</w:t>
            </w:r>
          </w:p>
        </w:tc>
        <w:tc>
          <w:tcPr>
            <w:tcW w:type="dxa" w:w="8292"/>
            <w:gridSpan w:val="2"/>
            <w:tcBorders>
              <w:top w:space="0" w:sz="4" w:color="auto" w:val="single"/>
              <w:left w:space="0" w:sz="4" w:color="auto" w:val="single"/>
              <w:bottom w:space="0" w:sz="4" w:color="auto" w:val="single"/>
              <w:right w:space="0" w:sz="4" w:color="auto" w:val="single"/>
            </w:tcBorders>
            <w:vAlign w:val="center"/>
          </w:tcPr>
          <w:p w:rsidRDefault="001E3364" w:rsidR="001E3364">
            <w:pPr>
              <w:spacing w:lineRule="auto" w:line="240" w:after="0"/>
              <w:rPr>
                <w:rFonts w:cs="Calibri" w:eastAsia="Times New Roman" w:hAnsi="Calibri" w:ascii="Calibri"/>
                <w:color w:val="000000"/>
                <w:sz w:val="16"/>
                <w:szCs w:val="16"/>
                <w:lang w:eastAsia="hr-HR"/>
              </w:rPr>
            </w:pP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lastRenderedPageBreak/>
              <w:t>116</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TISKARA GAVRAN VL.MIJO GAVRAN, OIB:88908037132, Posavska 32, 35000 SLAVONSKI BROD</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452,07</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452,07</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452,07</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121,36</w:t>
            </w:r>
          </w:p>
        </w:tc>
        <w:tc>
          <w:tcPr>
            <w:tcW w:type="dxa" w:w="8292"/>
            <w:gridSpan w:val="2"/>
            <w:tcBorders>
              <w:top w:space="0" w:sz="4" w:color="auto" w:val="single"/>
              <w:left w:space="0" w:sz="4" w:color="auto" w:val="single"/>
              <w:bottom w:space="0" w:sz="4" w:color="auto" w:val="single"/>
              <w:right w:space="0" w:sz="4" w:color="auto" w:val="single"/>
            </w:tcBorders>
            <w:vAlign w:val="center"/>
          </w:tcPr>
          <w:p w:rsidRDefault="001E3364" w:rsidR="001E3364">
            <w:pPr>
              <w:spacing w:lineRule="auto" w:line="240" w:after="0"/>
              <w:rPr>
                <w:rFonts w:cs="Calibri" w:eastAsia="Times New Roman" w:hAnsi="Calibri" w:ascii="Calibri"/>
                <w:color w:val="000000"/>
                <w:sz w:val="16"/>
                <w:szCs w:val="16"/>
                <w:lang w:eastAsia="hr-HR"/>
              </w:rPr>
            </w:pP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117</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TRAST OTPREMNIŠTVO d.o.o., OIB: 24839920900, Vojvodići 11, 10431 SVETA NEDJELJA</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1.875,00</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1.875,00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1.875,00</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944,78</w:t>
            </w:r>
          </w:p>
        </w:tc>
        <w:tc>
          <w:tcPr>
            <w:tcW w:type="dxa" w:w="8292"/>
            <w:gridSpan w:val="2"/>
            <w:tcBorders>
              <w:top w:space="0" w:sz="4" w:color="auto" w:val="single"/>
              <w:left w:space="0" w:sz="4" w:color="auto" w:val="single"/>
              <w:bottom w:space="0" w:sz="4" w:color="auto" w:val="single"/>
              <w:right w:space="0" w:sz="4" w:color="auto" w:val="single"/>
            </w:tcBorders>
            <w:vAlign w:val="center"/>
          </w:tcPr>
          <w:p w:rsidRDefault="001E3364" w:rsidR="001E3364">
            <w:pPr>
              <w:spacing w:lineRule="auto" w:line="240" w:after="0"/>
              <w:rPr>
                <w:rFonts w:cs="Calibri" w:eastAsia="Times New Roman" w:hAnsi="Calibri" w:ascii="Calibri"/>
                <w:color w:val="000000"/>
                <w:sz w:val="16"/>
                <w:szCs w:val="16"/>
                <w:lang w:eastAsia="hr-HR"/>
              </w:rPr>
            </w:pP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118</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TRGO-HIT D.O.O., OIB:93244719368, RADNIČKA 51, 10000 ZAGREB</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1.350,00</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1.350,00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1.350,00</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1.013,73</w:t>
            </w:r>
          </w:p>
        </w:tc>
        <w:tc>
          <w:tcPr>
            <w:tcW w:type="dxa" w:w="8292"/>
            <w:gridSpan w:val="2"/>
            <w:tcBorders>
              <w:top w:space="0" w:sz="4" w:color="auto" w:val="single"/>
              <w:left w:space="0" w:sz="4" w:color="auto" w:val="single"/>
              <w:bottom w:space="0" w:sz="4" w:color="auto" w:val="single"/>
              <w:right w:space="0" w:sz="4" w:color="auto" w:val="single"/>
            </w:tcBorders>
            <w:vAlign w:val="center"/>
          </w:tcPr>
          <w:p w:rsidRDefault="001E3364" w:rsidR="001E3364">
            <w:pPr>
              <w:spacing w:lineRule="auto" w:line="240" w:after="0"/>
              <w:rPr>
                <w:rFonts w:cs="Calibri" w:eastAsia="Times New Roman" w:hAnsi="Calibri" w:ascii="Calibri"/>
                <w:color w:val="000000"/>
                <w:sz w:val="16"/>
                <w:szCs w:val="16"/>
                <w:lang w:eastAsia="hr-HR"/>
              </w:rPr>
            </w:pP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119</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VELPRO-CENTAR d.o.o., OIB:46660800468, Marijana Čavića 1, 10000 ZAGREB</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38.312,15</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38.312,15</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38.312,15</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38.321,51</w:t>
            </w:r>
          </w:p>
        </w:tc>
        <w:tc>
          <w:tcPr>
            <w:tcW w:type="dxa" w:w="8292"/>
            <w:gridSpan w:val="2"/>
            <w:tcBorders>
              <w:top w:space="0" w:sz="4" w:color="auto" w:val="single"/>
              <w:left w:space="0" w:sz="4" w:color="auto" w:val="single"/>
              <w:bottom w:space="0" w:sz="4" w:color="auto" w:val="single"/>
              <w:right w:space="0" w:sz="4" w:color="auto" w:val="single"/>
            </w:tcBorders>
            <w:vAlign w:val="center"/>
          </w:tcPr>
          <w:p w:rsidRDefault="001E3364" w:rsidR="001E3364">
            <w:pPr>
              <w:spacing w:lineRule="auto" w:line="240" w:after="0"/>
              <w:rPr>
                <w:rFonts w:cs="Calibri" w:eastAsia="Times New Roman" w:hAnsi="Calibri" w:ascii="Calibri"/>
                <w:color w:val="000000"/>
                <w:sz w:val="16"/>
                <w:szCs w:val="16"/>
                <w:lang w:eastAsia="hr-HR"/>
              </w:rPr>
            </w:pP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120</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VODOOPSKRBA I ODVODNJA / ZGB HOLDING, OIB:85584865987, FOLNEGOVIĆEVA 1 PP 896, 10000 ZAGREB</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13.586,61</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13.586,61</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13.586,61</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16.984,27</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121</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ZAGREBAČKI HOLDING  d.o.o. - Podružnica ROBNI TERMINALI ZAGREB, OIB:85584865987, Jankomir 25, 10090 ZAGREB-SUSEDGRAD</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633.258,15</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633.258,15</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633.258,15</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949.903,16</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122</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ZAGREBAČKI HOLDING D.O.O./Podružnica Čistoća, OIB:85584865987, Radnička cesta 82, 10000 ZAGREB</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573,61</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573,61</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573,61</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1.003,82</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123</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ZAPREŠIĆANKA d.o.o., OIB:35851564566, Zagrebačka cesta 3 Pojatno, 10290 ZAPREŠIĆ</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3,00</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3,00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3,00</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6,00</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1"/>
          <w:wAfter w:type="dxa" w:w="10"/>
          <w:trHeight w:val="20"/>
        </w:trPr>
        <w:tc>
          <w:tcPr>
            <w:tcW w:type="dxa" w:w="1060"/>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124</w:t>
            </w:r>
          </w:p>
        </w:tc>
        <w:tc>
          <w:tcPr>
            <w:tcW w:type="dxa" w:w="2019"/>
            <w:tcBorders>
              <w:top w:space="0" w:sz="4" w:color="auto" w:val="single"/>
              <w:left w:space="0" w:sz="4" w:color="auto" w:val="single"/>
              <w:bottom w:space="0" w:sz="4" w:color="auto" w:val="single"/>
              <w:right w:space="0" w:sz="4" w:color="auto" w:val="single"/>
            </w:tcBorders>
            <w:vAlign w:val="center"/>
            <w:hideMark/>
          </w:tcPr>
          <w:p w:rsidRDefault="001E3364" w:rsidR="001E3364">
            <w:pPr>
              <w:jc w:val="center"/>
              <w:rPr>
                <w:rFonts w:cs="Calibri" w:hAnsi="Calibri" w:ascii="Calibri"/>
                <w:color w:val="000000"/>
                <w:sz w:val="16"/>
                <w:szCs w:val="16"/>
              </w:rPr>
            </w:pPr>
            <w:r>
              <w:rPr>
                <w:rFonts w:cs="Calibri" w:hAnsi="Calibri" w:ascii="Calibri"/>
                <w:color w:val="000000"/>
                <w:sz w:val="16"/>
                <w:szCs w:val="16"/>
              </w:rPr>
              <w:t>Z-PROJEKT d.o.o., OIB:13177162369, Našićka 6, 10000 ZAGREB</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750,00</w:t>
            </w:r>
          </w:p>
        </w:tc>
        <w:tc>
          <w:tcPr>
            <w:tcW w:type="dxa" w:w="1101"/>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6"/>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color w:val="000000"/>
                <w:sz w:val="16"/>
                <w:szCs w:val="16"/>
              </w:rPr>
            </w:pPr>
            <w:r>
              <w:rPr>
                <w:rFonts w:cs="Calibri" w:hAnsi="Calibri" w:ascii="Calibri"/>
                <w:color w:val="000000"/>
                <w:sz w:val="16"/>
                <w:szCs w:val="16"/>
              </w:rPr>
              <w:t>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750,00</w:t>
            </w:r>
          </w:p>
        </w:tc>
        <w:tc>
          <w:tcPr>
            <w:tcW w:type="dxa" w:w="1235"/>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750,00</w:t>
            </w:r>
          </w:p>
        </w:tc>
        <w:tc>
          <w:tcPr>
            <w:tcW w:type="dxa" w:w="971"/>
            <w:tcBorders>
              <w:top w:space="0" w:sz="4" w:color="auto" w:val="single"/>
              <w:left w:space="0" w:sz="4" w:color="auto" w:val="single"/>
              <w:bottom w:space="0" w:sz="4" w:color="auto" w:val="single"/>
              <w:right w:space="0" w:sz="4" w:color="auto" w:val="single"/>
            </w:tcBorders>
            <w:noWrap/>
            <w:vAlign w:val="center"/>
            <w:hideMark/>
          </w:tcPr>
          <w:p w:rsidRDefault="001E3364" w:rsidR="001E3364">
            <w:pPr>
              <w:rPr>
                <w:rFonts w:cs="Calibri" w:hAnsi="Calibri" w:ascii="Calibri"/>
                <w:bCs/>
                <w:color w:val="000000"/>
                <w:sz w:val="16"/>
                <w:szCs w:val="16"/>
              </w:rPr>
            </w:pPr>
            <w:r>
              <w:rPr>
                <w:rFonts w:cs="Calibri" w:hAnsi="Calibri" w:ascii="Calibri"/>
                <w:bCs/>
                <w:color w:val="000000"/>
                <w:sz w:val="16"/>
                <w:szCs w:val="16"/>
              </w:rPr>
              <w:t>5 godina</w:t>
            </w:r>
          </w:p>
        </w:tc>
        <w:tc>
          <w:tcPr>
            <w:tcW w:type="dxa" w:w="812"/>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0,00%</w:t>
            </w:r>
          </w:p>
        </w:tc>
        <w:tc>
          <w:tcPr>
            <w:tcW w:type="dxa" w:w="1154"/>
            <w:tcBorders>
              <w:top w:space="0" w:sz="4" w:color="auto" w:val="single"/>
              <w:left w:space="0" w:sz="4" w:color="auto" w:val="single"/>
              <w:bottom w:space="0" w:sz="4" w:color="auto" w:val="single"/>
              <w:right w:space="0" w:sz="4" w:color="auto" w:val="single"/>
            </w:tcBorders>
            <w:noWrap/>
            <w:vAlign w:val="center"/>
            <w:hideMark/>
          </w:tcPr>
          <w:p w:rsidRDefault="001E3364" w:rsidR="001E3364">
            <w:pPr>
              <w:jc w:val="right"/>
              <w:rPr>
                <w:rFonts w:cs="Calibri" w:hAnsi="Calibri" w:ascii="Calibri"/>
                <w:bCs/>
                <w:color w:val="000000"/>
                <w:sz w:val="16"/>
                <w:szCs w:val="16"/>
              </w:rPr>
            </w:pPr>
            <w:r>
              <w:rPr>
                <w:rFonts w:cs="Calibri" w:hAnsi="Calibri" w:ascii="Calibri"/>
                <w:bCs/>
                <w:color w:val="000000"/>
                <w:sz w:val="16"/>
                <w:szCs w:val="16"/>
              </w:rPr>
              <w:t>24 mjeseca</w:t>
            </w:r>
          </w:p>
        </w:tc>
        <w:tc>
          <w:tcPr>
            <w:tcW w:type="dxa" w:w="1399"/>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jc w:val="right"/>
              <w:rPr>
                <w:rFonts w:cs="Calibri" w:hAnsi="Calibri" w:ascii="Calibri"/>
                <w:b/>
                <w:bCs/>
                <w:color w:val="000000"/>
                <w:sz w:val="16"/>
                <w:szCs w:val="16"/>
              </w:rPr>
            </w:pPr>
            <w:r>
              <w:rPr>
                <w:rFonts w:cs="Calibri" w:hAnsi="Calibri" w:ascii="Calibri"/>
                <w:b/>
                <w:bCs/>
                <w:color w:val="000000"/>
                <w:sz w:val="16"/>
                <w:szCs w:val="16"/>
              </w:rPr>
              <w:t>1.687,50</w:t>
            </w:r>
          </w:p>
        </w:tc>
        <w:tc>
          <w:tcPr>
            <w:tcW w:type="dxa" w:w="8292"/>
            <w:gridSpan w:val="2"/>
            <w:tcBorders>
              <w:top w:space="0" w:sz="4" w:color="auto" w:val="single"/>
              <w:left w:space="0" w:sz="4" w:color="auto" w:val="single"/>
              <w:bottom w:space="0" w:sz="4" w:color="auto" w:val="single"/>
              <w:right w:space="0" w:sz="4" w:color="auto" w:val="single"/>
            </w:tcBorders>
            <w:vAlign w:val="center"/>
            <w:hideMark/>
          </w:tcPr>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 </w:t>
            </w:r>
            <w:r>
              <w:rPr>
                <w:rFonts w:cs="Calibri" w:eastAsia="Times New Roman" w:hAnsi="Calibri" w:ascii="Calibri"/>
                <w:color w:val="000000"/>
                <w:sz w:val="16"/>
                <w:szCs w:val="16"/>
                <w:u w:val="single"/>
                <w:lang w:eastAsia="hr-HR"/>
              </w:rPr>
              <w:t>promjena dospijeća tražbina - reprogram obveza prema vjerovnicima s neosiguranim tražbinama na dulji rok, bez kamate</w:t>
            </w:r>
            <w:r>
              <w:rPr>
                <w:rFonts w:cs="Calibri" w:eastAsia="Times New Roman" w:hAnsi="Calibri" w:ascii="Calibri"/>
                <w:color w:val="000000"/>
                <w:sz w:val="16"/>
                <w:szCs w:val="16"/>
                <w:lang w:eastAsia="hr-HR"/>
              </w:rPr>
              <w:t>, na sljedeći način:</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 xml:space="preserve">o 100% namirenje ukupno utvrđenih tražbina, uz produljenje roka otplate tražbina na rok od 5 godina (poček od 24 mjeseca plus 3 godina otplate), u 12 jednakih kvartalnih rata bez kamate. </w:t>
            </w:r>
          </w:p>
          <w:p w:rsidRDefault="001E3364" w:rsidR="001E3364">
            <w:pPr>
              <w:spacing w:lineRule="auto" w:line="240" w:after="0"/>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Kvartalne rate dospijevaju 15 dana nakon isteka zadnjeg dana kvartala, od kojih prva rata dospijeva na naplatu u mjesecu koji prvi kalendarski slijedi nakon proteka 24 mjeseca računajući od datuma sklapanja predstečajnog sporazuma, a posljednja 12 kvartala od dospijeća prve rate</w:t>
            </w:r>
          </w:p>
        </w:tc>
      </w:tr>
      <w:tr w:rsidTr="001E3364" w:rsidR="001E3364">
        <w:trPr>
          <w:gridAfter w:val="2"/>
          <w:wAfter w:type="dxa" w:w="38"/>
          <w:trHeight w:val="20"/>
        </w:trPr>
        <w:tc>
          <w:tcPr>
            <w:tcW w:type="dxa" w:w="3107"/>
            <w:gridSpan w:val="4"/>
            <w:tcBorders>
              <w:top w:space="0" w:sz="4" w:color="auto" w:val="single"/>
              <w:left w:space="0" w:sz="4" w:color="auto" w:val="single"/>
              <w:bottom w:space="0" w:sz="4" w:color="auto" w:val="single"/>
              <w:right w:val="nil"/>
            </w:tcBorders>
            <w:noWrap/>
            <w:vAlign w:val="bottom"/>
            <w:hideMark/>
          </w:tcPr>
          <w:p w:rsidRDefault="001E3364" w:rsidR="001E3364">
            <w:pPr>
              <w:spacing w:lineRule="auto" w:line="240" w:after="0"/>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 xml:space="preserve">UKUPNO </w:t>
            </w:r>
          </w:p>
        </w:tc>
        <w:tc>
          <w:tcPr>
            <w:tcW w:type="dxa" w:w="1154"/>
            <w:gridSpan w:val="2"/>
            <w:tcBorders>
              <w:top w:space="0" w:sz="4" w:color="auto" w:val="single"/>
              <w:left w:space="0" w:sz="4" w:color="auto" w:val="single"/>
              <w:bottom w:space="0" w:sz="4" w:color="auto" w:val="single"/>
              <w:right w:space="0" w:sz="4" w:color="auto" w:val="single"/>
            </w:tcBorders>
            <w:noWrap/>
            <w:vAlign w:val="center"/>
            <w:hideMark/>
          </w:tcPr>
          <w:p w:rsidRDefault="001E3364" w:rsidR="001E3364">
            <w:pPr>
              <w:spacing w:after="0"/>
              <w:jc w:val="right"/>
              <w:rPr>
                <w:rFonts w:cs="Calibri" w:hAnsi="Calibri" w:ascii="Calibri"/>
                <w:b/>
                <w:bCs/>
                <w:color w:val="000000"/>
                <w:sz w:val="16"/>
                <w:szCs w:val="16"/>
              </w:rPr>
            </w:pPr>
            <w:r>
              <w:rPr>
                <w:rFonts w:cs="Calibri" w:hAnsi="Calibri" w:ascii="Calibri"/>
                <w:b/>
                <w:bCs/>
                <w:color w:val="000000"/>
                <w:sz w:val="16"/>
                <w:szCs w:val="16"/>
              </w:rPr>
              <w:t>26.958.531,87</w:t>
            </w:r>
          </w:p>
        </w:tc>
        <w:tc>
          <w:tcPr>
            <w:tcW w:type="dxa" w:w="1073"/>
            <w:tcBorders>
              <w:top w:space="0" w:sz="4" w:color="auto" w:val="single"/>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b/>
                <w:bCs/>
                <w:color w:val="000000"/>
                <w:sz w:val="16"/>
                <w:szCs w:val="16"/>
              </w:rPr>
            </w:pPr>
            <w:r>
              <w:rPr>
                <w:rFonts w:cs="Calibri" w:hAnsi="Calibri" w:ascii="Calibri"/>
                <w:b/>
                <w:bCs/>
                <w:color w:val="000000"/>
                <w:sz w:val="16"/>
                <w:szCs w:val="16"/>
              </w:rPr>
              <w:t>3.306.363,03</w:t>
            </w:r>
          </w:p>
        </w:tc>
        <w:tc>
          <w:tcPr>
            <w:tcW w:type="dxa" w:w="1236"/>
            <w:tcBorders>
              <w:top w:space="0" w:sz="4" w:color="auto" w:val="single"/>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b/>
                <w:bCs/>
                <w:color w:val="000000"/>
                <w:sz w:val="16"/>
                <w:szCs w:val="16"/>
              </w:rPr>
            </w:pPr>
            <w:r>
              <w:rPr>
                <w:rFonts w:cs="Calibri" w:hAnsi="Calibri" w:ascii="Calibri"/>
                <w:b/>
                <w:bCs/>
                <w:color w:val="000000"/>
                <w:sz w:val="16"/>
                <w:szCs w:val="16"/>
              </w:rPr>
              <w:t>0,00</w:t>
            </w:r>
          </w:p>
        </w:tc>
        <w:tc>
          <w:tcPr>
            <w:tcW w:type="dxa" w:w="1235"/>
            <w:tcBorders>
              <w:top w:space="0" w:sz="4" w:color="auto" w:val="single"/>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b/>
                <w:bCs/>
                <w:color w:val="000000"/>
                <w:sz w:val="16"/>
                <w:szCs w:val="16"/>
              </w:rPr>
            </w:pPr>
            <w:r>
              <w:rPr>
                <w:rFonts w:cs="Calibri" w:hAnsi="Calibri" w:ascii="Calibri"/>
                <w:b/>
                <w:bCs/>
                <w:color w:val="000000"/>
                <w:sz w:val="16"/>
                <w:szCs w:val="16"/>
              </w:rPr>
              <w:t>30.264.894,90</w:t>
            </w:r>
          </w:p>
        </w:tc>
        <w:tc>
          <w:tcPr>
            <w:tcW w:type="dxa" w:w="1235"/>
            <w:tcBorders>
              <w:top w:space="0" w:sz="4" w:color="auto" w:val="single"/>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b/>
                <w:bCs/>
                <w:color w:val="000000"/>
                <w:sz w:val="16"/>
                <w:szCs w:val="16"/>
              </w:rPr>
            </w:pPr>
            <w:r>
              <w:rPr>
                <w:rFonts w:cs="Calibri" w:hAnsi="Calibri" w:ascii="Calibri"/>
                <w:b/>
                <w:bCs/>
                <w:color w:val="000000"/>
                <w:sz w:val="16"/>
                <w:szCs w:val="16"/>
              </w:rPr>
              <w:t>30.264.894,90</w:t>
            </w:r>
          </w:p>
        </w:tc>
        <w:tc>
          <w:tcPr>
            <w:tcW w:type="dxa" w:w="971"/>
            <w:tcBorders>
              <w:top w:space="0" w:sz="4" w:color="auto" w:val="single"/>
              <w:left w:val="nil"/>
              <w:bottom w:space="0" w:sz="4" w:color="auto" w:val="single"/>
              <w:right w:space="0" w:sz="4" w:color="auto" w:val="single"/>
            </w:tcBorders>
            <w:noWrap/>
            <w:vAlign w:val="center"/>
            <w:hideMark/>
          </w:tcPr>
          <w:p w:rsidRDefault="001E3364" w:rsidR="001E3364">
            <w:pPr>
              <w:spacing w:after="0"/>
              <w:rPr>
                <w:rFonts w:cs="Calibri" w:hAnsi="Calibri" w:ascii="Calibri"/>
                <w:b/>
                <w:bCs/>
                <w:color w:val="000000"/>
                <w:sz w:val="16"/>
                <w:szCs w:val="16"/>
              </w:rPr>
            </w:pPr>
            <w:r>
              <w:rPr>
                <w:rFonts w:cs="Calibri" w:hAnsi="Calibri" w:ascii="Calibri"/>
                <w:b/>
                <w:bCs/>
                <w:color w:val="000000"/>
                <w:sz w:val="16"/>
                <w:szCs w:val="16"/>
              </w:rPr>
              <w:t> </w:t>
            </w:r>
          </w:p>
        </w:tc>
        <w:tc>
          <w:tcPr>
            <w:tcW w:type="dxa" w:w="812"/>
            <w:tcBorders>
              <w:top w:space="0" w:sz="4" w:color="auto" w:val="single"/>
              <w:left w:val="nil"/>
              <w:bottom w:space="0" w:sz="4" w:color="auto" w:val="single"/>
              <w:right w:space="0" w:sz="4" w:color="auto" w:val="single"/>
            </w:tcBorders>
            <w:noWrap/>
            <w:vAlign w:val="center"/>
            <w:hideMark/>
          </w:tcPr>
          <w:p w:rsidRDefault="001E3364" w:rsidR="001E3364">
            <w:pPr>
              <w:spacing w:after="0"/>
              <w:rPr>
                <w:rFonts w:cs="Calibri" w:hAnsi="Calibri" w:ascii="Calibri"/>
                <w:b/>
                <w:bCs/>
                <w:color w:val="000000"/>
                <w:sz w:val="16"/>
                <w:szCs w:val="16"/>
              </w:rPr>
            </w:pPr>
            <w:r>
              <w:rPr>
                <w:rFonts w:cs="Calibri" w:hAnsi="Calibri" w:ascii="Calibri"/>
                <w:b/>
                <w:bCs/>
                <w:color w:val="000000"/>
                <w:sz w:val="16"/>
                <w:szCs w:val="16"/>
              </w:rPr>
              <w:t> </w:t>
            </w:r>
          </w:p>
        </w:tc>
        <w:tc>
          <w:tcPr>
            <w:tcW w:type="dxa" w:w="1154"/>
            <w:tcBorders>
              <w:top w:space="0" w:sz="4" w:color="auto" w:val="single"/>
              <w:left w:val="nil"/>
              <w:bottom w:space="0" w:sz="4" w:color="auto" w:val="single"/>
              <w:right w:space="0" w:sz="4" w:color="auto" w:val="single"/>
            </w:tcBorders>
            <w:noWrap/>
            <w:vAlign w:val="center"/>
            <w:hideMark/>
          </w:tcPr>
          <w:p w:rsidRDefault="001E3364" w:rsidR="001E3364">
            <w:pPr>
              <w:spacing w:after="0"/>
              <w:rPr>
                <w:rFonts w:cs="Calibri" w:hAnsi="Calibri" w:ascii="Calibri"/>
                <w:b/>
                <w:bCs/>
                <w:color w:val="000000"/>
                <w:sz w:val="16"/>
                <w:szCs w:val="16"/>
              </w:rPr>
            </w:pPr>
            <w:r>
              <w:rPr>
                <w:rFonts w:cs="Calibri" w:hAnsi="Calibri" w:ascii="Calibri"/>
                <w:b/>
                <w:bCs/>
                <w:color w:val="000000"/>
                <w:sz w:val="16"/>
                <w:szCs w:val="16"/>
              </w:rPr>
              <w:t> </w:t>
            </w:r>
          </w:p>
        </w:tc>
        <w:tc>
          <w:tcPr>
            <w:tcW w:type="dxa" w:w="1371"/>
            <w:tcBorders>
              <w:top w:space="0" w:sz="4" w:color="auto" w:val="single"/>
              <w:left w:val="nil"/>
              <w:bottom w:space="0" w:sz="4" w:color="auto" w:val="single"/>
              <w:right w:val="nil"/>
            </w:tcBorders>
            <w:vAlign w:val="center"/>
            <w:hideMark/>
          </w:tcPr>
          <w:p w:rsidRDefault="001E3364" w:rsidR="001E3364">
            <w:pPr>
              <w:spacing w:after="0"/>
              <w:jc w:val="right"/>
              <w:rPr>
                <w:rFonts w:cs="Calibri" w:hAnsi="Calibri" w:ascii="Calibri"/>
                <w:b/>
                <w:bCs/>
                <w:color w:val="000000"/>
                <w:sz w:val="16"/>
                <w:szCs w:val="16"/>
              </w:rPr>
            </w:pPr>
            <w:r>
              <w:rPr>
                <w:rFonts w:cs="Calibri" w:hAnsi="Calibri" w:ascii="Calibri"/>
                <w:b/>
                <w:bCs/>
                <w:color w:val="000000"/>
                <w:sz w:val="16"/>
                <w:szCs w:val="16"/>
              </w:rPr>
              <w:t>3.474.547,32</w:t>
            </w:r>
          </w:p>
        </w:tc>
        <w:tc>
          <w:tcPr>
            <w:tcW w:type="dxa" w:w="8292"/>
            <w:gridSpan w:val="2"/>
            <w:tcBorders>
              <w:top w:space="0" w:sz="4" w:color="auto" w:val="single"/>
              <w:left w:val="nil"/>
              <w:bottom w:space="0" w:sz="4" w:color="auto" w:val="single"/>
              <w:right w:space="0" w:sz="4" w:color="auto" w:val="single"/>
            </w:tcBorders>
            <w:vAlign w:val="center"/>
            <w:hideMark/>
          </w:tcPr>
          <w:p w:rsidRDefault="001E3364" w:rsidR="001E3364">
            <w:pPr>
              <w:spacing w:after="0"/>
              <w:jc w:val="right"/>
              <w:rPr>
                <w:rFonts w:cs="Calibri" w:hAnsi="Calibri" w:ascii="Calibri"/>
                <w:b/>
                <w:bCs/>
                <w:color w:val="000000"/>
                <w:sz w:val="16"/>
                <w:szCs w:val="16"/>
              </w:rPr>
            </w:pPr>
            <w:r>
              <w:rPr>
                <w:rFonts w:cs="Calibri" w:hAnsi="Calibri" w:ascii="Calibri"/>
                <w:b/>
                <w:bCs/>
                <w:color w:val="000000"/>
                <w:sz w:val="16"/>
                <w:szCs w:val="16"/>
              </w:rPr>
              <w:t>3.474.547,32</w:t>
            </w:r>
          </w:p>
        </w:tc>
      </w:tr>
      <w:tr w:rsidTr="001E3364" w:rsidR="001E3364">
        <w:trPr>
          <w:gridAfter w:val="1"/>
          <w:wAfter w:type="dxa" w:w="10"/>
          <w:trHeight w:val="20"/>
        </w:trPr>
        <w:tc>
          <w:tcPr>
            <w:tcW w:type="dxa" w:w="1060"/>
            <w:gridSpan w:val="2"/>
            <w:tcBorders>
              <w:top w:val="nil"/>
              <w:left w:space="0" w:sz="4" w:color="auto" w:val="single"/>
              <w:bottom w:space="0" w:sz="4" w:color="auto" w:val="single"/>
              <w:right w:space="0" w:sz="4" w:color="auto" w:val="single"/>
            </w:tcBorders>
            <w:noWrap/>
            <w:vAlign w:val="bottom"/>
            <w:hideMark/>
          </w:tcPr>
          <w:p w:rsidRDefault="001E3364" w:rsidR="001E3364">
            <w:pPr>
              <w:spacing w:lineRule="auto" w:line="240" w:after="0"/>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SVEUKUPNO</w:t>
            </w:r>
          </w:p>
        </w:tc>
        <w:tc>
          <w:tcPr>
            <w:tcW w:type="dxa" w:w="2019"/>
            <w:tcBorders>
              <w:top w:val="nil"/>
              <w:left w:val="nil"/>
              <w:bottom w:space="0" w:sz="4" w:color="auto" w:val="single"/>
              <w:right w:space="0" w:sz="4" w:color="auto" w:val="single"/>
            </w:tcBorders>
            <w:noWrap/>
            <w:vAlign w:val="center"/>
          </w:tcPr>
          <w:p w:rsidRDefault="001E3364" w:rsidR="001E3364">
            <w:pPr>
              <w:spacing w:after="0"/>
              <w:jc w:val="right"/>
              <w:rPr>
                <w:rFonts w:cs="Calibri" w:hAnsi="Calibri" w:ascii="Calibri"/>
                <w:b/>
                <w:bCs/>
                <w:color w:val="000000"/>
                <w:sz w:val="16"/>
                <w:szCs w:val="16"/>
              </w:rPr>
            </w:pPr>
          </w:p>
        </w:tc>
        <w:tc>
          <w:tcPr>
            <w:tcW w:type="dxa" w:w="1154"/>
            <w:gridSpan w:val="2"/>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b/>
                <w:bCs/>
                <w:color w:val="000000"/>
                <w:sz w:val="16"/>
                <w:szCs w:val="16"/>
              </w:rPr>
            </w:pPr>
            <w:r>
              <w:rPr>
                <w:rFonts w:cs="Calibri" w:hAnsi="Calibri" w:ascii="Calibri"/>
                <w:b/>
                <w:bCs/>
                <w:color w:val="000000"/>
                <w:sz w:val="16"/>
                <w:szCs w:val="16"/>
              </w:rPr>
              <w:t>97.025.134,12</w:t>
            </w:r>
          </w:p>
        </w:tc>
        <w:tc>
          <w:tcPr>
            <w:tcW w:type="dxa" w:w="1101"/>
            <w:gridSpan w:val="2"/>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b/>
                <w:bCs/>
                <w:color w:val="000000"/>
                <w:sz w:val="16"/>
                <w:szCs w:val="16"/>
              </w:rPr>
            </w:pPr>
            <w:r>
              <w:rPr>
                <w:rFonts w:cs="Calibri" w:hAnsi="Calibri" w:ascii="Calibri"/>
                <w:b/>
                <w:bCs/>
                <w:color w:val="000000"/>
                <w:sz w:val="16"/>
                <w:szCs w:val="16"/>
              </w:rPr>
              <w:t>3.708.232,30</w:t>
            </w:r>
          </w:p>
        </w:tc>
        <w:tc>
          <w:tcPr>
            <w:tcW w:type="dxa" w:w="1236"/>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b/>
                <w:bCs/>
                <w:color w:val="000000"/>
                <w:sz w:val="16"/>
                <w:szCs w:val="16"/>
              </w:rPr>
            </w:pPr>
            <w:r>
              <w:rPr>
                <w:rFonts w:cs="Calibri" w:hAnsi="Calibri" w:ascii="Calibri"/>
                <w:b/>
                <w:bCs/>
                <w:color w:val="000000"/>
                <w:sz w:val="16"/>
                <w:szCs w:val="16"/>
              </w:rPr>
              <w:t>285.213,71</w:t>
            </w:r>
          </w:p>
        </w:tc>
        <w:tc>
          <w:tcPr>
            <w:tcW w:type="dxa" w:w="1235"/>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b/>
                <w:bCs/>
                <w:color w:val="000000"/>
                <w:sz w:val="16"/>
                <w:szCs w:val="16"/>
              </w:rPr>
            </w:pPr>
            <w:r>
              <w:rPr>
                <w:rFonts w:cs="Calibri" w:hAnsi="Calibri" w:ascii="Calibri"/>
                <w:b/>
                <w:bCs/>
                <w:color w:val="000000"/>
                <w:sz w:val="16"/>
                <w:szCs w:val="16"/>
              </w:rPr>
              <w:t>101.018.580,13</w:t>
            </w:r>
          </w:p>
        </w:tc>
        <w:tc>
          <w:tcPr>
            <w:tcW w:type="dxa" w:w="1235"/>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b/>
                <w:bCs/>
                <w:color w:val="000000"/>
                <w:sz w:val="16"/>
                <w:szCs w:val="16"/>
              </w:rPr>
            </w:pPr>
            <w:r>
              <w:rPr>
                <w:rFonts w:cs="Calibri" w:hAnsi="Calibri" w:ascii="Calibri"/>
                <w:b/>
                <w:bCs/>
                <w:color w:val="000000"/>
                <w:sz w:val="16"/>
                <w:szCs w:val="16"/>
              </w:rPr>
              <w:t>101.018.580,13</w:t>
            </w:r>
          </w:p>
        </w:tc>
        <w:tc>
          <w:tcPr>
            <w:tcW w:type="dxa" w:w="971"/>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b/>
                <w:bCs/>
                <w:color w:val="000000"/>
                <w:sz w:val="16"/>
                <w:szCs w:val="16"/>
              </w:rPr>
            </w:pPr>
            <w:r>
              <w:rPr>
                <w:rFonts w:cs="Calibri" w:hAnsi="Calibri" w:ascii="Calibri"/>
                <w:b/>
                <w:bCs/>
                <w:color w:val="000000"/>
                <w:sz w:val="16"/>
                <w:szCs w:val="16"/>
              </w:rPr>
              <w:t> </w:t>
            </w:r>
          </w:p>
        </w:tc>
        <w:tc>
          <w:tcPr>
            <w:tcW w:type="dxa" w:w="812"/>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b/>
                <w:bCs/>
                <w:color w:val="000000"/>
                <w:sz w:val="16"/>
                <w:szCs w:val="16"/>
              </w:rPr>
            </w:pPr>
            <w:r>
              <w:rPr>
                <w:rFonts w:cs="Calibri" w:hAnsi="Calibri" w:ascii="Calibri"/>
                <w:b/>
                <w:bCs/>
                <w:color w:val="000000"/>
                <w:sz w:val="16"/>
                <w:szCs w:val="16"/>
              </w:rPr>
              <w:t> </w:t>
            </w:r>
          </w:p>
        </w:tc>
        <w:tc>
          <w:tcPr>
            <w:tcW w:type="dxa" w:w="1154"/>
            <w:tcBorders>
              <w:top w:val="nil"/>
              <w:left w:val="nil"/>
              <w:bottom w:space="0" w:sz="4" w:color="auto" w:val="single"/>
              <w:right w:space="0" w:sz="4" w:color="auto" w:val="single"/>
            </w:tcBorders>
            <w:noWrap/>
            <w:vAlign w:val="center"/>
            <w:hideMark/>
          </w:tcPr>
          <w:p w:rsidRDefault="001E3364" w:rsidR="001E3364">
            <w:pPr>
              <w:spacing w:after="0"/>
              <w:jc w:val="right"/>
              <w:rPr>
                <w:rFonts w:cs="Calibri" w:hAnsi="Calibri" w:ascii="Calibri"/>
                <w:b/>
                <w:bCs/>
                <w:color w:val="000000"/>
                <w:sz w:val="16"/>
                <w:szCs w:val="16"/>
              </w:rPr>
            </w:pPr>
            <w:r>
              <w:rPr>
                <w:rFonts w:cs="Calibri" w:hAnsi="Calibri" w:ascii="Calibri"/>
                <w:b/>
                <w:bCs/>
                <w:color w:val="000000"/>
                <w:sz w:val="16"/>
                <w:szCs w:val="16"/>
              </w:rPr>
              <w:t>13.898.189,29</w:t>
            </w:r>
          </w:p>
        </w:tc>
        <w:tc>
          <w:tcPr>
            <w:tcW w:type="dxa" w:w="1399"/>
            <w:gridSpan w:val="2"/>
            <w:tcBorders>
              <w:top w:val="nil"/>
              <w:left w:val="nil"/>
              <w:bottom w:space="0" w:sz="4" w:color="auto" w:val="single"/>
              <w:right w:val="nil"/>
            </w:tcBorders>
            <w:vAlign w:val="center"/>
            <w:hideMark/>
          </w:tcPr>
          <w:p w:rsidRDefault="001E3364" w:rsidR="001E3364">
            <w:pPr>
              <w:spacing w:after="0"/>
              <w:jc w:val="right"/>
              <w:rPr>
                <w:rFonts w:cs="Calibri" w:hAnsi="Calibri" w:ascii="Calibri"/>
                <w:b/>
                <w:bCs/>
                <w:color w:val="000000"/>
                <w:sz w:val="16"/>
                <w:szCs w:val="16"/>
              </w:rPr>
            </w:pPr>
            <w:r>
              <w:rPr>
                <w:rFonts w:cs="Calibri" w:hAnsi="Calibri" w:ascii="Calibri"/>
                <w:b/>
                <w:bCs/>
                <w:color w:val="000000"/>
                <w:sz w:val="16"/>
                <w:szCs w:val="16"/>
              </w:rPr>
              <w:t>13.898.189,29</w:t>
            </w:r>
          </w:p>
        </w:tc>
        <w:tc>
          <w:tcPr>
            <w:tcW w:type="dxa" w:w="8292"/>
            <w:gridSpan w:val="2"/>
            <w:tcBorders>
              <w:top w:val="nil"/>
              <w:left w:val="nil"/>
              <w:bottom w:space="0" w:sz="4" w:color="auto" w:val="single"/>
              <w:right w:space="0" w:sz="4" w:color="auto" w:val="single"/>
            </w:tcBorders>
            <w:vAlign w:val="center"/>
            <w:hideMark/>
          </w:tcPr>
          <w:p w:rsidRDefault="001E3364" w:rsidR="001E3364">
            <w:pPr>
              <w:spacing w:lineRule="auto" w:line="240" w:after="0"/>
              <w:jc w:val="center"/>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 </w:t>
            </w:r>
          </w:p>
        </w:tc>
      </w:tr>
    </w:tbl>
    <w:p w:rsidRDefault="001E3364" w:rsidP="001E3364" w:rsidR="001E3364">
      <w:pPr>
        <w:pStyle w:val="Style11"/>
        <w:spacing w:lineRule="auto" w:line="304"/>
        <w:rPr>
          <w:rStyle w:val="CharacterStyle2"/>
          <w:rFonts w:hAnsiTheme="minorHAnsi" w:asciiTheme="minorHAnsi"/>
          <w:b/>
          <w:bCs/>
          <w:sz w:val="24"/>
          <w:szCs w:val="24"/>
          <w:lang w:val="hr-HR"/>
        </w:rPr>
      </w:pPr>
    </w:p>
    <w:p w:rsidRDefault="001E3364" w:rsidP="001E3364" w:rsidR="001E3364">
      <w:pPr>
        <w:spacing w:after="0"/>
        <w:rPr>
          <w:rFonts w:cstheme="majorBidi" w:eastAsiaTheme="majorEastAsia"/>
          <w:b/>
          <w:bCs/>
          <w:color w:themeShade="BF" w:themeColor="accent1" w:val="365F91"/>
          <w:sz w:val="24"/>
          <w:szCs w:val="24"/>
        </w:rPr>
        <w:sectPr w:rsidR="001E3364">
          <w:pgSz w:orient="landscape" w:h="16839" w:w="23814"/>
          <w:pgMar w:gutter="0" w:footer="708" w:header="708" w:left="1417" w:bottom="1417" w:right="1417" w:top="1417"/>
          <w:cols w:space="720"/>
        </w:sectPr>
      </w:pPr>
    </w:p>
    <w:p w:rsidRDefault="001E3364" w:rsidP="001E3364" w:rsidR="001E3364">
      <w:pPr>
        <w:pStyle w:val="Naslov1"/>
        <w:numPr>
          <w:ilvl w:val="0"/>
          <w:numId w:val="2"/>
        </w:numPr>
      </w:pPr>
      <w:bookmarkStart w:name="_Toc521023694" w:id="15"/>
      <w:r>
        <w:rPr>
          <w:rFonts w:hAnsiTheme="minorHAnsi" w:asciiTheme="minorHAnsi"/>
          <w:sz w:val="24"/>
          <w:szCs w:val="24"/>
        </w:rPr>
        <w:lastRenderedPageBreak/>
        <w:t>Rok za dobrovoljno ispunjenje</w:t>
      </w:r>
      <w:bookmarkEnd w:id="15"/>
    </w:p>
    <w:p w:rsidRDefault="001E3364" w:rsidP="001E3364" w:rsidR="001E3364">
      <w:pPr>
        <w:jc w:val="both"/>
        <w:rPr>
          <w:sz w:val="24"/>
          <w:szCs w:val="24"/>
        </w:rPr>
      </w:pPr>
      <w:r>
        <w:rPr>
          <w:sz w:val="24"/>
          <w:szCs w:val="24"/>
        </w:rPr>
        <w:t>Svi rokovi računaju se od datuma sklapanja predstečajnog sporazuma.</w:t>
      </w:r>
    </w:p>
    <w:p w:rsidRDefault="001E3364" w:rsidP="001E3364" w:rsidR="001E3364">
      <w:pPr>
        <w:jc w:val="both"/>
        <w:rPr>
          <w:sz w:val="24"/>
          <w:szCs w:val="24"/>
        </w:rPr>
      </w:pPr>
      <w:r>
        <w:rPr>
          <w:sz w:val="24"/>
          <w:szCs w:val="24"/>
        </w:rPr>
        <w:t>Kamata se obračunava i za vrijeme počeka.</w:t>
      </w:r>
    </w:p>
    <w:p w:rsidRDefault="001E3364" w:rsidP="001E3364" w:rsidR="001E3364">
      <w:pPr>
        <w:jc w:val="both"/>
        <w:rPr>
          <w:sz w:val="24"/>
          <w:szCs w:val="24"/>
        </w:rPr>
      </w:pPr>
      <w:r>
        <w:rPr>
          <w:sz w:val="24"/>
          <w:szCs w:val="24"/>
        </w:rPr>
        <w:t xml:space="preserve">Kao što je navedeno, sukladno predloženom planu predstečajne nagodbe, reprogram dijela obveza (u slučaju razlučnih vjerovnika i vjerovnika s tražbinama koje nisu nižeg isplatnog reda) provest će se u cijelosti u roku 6 mjeseci od dana sklapanja predstečajnog sporazuma. </w:t>
      </w:r>
    </w:p>
    <w:p w:rsidRDefault="001E3364" w:rsidP="001E3364" w:rsidR="001E3364">
      <w:pPr>
        <w:pStyle w:val="Naslov1"/>
        <w:numPr>
          <w:ilvl w:val="0"/>
          <w:numId w:val="2"/>
        </w:numPr>
        <w:rPr>
          <w:rFonts w:hAnsiTheme="minorHAnsi" w:asciiTheme="minorHAnsi"/>
          <w:sz w:val="24"/>
          <w:szCs w:val="24"/>
        </w:rPr>
      </w:pPr>
      <w:bookmarkStart w:name="_Toc521023695" w:id="16"/>
      <w:r>
        <w:rPr>
          <w:rFonts w:hAnsiTheme="minorHAnsi" w:asciiTheme="minorHAnsi"/>
          <w:sz w:val="24"/>
          <w:szCs w:val="24"/>
        </w:rPr>
        <w:lastRenderedPageBreak/>
        <w:t>Najava novog zaduženja u novcu radi privremenog financiranja</w:t>
      </w:r>
      <w:bookmarkEnd w:id="16"/>
    </w:p>
    <w:p w:rsidRDefault="001E3364" w:rsidP="001E3364" w:rsidR="001E3364">
      <w:r>
        <w:t>U planu financijskog i operativnog restrukturiranja nije predviđeno novo zaduživanje u novcu radi privremenog financiranja. U slučaju zaduživanja isto će se izvršiti sukladno članku 62.a Stečajnog Zakona.</w:t>
      </w:r>
    </w:p>
    <w:p w:rsidRDefault="001E3364" w:rsidP="001E3364" w:rsidR="001E3364">
      <w:pPr>
        <w:jc w:val="both"/>
        <w:rPr>
          <w:sz w:val="24"/>
          <w:szCs w:val="24"/>
        </w:rPr>
      </w:pPr>
    </w:p>
    <w:p w:rsidRDefault="001E3364" w:rsidP="001E3364" w:rsidR="001E3364">
      <w:pPr>
        <w:pStyle w:val="Naslov1"/>
        <w:numPr>
          <w:ilvl w:val="0"/>
          <w:numId w:val="2"/>
        </w:numPr>
        <w:rPr>
          <w:rFonts w:hAnsiTheme="minorHAnsi" w:asciiTheme="minorHAnsi"/>
          <w:sz w:val="24"/>
          <w:szCs w:val="24"/>
        </w:rPr>
      </w:pPr>
      <w:bookmarkStart w:name="_Toc521023696" w:id="17"/>
      <w:r>
        <w:rPr>
          <w:rFonts w:hAnsiTheme="minorHAnsi" w:asciiTheme="minorHAnsi"/>
          <w:sz w:val="24"/>
          <w:szCs w:val="24"/>
        </w:rPr>
        <w:lastRenderedPageBreak/>
        <w:t>Planirani iznos troškova restrukturiranja</w:t>
      </w:r>
      <w:bookmarkEnd w:id="17"/>
    </w:p>
    <w:p w:rsidRDefault="001E3364" w:rsidP="001E3364" w:rsidR="001E3364">
      <w:pPr>
        <w:jc w:val="both"/>
        <w:rPr>
          <w:sz w:val="24"/>
          <w:szCs w:val="24"/>
        </w:rPr>
      </w:pPr>
      <w:r>
        <w:rPr>
          <w:sz w:val="24"/>
          <w:szCs w:val="24"/>
        </w:rPr>
        <w:t xml:space="preserve">Ukupni troškovi restrukturiranja, uključujući usluge pravnih i poslovnih savjetnika, troškovi sudskog postupka te ostali troškovi procjenjuju se na iznos od oko 100.000 kn do 200.000 kn, ovisno o resursima angažiranim za vrijeme provođenja procesa restrukturiranja. </w:t>
      </w:r>
    </w:p>
    <w:p w:rsidRDefault="001E3364" w:rsidP="001E3364" w:rsidR="001E3364">
      <w:pPr>
        <w:jc w:val="both"/>
        <w:rPr>
          <w:sz w:val="24"/>
          <w:szCs w:val="24"/>
        </w:rPr>
      </w:pPr>
      <w:r>
        <w:rPr>
          <w:sz w:val="24"/>
          <w:szCs w:val="24"/>
        </w:rPr>
        <w:t xml:space="preserve">Anticipirani troškovi restrukturiranja su predviđeni prezentiranim poslovnim planom za razdoblje od 2018. do 2024. godine. </w:t>
      </w:r>
    </w:p>
    <w:p w:rsidRDefault="001E3364" w:rsidP="001E3364" w:rsidR="001E3364">
      <w:pPr>
        <w:pStyle w:val="Style1"/>
        <w:spacing w:after="180" w:before="468"/>
        <w:jc w:val="both"/>
        <w:rPr>
          <w:rFonts w:hAnsiTheme="minorHAnsi" w:asciiTheme="minorHAnsi" w:cs="Arial"/>
          <w:iCs/>
          <w:sz w:val="24"/>
          <w:szCs w:val="24"/>
          <w:lang w:val="hr-HR"/>
        </w:rPr>
      </w:pPr>
    </w:p>
    <w:p w:rsidRDefault="001E3364" w:rsidP="001E3364" w:rsidR="001E3364">
      <w:pPr>
        <w:pStyle w:val="Style1"/>
        <w:spacing w:after="180" w:before="468"/>
        <w:jc w:val="both"/>
        <w:rPr>
          <w:rFonts w:hAnsiTheme="minorHAnsi" w:asciiTheme="minorHAnsi" w:cs="Arial"/>
          <w:iCs/>
          <w:sz w:val="24"/>
          <w:szCs w:val="24"/>
          <w:lang w:val="hr-HR"/>
        </w:rPr>
      </w:pPr>
    </w:p>
    <w:p w:rsidRDefault="001E3364" w:rsidP="001E3364" w:rsidR="001E3364">
      <w:pPr>
        <w:pStyle w:val="Style1"/>
        <w:spacing w:lineRule="auto" w:line="276" w:after="180" w:before="468"/>
        <w:jc w:val="both"/>
        <w:rPr>
          <w:rFonts w:hAnsiTheme="minorHAnsi" w:asciiTheme="minorHAnsi" w:cs="Arial"/>
          <w:iCs/>
          <w:sz w:val="24"/>
          <w:szCs w:val="24"/>
          <w:lang w:val="hr-HR"/>
        </w:rPr>
      </w:pPr>
      <w:r>
        <w:rPr>
          <w:rFonts w:hAnsiTheme="minorHAnsi" w:asciiTheme="minorHAnsi" w:cs="Arial"/>
          <w:iCs/>
          <w:sz w:val="24"/>
          <w:szCs w:val="24"/>
          <w:lang w:val="hr-HR"/>
        </w:rPr>
        <w:t>U Zagrebu, 30. srpnja 2018.</w:t>
      </w:r>
    </w:p>
    <w:p w:rsidRDefault="001E3364" w:rsidP="001E3364" w:rsidR="001E3364">
      <w:pPr>
        <w:jc w:val="both"/>
        <w:rPr>
          <w:rFonts w:cs="Times New Roman" w:eastAsia="Times New Roman"/>
          <w:color w:val="000000"/>
          <w:sz w:val="24"/>
          <w:szCs w:val="24"/>
          <w:lang w:eastAsia="hr-HR"/>
        </w:rPr>
      </w:pPr>
    </w:p>
    <w:tbl>
      <w:tblPr>
        <w:tblStyle w:val="Reetkatablice"/>
        <w:tblW w:type="auto" w:w="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644"/>
        <w:gridCol w:w="4644"/>
      </w:tblGrid>
      <w:tr w:rsidTr="001E3364" w:rsidR="001E3364">
        <w:tc>
          <w:tcPr>
            <w:tcW w:type="dxa" w:w="4644"/>
            <w:hideMark/>
          </w:tcPr>
          <w:p w:rsidRDefault="001E3364" w:rsidR="001E3364">
            <w:pPr>
              <w:jc w:val="both"/>
              <w:rPr>
                <w:rFonts w:cs="Times New Roman" w:eastAsia="Times New Roman"/>
                <w:color w:val="000000"/>
                <w:sz w:val="24"/>
                <w:szCs w:val="24"/>
                <w:lang w:eastAsia="hr-HR"/>
              </w:rPr>
            </w:pPr>
            <w:r>
              <w:rPr>
                <w:rFonts w:cs="Times New Roman" w:eastAsia="Times New Roman"/>
                <w:color w:val="000000"/>
                <w:sz w:val="24"/>
                <w:szCs w:val="24"/>
                <w:lang w:eastAsia="hr-HR"/>
              </w:rPr>
              <w:t>_________________________</w:t>
            </w:r>
          </w:p>
          <w:p w:rsidRDefault="001E3364" w:rsidR="001E3364">
            <w:pPr>
              <w:jc w:val="both"/>
              <w:rPr>
                <w:rFonts w:cs="Times New Roman" w:eastAsia="Times New Roman"/>
                <w:color w:val="000000"/>
                <w:sz w:val="24"/>
                <w:szCs w:val="24"/>
                <w:lang w:eastAsia="hr-HR"/>
              </w:rPr>
            </w:pPr>
            <w:r>
              <w:rPr>
                <w:rFonts w:cs="Times New Roman" w:eastAsia="Times New Roman"/>
                <w:color w:val="000000"/>
                <w:sz w:val="24"/>
                <w:szCs w:val="24"/>
                <w:lang w:eastAsia="hr-HR"/>
              </w:rPr>
              <w:t xml:space="preserve">Milan Radišić, </w:t>
            </w:r>
          </w:p>
          <w:p w:rsidRDefault="001E3364" w:rsidR="001E3364">
            <w:pPr>
              <w:jc w:val="both"/>
              <w:rPr>
                <w:rFonts w:cs="Times New Roman" w:eastAsia="Times New Roman"/>
                <w:i/>
                <w:color w:val="000000"/>
                <w:sz w:val="24"/>
                <w:szCs w:val="24"/>
                <w:lang w:eastAsia="hr-HR"/>
              </w:rPr>
            </w:pPr>
            <w:r>
              <w:rPr>
                <w:rFonts w:cs="Times New Roman" w:eastAsia="Times New Roman"/>
                <w:i/>
                <w:color w:val="000000"/>
                <w:sz w:val="24"/>
                <w:szCs w:val="24"/>
                <w:lang w:eastAsia="hr-HR"/>
              </w:rPr>
              <w:t>Direktor</w:t>
            </w:r>
          </w:p>
        </w:tc>
        <w:tc>
          <w:tcPr>
            <w:tcW w:type="dxa" w:w="4644"/>
          </w:tcPr>
          <w:p w:rsidRDefault="001E3364" w:rsidR="001E3364">
            <w:pPr>
              <w:jc w:val="both"/>
              <w:rPr>
                <w:rFonts w:cs="Times New Roman" w:eastAsia="Times New Roman"/>
                <w:i/>
                <w:color w:val="000000"/>
                <w:sz w:val="24"/>
                <w:szCs w:val="24"/>
                <w:lang w:eastAsia="hr-HR"/>
              </w:rPr>
            </w:pPr>
          </w:p>
        </w:tc>
      </w:tr>
    </w:tbl>
    <w:p w:rsidRDefault="001E3364" w:rsidP="001E3364" w:rsidR="001E3364">
      <w:pPr>
        <w:jc w:val="both"/>
        <w:rPr>
          <w:rFonts w:cs="Times New Roman" w:eastAsia="Times New Roman"/>
          <w:color w:val="000000"/>
          <w:sz w:val="24"/>
          <w:szCs w:val="24"/>
          <w:lang w:eastAsia="hr-HR"/>
        </w:rPr>
      </w:pPr>
    </w:p>
    <w:p w:rsidRDefault="001E3364" w:rsidP="001E3364" w:rsidR="001E3364">
      <w:pPr>
        <w:rPr>
          <w:rFonts w:cs="Times New Roman" w:eastAsia="Times New Roman"/>
          <w:color w:val="000000"/>
          <w:sz w:val="24"/>
          <w:szCs w:val="24"/>
          <w:lang w:eastAsia="hr-HR"/>
        </w:rPr>
      </w:pPr>
      <w:r>
        <w:rPr>
          <w:rFonts w:cs="Times New Roman" w:eastAsia="Times New Roman"/>
          <w:color w:val="000000"/>
          <w:sz w:val="24"/>
          <w:szCs w:val="24"/>
          <w:lang w:eastAsia="hr-HR"/>
        </w:rPr>
        <w:br w:type="page"/>
      </w:r>
    </w:p>
    <w:p w:rsidRDefault="001E3364" w:rsidP="001E3364" w:rsidR="001E3364">
      <w:pPr>
        <w:pStyle w:val="Naslov1"/>
        <w:numPr>
          <w:ilvl w:val="0"/>
          <w:numId w:val="0"/>
        </w:numPr>
        <w:rPr>
          <w:rFonts w:hAnsiTheme="minorHAnsi" w:asciiTheme="minorHAnsi"/>
          <w:sz w:val="24"/>
          <w:szCs w:val="24"/>
        </w:rPr>
      </w:pPr>
      <w:bookmarkStart w:name="_Toc521023697" w:id="18"/>
      <w:r>
        <w:rPr>
          <w:rFonts w:hAnsiTheme="minorHAnsi" w:asciiTheme="minorHAnsi"/>
          <w:sz w:val="24"/>
          <w:szCs w:val="24"/>
        </w:rPr>
        <w:lastRenderedPageBreak/>
        <w:t>PRILOG 1  - OČEVIDNIK O REDOSLJEDU PLAĆANJA</w:t>
      </w:r>
      <w:bookmarkEnd w:id="18"/>
    </w:p>
    <w:p w:rsidRDefault="001E3364" w:rsidP="001E3364" w:rsidR="001E3364">
      <w:pPr>
        <w:rPr>
          <w:rFonts w:cs="Times New Roman" w:eastAsia="Times New Roman"/>
          <w:color w:val="000000"/>
          <w:sz w:val="24"/>
          <w:szCs w:val="24"/>
          <w:lang w:eastAsia="hr-HR"/>
        </w:rPr>
      </w:pPr>
      <w:r>
        <w:rPr>
          <w:rFonts w:cs="Times New Roman" w:eastAsia="Times New Roman"/>
          <w:color w:val="000000"/>
          <w:sz w:val="24"/>
          <w:szCs w:val="24"/>
          <w:lang w:eastAsia="hr-HR"/>
        </w:rPr>
        <w:br w:type="page"/>
      </w:r>
    </w:p>
    <w:p w:rsidRDefault="001E3364" w:rsidP="001E3364" w:rsidR="001E3364">
      <w:pPr>
        <w:pStyle w:val="Naslov1"/>
        <w:numPr>
          <w:ilvl w:val="0"/>
          <w:numId w:val="0"/>
        </w:numPr>
        <w:rPr>
          <w:rFonts w:hAnsiTheme="minorHAnsi" w:asciiTheme="minorHAnsi"/>
          <w:sz w:val="24"/>
          <w:szCs w:val="24"/>
        </w:rPr>
      </w:pPr>
      <w:bookmarkStart w:name="_Toc521023698" w:id="19"/>
      <w:r>
        <w:rPr>
          <w:rFonts w:hAnsiTheme="minorHAnsi" w:asciiTheme="minorHAnsi"/>
          <w:sz w:val="24"/>
          <w:szCs w:val="24"/>
        </w:rPr>
        <w:lastRenderedPageBreak/>
        <w:t>PRILOG 2: OTPLATNI PLAN RAZLUČNIH VJEROVNIKA</w:t>
      </w:r>
      <w:bookmarkEnd w:id="19"/>
    </w:p>
    <w:tbl>
      <w:tblPr>
        <w:tblW w:type="dxa" w:w="4740"/>
        <w:tblLook w:val="04A0" w:noVBand="1" w:noHBand="0" w:lastColumn="0" w:firstColumn="1" w:lastRow="0" w:firstRow="1"/>
      </w:tblPr>
      <w:tblGrid>
        <w:gridCol w:w="460"/>
        <w:gridCol w:w="1614"/>
        <w:gridCol w:w="1492"/>
        <w:gridCol w:w="1310"/>
        <w:gridCol w:w="1492"/>
      </w:tblGrid>
      <w:tr w:rsidTr="001E3364" w:rsidR="001E3364">
        <w:trPr>
          <w:trHeight w:val="450"/>
        </w:trPr>
        <w:tc>
          <w:tcPr>
            <w:tcW w:type="dxa" w:w="360"/>
            <w:vAlign w:val="bottom"/>
          </w:tcPr>
          <w:p w:rsidRDefault="001E3364" w:rsidR="001E3364">
            <w:pPr>
              <w:spacing w:lineRule="auto" w:line="240" w:after="0"/>
              <w:rPr>
                <w:rFonts w:cstheme="minorHAnsi" w:eastAsia="Times New Roman"/>
                <w:sz w:val="24"/>
                <w:szCs w:val="24"/>
                <w:lang w:eastAsia="hr-HR"/>
              </w:rPr>
            </w:pPr>
          </w:p>
        </w:tc>
        <w:tc>
          <w:tcPr>
            <w:tcW w:type="dxa" w:w="1180"/>
            <w:vAlign w:val="bottom"/>
          </w:tcPr>
          <w:p w:rsidRDefault="001E3364" w:rsidR="001E3364">
            <w:pPr>
              <w:spacing w:lineRule="auto" w:line="240" w:after="0"/>
              <w:jc w:val="center"/>
              <w:rPr>
                <w:rFonts w:cstheme="minorHAnsi" w:eastAsia="Times New Roman"/>
                <w:b/>
                <w:bCs/>
                <w:color w:val="000000"/>
                <w:sz w:val="24"/>
                <w:szCs w:val="24"/>
                <w:lang w:eastAsia="hr-HR"/>
              </w:rPr>
            </w:pPr>
          </w:p>
        </w:tc>
        <w:tc>
          <w:tcPr>
            <w:tcW w:type="dxa" w:w="1120"/>
            <w:vAlign w:val="bottom"/>
            <w:hideMark/>
          </w:tcPr>
          <w:p w:rsidRDefault="001E3364" w:rsidR="001E3364">
            <w:pPr>
              <w:spacing w:lineRule="auto" w:line="240" w:after="0"/>
              <w:jc w:val="center"/>
              <w:rPr>
                <w:rFonts w:cstheme="minorHAnsi" w:eastAsia="Times New Roman"/>
                <w:b/>
                <w:bCs/>
                <w:color w:val="000000"/>
                <w:sz w:val="24"/>
                <w:szCs w:val="24"/>
                <w:lang w:eastAsia="hr-HR"/>
              </w:rPr>
            </w:pPr>
            <w:r>
              <w:rPr>
                <w:rFonts w:cstheme="minorHAnsi" w:eastAsia="Times New Roman"/>
                <w:b/>
                <w:bCs/>
                <w:color w:val="000000"/>
                <w:sz w:val="24"/>
                <w:szCs w:val="24"/>
                <w:lang w:eastAsia="hr-HR"/>
              </w:rPr>
              <w:t>HBOR</w:t>
            </w:r>
          </w:p>
        </w:tc>
        <w:tc>
          <w:tcPr>
            <w:tcW w:type="dxa" w:w="1020"/>
            <w:vAlign w:val="bottom"/>
          </w:tcPr>
          <w:p w:rsidRDefault="001E3364" w:rsidR="001E3364">
            <w:pPr>
              <w:spacing w:lineRule="auto" w:line="240" w:after="0"/>
              <w:jc w:val="center"/>
              <w:rPr>
                <w:rFonts w:cstheme="minorHAnsi" w:eastAsia="Times New Roman"/>
                <w:b/>
                <w:bCs/>
                <w:color w:val="000000"/>
                <w:sz w:val="24"/>
                <w:szCs w:val="24"/>
                <w:lang w:eastAsia="hr-HR"/>
              </w:rPr>
            </w:pPr>
          </w:p>
        </w:tc>
        <w:tc>
          <w:tcPr>
            <w:tcW w:type="dxa" w:w="1060"/>
            <w:vAlign w:val="bottom"/>
          </w:tcPr>
          <w:p w:rsidRDefault="001E3364" w:rsidR="001E3364">
            <w:pPr>
              <w:spacing w:lineRule="auto" w:line="240" w:after="0"/>
              <w:jc w:val="center"/>
              <w:rPr>
                <w:rFonts w:cstheme="minorHAnsi" w:eastAsia="Times New Roman"/>
                <w:b/>
                <w:bCs/>
                <w:color w:val="000000"/>
                <w:sz w:val="24"/>
                <w:szCs w:val="24"/>
                <w:lang w:eastAsia="hr-HR"/>
              </w:rPr>
            </w:pPr>
          </w:p>
        </w:tc>
      </w:tr>
      <w:tr w:rsidTr="001E3364" w:rsidR="001E3364">
        <w:trPr>
          <w:trHeight w:val="450"/>
        </w:trPr>
        <w:tc>
          <w:tcPr>
            <w:tcW w:type="dxa" w:w="360"/>
            <w:vAlign w:val="bottom"/>
            <w:hideMark/>
          </w:tcPr>
          <w:p w:rsidRDefault="001E3364" w:rsidR="001E3364">
            <w:pPr>
              <w:spacing w:after="0"/>
              <w:rPr>
                <w:rFonts w:cs="Times New Roman"/>
              </w:rPr>
            </w:pPr>
          </w:p>
        </w:tc>
        <w:tc>
          <w:tcPr>
            <w:tcW w:type="dxa" w:w="1180"/>
            <w:vAlign w:val="bottom"/>
            <w:hideMark/>
          </w:tcPr>
          <w:p w:rsidRDefault="001E3364" w:rsidR="001E3364">
            <w:pPr>
              <w:spacing w:lineRule="auto" w:line="240" w:after="0"/>
              <w:jc w:val="center"/>
              <w:rPr>
                <w:rFonts w:cstheme="minorHAnsi" w:eastAsia="Times New Roman"/>
                <w:b/>
                <w:bCs/>
                <w:color w:val="000000"/>
                <w:sz w:val="24"/>
                <w:szCs w:val="24"/>
                <w:lang w:eastAsia="hr-HR"/>
              </w:rPr>
            </w:pPr>
            <w:r>
              <w:rPr>
                <w:rFonts w:cstheme="minorHAnsi" w:eastAsia="Times New Roman"/>
                <w:b/>
                <w:bCs/>
                <w:color w:val="000000"/>
                <w:sz w:val="24"/>
                <w:szCs w:val="24"/>
                <w:lang w:eastAsia="hr-HR"/>
              </w:rPr>
              <w:t>Preostala glavnica HRK</w:t>
            </w:r>
          </w:p>
        </w:tc>
        <w:tc>
          <w:tcPr>
            <w:tcW w:type="dxa" w:w="1120"/>
            <w:vAlign w:val="bottom"/>
            <w:hideMark/>
          </w:tcPr>
          <w:p w:rsidRDefault="001E3364" w:rsidR="001E3364">
            <w:pPr>
              <w:spacing w:lineRule="auto" w:line="240" w:after="0"/>
              <w:jc w:val="center"/>
              <w:rPr>
                <w:rFonts w:cstheme="minorHAnsi" w:eastAsia="Times New Roman"/>
                <w:b/>
                <w:bCs/>
                <w:color w:val="000000"/>
                <w:sz w:val="24"/>
                <w:szCs w:val="24"/>
                <w:lang w:eastAsia="hr-HR"/>
              </w:rPr>
            </w:pPr>
            <w:r>
              <w:rPr>
                <w:rFonts w:cstheme="minorHAnsi" w:eastAsia="Times New Roman"/>
                <w:b/>
                <w:bCs/>
                <w:color w:val="000000"/>
                <w:sz w:val="24"/>
                <w:szCs w:val="24"/>
                <w:lang w:eastAsia="hr-HR"/>
              </w:rPr>
              <w:t>otplata glavnice HRK</w:t>
            </w:r>
          </w:p>
        </w:tc>
        <w:tc>
          <w:tcPr>
            <w:tcW w:type="dxa" w:w="1020"/>
            <w:vAlign w:val="bottom"/>
            <w:hideMark/>
          </w:tcPr>
          <w:p w:rsidRDefault="001E3364" w:rsidR="001E3364">
            <w:pPr>
              <w:spacing w:lineRule="auto" w:line="240" w:after="0"/>
              <w:jc w:val="center"/>
              <w:rPr>
                <w:rFonts w:cstheme="minorHAnsi" w:eastAsia="Times New Roman"/>
                <w:b/>
                <w:bCs/>
                <w:color w:val="000000"/>
                <w:sz w:val="24"/>
                <w:szCs w:val="24"/>
                <w:lang w:eastAsia="hr-HR"/>
              </w:rPr>
            </w:pPr>
            <w:r>
              <w:rPr>
                <w:rFonts w:cstheme="minorHAnsi" w:eastAsia="Times New Roman"/>
                <w:b/>
                <w:bCs/>
                <w:color w:val="000000"/>
                <w:sz w:val="24"/>
                <w:szCs w:val="24"/>
                <w:lang w:eastAsia="hr-HR"/>
              </w:rPr>
              <w:t>otplata kamate HRK</w:t>
            </w:r>
          </w:p>
        </w:tc>
        <w:tc>
          <w:tcPr>
            <w:tcW w:type="dxa" w:w="1060"/>
            <w:vAlign w:val="bottom"/>
            <w:hideMark/>
          </w:tcPr>
          <w:p w:rsidRDefault="001E3364" w:rsidR="001E3364">
            <w:pPr>
              <w:spacing w:lineRule="auto" w:line="240" w:after="0"/>
              <w:jc w:val="center"/>
              <w:rPr>
                <w:rFonts w:cstheme="minorHAnsi" w:eastAsia="Times New Roman"/>
                <w:b/>
                <w:bCs/>
                <w:color w:val="000000"/>
                <w:sz w:val="24"/>
                <w:szCs w:val="24"/>
                <w:lang w:eastAsia="hr-HR"/>
              </w:rPr>
            </w:pPr>
            <w:r>
              <w:rPr>
                <w:rFonts w:cstheme="minorHAnsi" w:eastAsia="Times New Roman"/>
                <w:b/>
                <w:bCs/>
                <w:color w:val="000000"/>
                <w:sz w:val="24"/>
                <w:szCs w:val="24"/>
                <w:lang w:eastAsia="hr-HR"/>
              </w:rPr>
              <w:t>ukupna rata HRK</w:t>
            </w:r>
          </w:p>
        </w:tc>
      </w:tr>
      <w:tr w:rsidTr="001E3364" w:rsidR="001E3364">
        <w:trPr>
          <w:trHeight w:val="225"/>
        </w:trPr>
        <w:tc>
          <w:tcPr>
            <w:tcW w:type="dxa" w:w="3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0</w:t>
            </w:r>
          </w:p>
        </w:tc>
        <w:tc>
          <w:tcPr>
            <w:tcW w:type="dxa" w:w="118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34.400.502,22</w:t>
            </w:r>
          </w:p>
        </w:tc>
        <w:tc>
          <w:tcPr>
            <w:tcW w:type="dxa" w:w="11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0,00</w:t>
            </w:r>
          </w:p>
        </w:tc>
        <w:tc>
          <w:tcPr>
            <w:tcW w:type="dxa" w:w="10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215.003,14</w:t>
            </w:r>
          </w:p>
        </w:tc>
        <w:tc>
          <w:tcPr>
            <w:tcW w:type="dxa" w:w="10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215.003,14</w:t>
            </w:r>
          </w:p>
        </w:tc>
      </w:tr>
      <w:tr w:rsidTr="001E3364" w:rsidR="001E3364">
        <w:trPr>
          <w:trHeight w:val="225"/>
        </w:trPr>
        <w:tc>
          <w:tcPr>
            <w:tcW w:type="dxa" w:w="3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0</w:t>
            </w:r>
          </w:p>
        </w:tc>
        <w:tc>
          <w:tcPr>
            <w:tcW w:type="dxa" w:w="118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34.400.502,22</w:t>
            </w:r>
          </w:p>
        </w:tc>
        <w:tc>
          <w:tcPr>
            <w:tcW w:type="dxa" w:w="11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0,00</w:t>
            </w:r>
          </w:p>
        </w:tc>
        <w:tc>
          <w:tcPr>
            <w:tcW w:type="dxa" w:w="10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215.003,14</w:t>
            </w:r>
          </w:p>
        </w:tc>
        <w:tc>
          <w:tcPr>
            <w:tcW w:type="dxa" w:w="10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215.003,14</w:t>
            </w:r>
          </w:p>
        </w:tc>
      </w:tr>
      <w:tr w:rsidTr="001E3364" w:rsidR="001E3364">
        <w:trPr>
          <w:trHeight w:val="225"/>
        </w:trPr>
        <w:tc>
          <w:tcPr>
            <w:tcW w:type="dxa" w:w="3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0</w:t>
            </w:r>
          </w:p>
        </w:tc>
        <w:tc>
          <w:tcPr>
            <w:tcW w:type="dxa" w:w="118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34.400.502,22</w:t>
            </w:r>
          </w:p>
        </w:tc>
        <w:tc>
          <w:tcPr>
            <w:tcW w:type="dxa" w:w="11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0,00</w:t>
            </w:r>
          </w:p>
        </w:tc>
        <w:tc>
          <w:tcPr>
            <w:tcW w:type="dxa" w:w="10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215.003,14</w:t>
            </w:r>
          </w:p>
        </w:tc>
        <w:tc>
          <w:tcPr>
            <w:tcW w:type="dxa" w:w="10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215.003,14</w:t>
            </w:r>
          </w:p>
        </w:tc>
      </w:tr>
      <w:tr w:rsidTr="001E3364" w:rsidR="001E3364">
        <w:trPr>
          <w:trHeight w:val="225"/>
        </w:trPr>
        <w:tc>
          <w:tcPr>
            <w:tcW w:type="dxa" w:w="36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0</w:t>
            </w:r>
          </w:p>
        </w:tc>
        <w:tc>
          <w:tcPr>
            <w:tcW w:type="dxa" w:w="118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34.400.502,22</w:t>
            </w:r>
          </w:p>
        </w:tc>
        <w:tc>
          <w:tcPr>
            <w:tcW w:type="dxa" w:w="112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0,00</w:t>
            </w:r>
          </w:p>
        </w:tc>
        <w:tc>
          <w:tcPr>
            <w:tcW w:type="dxa" w:w="102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215.003,14</w:t>
            </w:r>
          </w:p>
        </w:tc>
        <w:tc>
          <w:tcPr>
            <w:tcW w:type="dxa" w:w="106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215.003,14</w:t>
            </w:r>
          </w:p>
        </w:tc>
      </w:tr>
      <w:tr w:rsidTr="001E3364" w:rsidR="001E3364">
        <w:trPr>
          <w:trHeight w:val="225"/>
        </w:trPr>
        <w:tc>
          <w:tcPr>
            <w:tcW w:type="dxa" w:w="3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0</w:t>
            </w:r>
          </w:p>
        </w:tc>
        <w:tc>
          <w:tcPr>
            <w:tcW w:type="dxa" w:w="118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34.400.502,22</w:t>
            </w:r>
          </w:p>
        </w:tc>
        <w:tc>
          <w:tcPr>
            <w:tcW w:type="dxa" w:w="11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0,00</w:t>
            </w:r>
          </w:p>
        </w:tc>
        <w:tc>
          <w:tcPr>
            <w:tcW w:type="dxa" w:w="10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215.003,14</w:t>
            </w:r>
          </w:p>
        </w:tc>
        <w:tc>
          <w:tcPr>
            <w:tcW w:type="dxa" w:w="10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215.003,14</w:t>
            </w:r>
          </w:p>
        </w:tc>
      </w:tr>
      <w:tr w:rsidTr="001E3364" w:rsidR="001E3364">
        <w:trPr>
          <w:trHeight w:val="225"/>
        </w:trPr>
        <w:tc>
          <w:tcPr>
            <w:tcW w:type="dxa" w:w="3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0</w:t>
            </w:r>
          </w:p>
        </w:tc>
        <w:tc>
          <w:tcPr>
            <w:tcW w:type="dxa" w:w="118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34.400.502,22</w:t>
            </w:r>
          </w:p>
        </w:tc>
        <w:tc>
          <w:tcPr>
            <w:tcW w:type="dxa" w:w="11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0,00</w:t>
            </w:r>
          </w:p>
        </w:tc>
        <w:tc>
          <w:tcPr>
            <w:tcW w:type="dxa" w:w="10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215.003,14</w:t>
            </w:r>
          </w:p>
        </w:tc>
        <w:tc>
          <w:tcPr>
            <w:tcW w:type="dxa" w:w="10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215.003,14</w:t>
            </w:r>
          </w:p>
        </w:tc>
      </w:tr>
      <w:tr w:rsidTr="001E3364" w:rsidR="001E3364">
        <w:trPr>
          <w:trHeight w:val="225"/>
        </w:trPr>
        <w:tc>
          <w:tcPr>
            <w:tcW w:type="dxa" w:w="3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0</w:t>
            </w:r>
          </w:p>
        </w:tc>
        <w:tc>
          <w:tcPr>
            <w:tcW w:type="dxa" w:w="118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34.400.502,22</w:t>
            </w:r>
          </w:p>
        </w:tc>
        <w:tc>
          <w:tcPr>
            <w:tcW w:type="dxa" w:w="11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0,00</w:t>
            </w:r>
          </w:p>
        </w:tc>
        <w:tc>
          <w:tcPr>
            <w:tcW w:type="dxa" w:w="10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215.003,14</w:t>
            </w:r>
          </w:p>
        </w:tc>
        <w:tc>
          <w:tcPr>
            <w:tcW w:type="dxa" w:w="10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215.003,14</w:t>
            </w:r>
          </w:p>
        </w:tc>
      </w:tr>
      <w:tr w:rsidTr="001E3364" w:rsidR="001E3364">
        <w:trPr>
          <w:trHeight w:val="225"/>
        </w:trPr>
        <w:tc>
          <w:tcPr>
            <w:tcW w:type="dxa" w:w="36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0</w:t>
            </w:r>
          </w:p>
        </w:tc>
        <w:tc>
          <w:tcPr>
            <w:tcW w:type="dxa" w:w="118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34.400.502,22</w:t>
            </w:r>
          </w:p>
        </w:tc>
        <w:tc>
          <w:tcPr>
            <w:tcW w:type="dxa" w:w="112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0,00</w:t>
            </w:r>
          </w:p>
        </w:tc>
        <w:tc>
          <w:tcPr>
            <w:tcW w:type="dxa" w:w="102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215.003,14</w:t>
            </w:r>
          </w:p>
        </w:tc>
        <w:tc>
          <w:tcPr>
            <w:tcW w:type="dxa" w:w="106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215.003,14</w:t>
            </w:r>
          </w:p>
        </w:tc>
      </w:tr>
      <w:tr w:rsidTr="001E3364" w:rsidR="001E3364">
        <w:trPr>
          <w:trHeight w:val="225"/>
        </w:trPr>
        <w:tc>
          <w:tcPr>
            <w:tcW w:type="dxa" w:w="3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w:t>
            </w:r>
          </w:p>
        </w:tc>
        <w:tc>
          <w:tcPr>
            <w:tcW w:type="dxa" w:w="118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33.171.912,86</w:t>
            </w:r>
          </w:p>
        </w:tc>
        <w:tc>
          <w:tcPr>
            <w:tcW w:type="dxa" w:w="11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1.228.589,37</w:t>
            </w:r>
          </w:p>
        </w:tc>
        <w:tc>
          <w:tcPr>
            <w:tcW w:type="dxa" w:w="10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207.324,46</w:t>
            </w:r>
          </w:p>
        </w:tc>
        <w:tc>
          <w:tcPr>
            <w:tcW w:type="dxa" w:w="10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1.435.913,82</w:t>
            </w:r>
          </w:p>
        </w:tc>
      </w:tr>
      <w:tr w:rsidTr="001E3364" w:rsidR="001E3364">
        <w:trPr>
          <w:trHeight w:val="225"/>
        </w:trPr>
        <w:tc>
          <w:tcPr>
            <w:tcW w:type="dxa" w:w="3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w:t>
            </w:r>
          </w:p>
        </w:tc>
        <w:tc>
          <w:tcPr>
            <w:tcW w:type="dxa" w:w="118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31.943.323,49</w:t>
            </w:r>
          </w:p>
        </w:tc>
        <w:tc>
          <w:tcPr>
            <w:tcW w:type="dxa" w:w="11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1.228.589,37</w:t>
            </w:r>
          </w:p>
        </w:tc>
        <w:tc>
          <w:tcPr>
            <w:tcW w:type="dxa" w:w="10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199.645,77</w:t>
            </w:r>
          </w:p>
        </w:tc>
        <w:tc>
          <w:tcPr>
            <w:tcW w:type="dxa" w:w="10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1.428.235,14</w:t>
            </w:r>
          </w:p>
        </w:tc>
      </w:tr>
      <w:tr w:rsidTr="001E3364" w:rsidR="001E3364">
        <w:trPr>
          <w:trHeight w:val="225"/>
        </w:trPr>
        <w:tc>
          <w:tcPr>
            <w:tcW w:type="dxa" w:w="3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3</w:t>
            </w:r>
          </w:p>
        </w:tc>
        <w:tc>
          <w:tcPr>
            <w:tcW w:type="dxa" w:w="118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30.714.734,13</w:t>
            </w:r>
          </w:p>
        </w:tc>
        <w:tc>
          <w:tcPr>
            <w:tcW w:type="dxa" w:w="11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1.228.589,37</w:t>
            </w:r>
          </w:p>
        </w:tc>
        <w:tc>
          <w:tcPr>
            <w:tcW w:type="dxa" w:w="10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191.967,09</w:t>
            </w:r>
          </w:p>
        </w:tc>
        <w:tc>
          <w:tcPr>
            <w:tcW w:type="dxa" w:w="10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1.420.556,45</w:t>
            </w:r>
          </w:p>
        </w:tc>
      </w:tr>
      <w:tr w:rsidTr="001E3364" w:rsidR="001E3364">
        <w:trPr>
          <w:trHeight w:val="225"/>
        </w:trPr>
        <w:tc>
          <w:tcPr>
            <w:tcW w:type="dxa" w:w="36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4</w:t>
            </w:r>
          </w:p>
        </w:tc>
        <w:tc>
          <w:tcPr>
            <w:tcW w:type="dxa" w:w="118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29.486.144,76</w:t>
            </w:r>
          </w:p>
        </w:tc>
        <w:tc>
          <w:tcPr>
            <w:tcW w:type="dxa" w:w="112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1.228.589,37</w:t>
            </w:r>
          </w:p>
        </w:tc>
        <w:tc>
          <w:tcPr>
            <w:tcW w:type="dxa" w:w="102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184.288,40</w:t>
            </w:r>
          </w:p>
        </w:tc>
        <w:tc>
          <w:tcPr>
            <w:tcW w:type="dxa" w:w="106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1.412.877,77</w:t>
            </w:r>
          </w:p>
        </w:tc>
      </w:tr>
      <w:tr w:rsidTr="001E3364" w:rsidR="001E3364">
        <w:trPr>
          <w:trHeight w:val="225"/>
        </w:trPr>
        <w:tc>
          <w:tcPr>
            <w:tcW w:type="dxa" w:w="3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5</w:t>
            </w:r>
          </w:p>
        </w:tc>
        <w:tc>
          <w:tcPr>
            <w:tcW w:type="dxa" w:w="118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28.257.555,40</w:t>
            </w:r>
          </w:p>
        </w:tc>
        <w:tc>
          <w:tcPr>
            <w:tcW w:type="dxa" w:w="11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1.228.589,37</w:t>
            </w:r>
          </w:p>
        </w:tc>
        <w:tc>
          <w:tcPr>
            <w:tcW w:type="dxa" w:w="10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176.609,72</w:t>
            </w:r>
          </w:p>
        </w:tc>
        <w:tc>
          <w:tcPr>
            <w:tcW w:type="dxa" w:w="10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1.405.199,09</w:t>
            </w:r>
          </w:p>
        </w:tc>
      </w:tr>
      <w:tr w:rsidTr="001E3364" w:rsidR="001E3364">
        <w:trPr>
          <w:trHeight w:val="225"/>
        </w:trPr>
        <w:tc>
          <w:tcPr>
            <w:tcW w:type="dxa" w:w="3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6</w:t>
            </w:r>
          </w:p>
        </w:tc>
        <w:tc>
          <w:tcPr>
            <w:tcW w:type="dxa" w:w="118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27.028.966,03</w:t>
            </w:r>
          </w:p>
        </w:tc>
        <w:tc>
          <w:tcPr>
            <w:tcW w:type="dxa" w:w="11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1.228.589,37</w:t>
            </w:r>
          </w:p>
        </w:tc>
        <w:tc>
          <w:tcPr>
            <w:tcW w:type="dxa" w:w="10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168.931,04</w:t>
            </w:r>
          </w:p>
        </w:tc>
        <w:tc>
          <w:tcPr>
            <w:tcW w:type="dxa" w:w="10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1.397.520,40</w:t>
            </w:r>
          </w:p>
        </w:tc>
      </w:tr>
      <w:tr w:rsidTr="001E3364" w:rsidR="001E3364">
        <w:trPr>
          <w:trHeight w:val="225"/>
        </w:trPr>
        <w:tc>
          <w:tcPr>
            <w:tcW w:type="dxa" w:w="3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7</w:t>
            </w:r>
          </w:p>
        </w:tc>
        <w:tc>
          <w:tcPr>
            <w:tcW w:type="dxa" w:w="118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25.800.376,67</w:t>
            </w:r>
          </w:p>
        </w:tc>
        <w:tc>
          <w:tcPr>
            <w:tcW w:type="dxa" w:w="11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1.228.589,37</w:t>
            </w:r>
          </w:p>
        </w:tc>
        <w:tc>
          <w:tcPr>
            <w:tcW w:type="dxa" w:w="10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161.252,35</w:t>
            </w:r>
          </w:p>
        </w:tc>
        <w:tc>
          <w:tcPr>
            <w:tcW w:type="dxa" w:w="10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1.389.841,72</w:t>
            </w:r>
          </w:p>
        </w:tc>
      </w:tr>
      <w:tr w:rsidTr="001E3364" w:rsidR="001E3364">
        <w:trPr>
          <w:trHeight w:val="225"/>
        </w:trPr>
        <w:tc>
          <w:tcPr>
            <w:tcW w:type="dxa" w:w="36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8</w:t>
            </w:r>
          </w:p>
        </w:tc>
        <w:tc>
          <w:tcPr>
            <w:tcW w:type="dxa" w:w="118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24.571.787,30</w:t>
            </w:r>
          </w:p>
        </w:tc>
        <w:tc>
          <w:tcPr>
            <w:tcW w:type="dxa" w:w="112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1.228.589,37</w:t>
            </w:r>
          </w:p>
        </w:tc>
        <w:tc>
          <w:tcPr>
            <w:tcW w:type="dxa" w:w="102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153.573,67</w:t>
            </w:r>
          </w:p>
        </w:tc>
        <w:tc>
          <w:tcPr>
            <w:tcW w:type="dxa" w:w="106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1.382.163,04</w:t>
            </w:r>
          </w:p>
        </w:tc>
      </w:tr>
      <w:tr w:rsidTr="001E3364" w:rsidR="001E3364">
        <w:trPr>
          <w:trHeight w:val="225"/>
        </w:trPr>
        <w:tc>
          <w:tcPr>
            <w:tcW w:type="dxa" w:w="3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9</w:t>
            </w:r>
          </w:p>
        </w:tc>
        <w:tc>
          <w:tcPr>
            <w:tcW w:type="dxa" w:w="118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23.343.197,94</w:t>
            </w:r>
          </w:p>
        </w:tc>
        <w:tc>
          <w:tcPr>
            <w:tcW w:type="dxa" w:w="11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1.228.589,37</w:t>
            </w:r>
          </w:p>
        </w:tc>
        <w:tc>
          <w:tcPr>
            <w:tcW w:type="dxa" w:w="10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145.894,99</w:t>
            </w:r>
          </w:p>
        </w:tc>
        <w:tc>
          <w:tcPr>
            <w:tcW w:type="dxa" w:w="10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1.374.484,35</w:t>
            </w:r>
          </w:p>
        </w:tc>
      </w:tr>
      <w:tr w:rsidTr="001E3364" w:rsidR="001E3364">
        <w:trPr>
          <w:trHeight w:val="225"/>
        </w:trPr>
        <w:tc>
          <w:tcPr>
            <w:tcW w:type="dxa" w:w="3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10</w:t>
            </w:r>
          </w:p>
        </w:tc>
        <w:tc>
          <w:tcPr>
            <w:tcW w:type="dxa" w:w="118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22.114.608,57</w:t>
            </w:r>
          </w:p>
        </w:tc>
        <w:tc>
          <w:tcPr>
            <w:tcW w:type="dxa" w:w="11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1.228.589,37</w:t>
            </w:r>
          </w:p>
        </w:tc>
        <w:tc>
          <w:tcPr>
            <w:tcW w:type="dxa" w:w="10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138.216,30</w:t>
            </w:r>
          </w:p>
        </w:tc>
        <w:tc>
          <w:tcPr>
            <w:tcW w:type="dxa" w:w="10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1.366.805,67</w:t>
            </w:r>
          </w:p>
        </w:tc>
      </w:tr>
      <w:tr w:rsidTr="001E3364" w:rsidR="001E3364">
        <w:trPr>
          <w:trHeight w:val="225"/>
        </w:trPr>
        <w:tc>
          <w:tcPr>
            <w:tcW w:type="dxa" w:w="3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11</w:t>
            </w:r>
          </w:p>
        </w:tc>
        <w:tc>
          <w:tcPr>
            <w:tcW w:type="dxa" w:w="118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20.886.019,21</w:t>
            </w:r>
          </w:p>
        </w:tc>
        <w:tc>
          <w:tcPr>
            <w:tcW w:type="dxa" w:w="11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1.228.589,37</w:t>
            </w:r>
          </w:p>
        </w:tc>
        <w:tc>
          <w:tcPr>
            <w:tcW w:type="dxa" w:w="10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130.537,62</w:t>
            </w:r>
          </w:p>
        </w:tc>
        <w:tc>
          <w:tcPr>
            <w:tcW w:type="dxa" w:w="10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1.359.126,99</w:t>
            </w:r>
          </w:p>
        </w:tc>
      </w:tr>
      <w:tr w:rsidTr="001E3364" w:rsidR="001E3364">
        <w:trPr>
          <w:trHeight w:val="225"/>
        </w:trPr>
        <w:tc>
          <w:tcPr>
            <w:tcW w:type="dxa" w:w="36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12</w:t>
            </w:r>
          </w:p>
        </w:tc>
        <w:tc>
          <w:tcPr>
            <w:tcW w:type="dxa" w:w="118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19.657.429,84</w:t>
            </w:r>
          </w:p>
        </w:tc>
        <w:tc>
          <w:tcPr>
            <w:tcW w:type="dxa" w:w="112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1.228.589,37</w:t>
            </w:r>
          </w:p>
        </w:tc>
        <w:tc>
          <w:tcPr>
            <w:tcW w:type="dxa" w:w="102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122.858,94</w:t>
            </w:r>
          </w:p>
        </w:tc>
        <w:tc>
          <w:tcPr>
            <w:tcW w:type="dxa" w:w="106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1.351.448,30</w:t>
            </w:r>
          </w:p>
        </w:tc>
      </w:tr>
      <w:tr w:rsidTr="001E3364" w:rsidR="001E3364">
        <w:trPr>
          <w:trHeight w:val="225"/>
        </w:trPr>
        <w:tc>
          <w:tcPr>
            <w:tcW w:type="dxa" w:w="3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13</w:t>
            </w:r>
          </w:p>
        </w:tc>
        <w:tc>
          <w:tcPr>
            <w:tcW w:type="dxa" w:w="118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18.428.840,48</w:t>
            </w:r>
          </w:p>
        </w:tc>
        <w:tc>
          <w:tcPr>
            <w:tcW w:type="dxa" w:w="11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1.228.589,37</w:t>
            </w:r>
          </w:p>
        </w:tc>
        <w:tc>
          <w:tcPr>
            <w:tcW w:type="dxa" w:w="10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115.180,25</w:t>
            </w:r>
          </w:p>
        </w:tc>
        <w:tc>
          <w:tcPr>
            <w:tcW w:type="dxa" w:w="10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1.343.769,62</w:t>
            </w:r>
          </w:p>
        </w:tc>
      </w:tr>
      <w:tr w:rsidTr="001E3364" w:rsidR="001E3364">
        <w:trPr>
          <w:trHeight w:val="225"/>
        </w:trPr>
        <w:tc>
          <w:tcPr>
            <w:tcW w:type="dxa" w:w="3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14</w:t>
            </w:r>
          </w:p>
        </w:tc>
        <w:tc>
          <w:tcPr>
            <w:tcW w:type="dxa" w:w="118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17.200.251,11</w:t>
            </w:r>
          </w:p>
        </w:tc>
        <w:tc>
          <w:tcPr>
            <w:tcW w:type="dxa" w:w="11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1.228.589,37</w:t>
            </w:r>
          </w:p>
        </w:tc>
        <w:tc>
          <w:tcPr>
            <w:tcW w:type="dxa" w:w="10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107.501,57</w:t>
            </w:r>
          </w:p>
        </w:tc>
        <w:tc>
          <w:tcPr>
            <w:tcW w:type="dxa" w:w="10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1.336.090,93</w:t>
            </w:r>
          </w:p>
        </w:tc>
      </w:tr>
      <w:tr w:rsidTr="001E3364" w:rsidR="001E3364">
        <w:trPr>
          <w:trHeight w:val="225"/>
        </w:trPr>
        <w:tc>
          <w:tcPr>
            <w:tcW w:type="dxa" w:w="3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15</w:t>
            </w:r>
          </w:p>
        </w:tc>
        <w:tc>
          <w:tcPr>
            <w:tcW w:type="dxa" w:w="118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15.971.661,75</w:t>
            </w:r>
          </w:p>
        </w:tc>
        <w:tc>
          <w:tcPr>
            <w:tcW w:type="dxa" w:w="11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1.228.589,37</w:t>
            </w:r>
          </w:p>
        </w:tc>
        <w:tc>
          <w:tcPr>
            <w:tcW w:type="dxa" w:w="10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99.822,89</w:t>
            </w:r>
          </w:p>
        </w:tc>
        <w:tc>
          <w:tcPr>
            <w:tcW w:type="dxa" w:w="10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1.328.412,25</w:t>
            </w:r>
          </w:p>
        </w:tc>
      </w:tr>
      <w:tr w:rsidTr="001E3364" w:rsidR="001E3364">
        <w:trPr>
          <w:trHeight w:val="225"/>
        </w:trPr>
        <w:tc>
          <w:tcPr>
            <w:tcW w:type="dxa" w:w="36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16</w:t>
            </w:r>
          </w:p>
        </w:tc>
        <w:tc>
          <w:tcPr>
            <w:tcW w:type="dxa" w:w="118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14.743.072,38</w:t>
            </w:r>
          </w:p>
        </w:tc>
        <w:tc>
          <w:tcPr>
            <w:tcW w:type="dxa" w:w="112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1.228.589,37</w:t>
            </w:r>
          </w:p>
        </w:tc>
        <w:tc>
          <w:tcPr>
            <w:tcW w:type="dxa" w:w="102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92.144,20</w:t>
            </w:r>
          </w:p>
        </w:tc>
        <w:tc>
          <w:tcPr>
            <w:tcW w:type="dxa" w:w="106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1.320.733,57</w:t>
            </w:r>
          </w:p>
        </w:tc>
      </w:tr>
      <w:tr w:rsidTr="001E3364" w:rsidR="001E3364">
        <w:trPr>
          <w:trHeight w:val="225"/>
        </w:trPr>
        <w:tc>
          <w:tcPr>
            <w:tcW w:type="dxa" w:w="3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17</w:t>
            </w:r>
          </w:p>
        </w:tc>
        <w:tc>
          <w:tcPr>
            <w:tcW w:type="dxa" w:w="118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13.514.483,02</w:t>
            </w:r>
          </w:p>
        </w:tc>
        <w:tc>
          <w:tcPr>
            <w:tcW w:type="dxa" w:w="11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1.228.589,37</w:t>
            </w:r>
          </w:p>
        </w:tc>
        <w:tc>
          <w:tcPr>
            <w:tcW w:type="dxa" w:w="10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84.465,52</w:t>
            </w:r>
          </w:p>
        </w:tc>
        <w:tc>
          <w:tcPr>
            <w:tcW w:type="dxa" w:w="10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1.313.054,88</w:t>
            </w:r>
          </w:p>
        </w:tc>
      </w:tr>
      <w:tr w:rsidTr="001E3364" w:rsidR="001E3364">
        <w:trPr>
          <w:trHeight w:val="225"/>
        </w:trPr>
        <w:tc>
          <w:tcPr>
            <w:tcW w:type="dxa" w:w="3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18</w:t>
            </w:r>
          </w:p>
        </w:tc>
        <w:tc>
          <w:tcPr>
            <w:tcW w:type="dxa" w:w="118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12.285.893,65</w:t>
            </w:r>
          </w:p>
        </w:tc>
        <w:tc>
          <w:tcPr>
            <w:tcW w:type="dxa" w:w="11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1.228.589,37</w:t>
            </w:r>
          </w:p>
        </w:tc>
        <w:tc>
          <w:tcPr>
            <w:tcW w:type="dxa" w:w="10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76.786,84</w:t>
            </w:r>
          </w:p>
        </w:tc>
        <w:tc>
          <w:tcPr>
            <w:tcW w:type="dxa" w:w="10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1.305.376,20</w:t>
            </w:r>
          </w:p>
        </w:tc>
      </w:tr>
      <w:tr w:rsidTr="001E3364" w:rsidR="001E3364">
        <w:trPr>
          <w:trHeight w:val="225"/>
        </w:trPr>
        <w:tc>
          <w:tcPr>
            <w:tcW w:type="dxa" w:w="3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19</w:t>
            </w:r>
          </w:p>
        </w:tc>
        <w:tc>
          <w:tcPr>
            <w:tcW w:type="dxa" w:w="118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11.057.304,29</w:t>
            </w:r>
          </w:p>
        </w:tc>
        <w:tc>
          <w:tcPr>
            <w:tcW w:type="dxa" w:w="11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1.228.589,37</w:t>
            </w:r>
          </w:p>
        </w:tc>
        <w:tc>
          <w:tcPr>
            <w:tcW w:type="dxa" w:w="10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69.108,15</w:t>
            </w:r>
          </w:p>
        </w:tc>
        <w:tc>
          <w:tcPr>
            <w:tcW w:type="dxa" w:w="10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1.297.697,52</w:t>
            </w:r>
          </w:p>
        </w:tc>
      </w:tr>
      <w:tr w:rsidTr="001E3364" w:rsidR="001E3364">
        <w:trPr>
          <w:trHeight w:val="225"/>
        </w:trPr>
        <w:tc>
          <w:tcPr>
            <w:tcW w:type="dxa" w:w="36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20</w:t>
            </w:r>
          </w:p>
        </w:tc>
        <w:tc>
          <w:tcPr>
            <w:tcW w:type="dxa" w:w="118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9.828.714,92</w:t>
            </w:r>
          </w:p>
        </w:tc>
        <w:tc>
          <w:tcPr>
            <w:tcW w:type="dxa" w:w="112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1.228.589,37</w:t>
            </w:r>
          </w:p>
        </w:tc>
        <w:tc>
          <w:tcPr>
            <w:tcW w:type="dxa" w:w="102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61.429,47</w:t>
            </w:r>
          </w:p>
        </w:tc>
        <w:tc>
          <w:tcPr>
            <w:tcW w:type="dxa" w:w="106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1.290.018,83</w:t>
            </w:r>
          </w:p>
        </w:tc>
      </w:tr>
      <w:tr w:rsidTr="001E3364" w:rsidR="001E3364">
        <w:trPr>
          <w:trHeight w:val="225"/>
        </w:trPr>
        <w:tc>
          <w:tcPr>
            <w:tcW w:type="dxa" w:w="3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21</w:t>
            </w:r>
          </w:p>
        </w:tc>
        <w:tc>
          <w:tcPr>
            <w:tcW w:type="dxa" w:w="118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8.600.125,56</w:t>
            </w:r>
          </w:p>
        </w:tc>
        <w:tc>
          <w:tcPr>
            <w:tcW w:type="dxa" w:w="11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1.228.589,37</w:t>
            </w:r>
          </w:p>
        </w:tc>
        <w:tc>
          <w:tcPr>
            <w:tcW w:type="dxa" w:w="10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53.750,78</w:t>
            </w:r>
          </w:p>
        </w:tc>
        <w:tc>
          <w:tcPr>
            <w:tcW w:type="dxa" w:w="10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1.282.340,15</w:t>
            </w:r>
          </w:p>
        </w:tc>
      </w:tr>
      <w:tr w:rsidTr="001E3364" w:rsidR="001E3364">
        <w:trPr>
          <w:trHeight w:val="225"/>
        </w:trPr>
        <w:tc>
          <w:tcPr>
            <w:tcW w:type="dxa" w:w="3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22</w:t>
            </w:r>
          </w:p>
        </w:tc>
        <w:tc>
          <w:tcPr>
            <w:tcW w:type="dxa" w:w="118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7.371.536,19</w:t>
            </w:r>
          </w:p>
        </w:tc>
        <w:tc>
          <w:tcPr>
            <w:tcW w:type="dxa" w:w="11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1.228.589,37</w:t>
            </w:r>
          </w:p>
        </w:tc>
        <w:tc>
          <w:tcPr>
            <w:tcW w:type="dxa" w:w="10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46.072,10</w:t>
            </w:r>
          </w:p>
        </w:tc>
        <w:tc>
          <w:tcPr>
            <w:tcW w:type="dxa" w:w="10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1.274.661,47</w:t>
            </w:r>
          </w:p>
        </w:tc>
      </w:tr>
      <w:tr w:rsidTr="001E3364" w:rsidR="001E3364">
        <w:trPr>
          <w:trHeight w:val="225"/>
        </w:trPr>
        <w:tc>
          <w:tcPr>
            <w:tcW w:type="dxa" w:w="3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23</w:t>
            </w:r>
          </w:p>
        </w:tc>
        <w:tc>
          <w:tcPr>
            <w:tcW w:type="dxa" w:w="118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6.142.946,83</w:t>
            </w:r>
          </w:p>
        </w:tc>
        <w:tc>
          <w:tcPr>
            <w:tcW w:type="dxa" w:w="11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1.228.589,37</w:t>
            </w:r>
          </w:p>
        </w:tc>
        <w:tc>
          <w:tcPr>
            <w:tcW w:type="dxa" w:w="10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38.393,42</w:t>
            </w:r>
          </w:p>
        </w:tc>
        <w:tc>
          <w:tcPr>
            <w:tcW w:type="dxa" w:w="10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1.266.982,78</w:t>
            </w:r>
          </w:p>
        </w:tc>
      </w:tr>
      <w:tr w:rsidTr="001E3364" w:rsidR="001E3364">
        <w:trPr>
          <w:trHeight w:val="225"/>
        </w:trPr>
        <w:tc>
          <w:tcPr>
            <w:tcW w:type="dxa" w:w="36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24</w:t>
            </w:r>
          </w:p>
        </w:tc>
        <w:tc>
          <w:tcPr>
            <w:tcW w:type="dxa" w:w="118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4.914.357,46</w:t>
            </w:r>
          </w:p>
        </w:tc>
        <w:tc>
          <w:tcPr>
            <w:tcW w:type="dxa" w:w="112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1.228.589,37</w:t>
            </w:r>
          </w:p>
        </w:tc>
        <w:tc>
          <w:tcPr>
            <w:tcW w:type="dxa" w:w="102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30.714,73</w:t>
            </w:r>
          </w:p>
        </w:tc>
        <w:tc>
          <w:tcPr>
            <w:tcW w:type="dxa" w:w="106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1.259.304,10</w:t>
            </w:r>
          </w:p>
        </w:tc>
      </w:tr>
      <w:tr w:rsidTr="001E3364" w:rsidR="001E3364">
        <w:trPr>
          <w:trHeight w:val="225"/>
        </w:trPr>
        <w:tc>
          <w:tcPr>
            <w:tcW w:type="dxa" w:w="3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25</w:t>
            </w:r>
          </w:p>
        </w:tc>
        <w:tc>
          <w:tcPr>
            <w:tcW w:type="dxa" w:w="118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3.685.768,10</w:t>
            </w:r>
          </w:p>
        </w:tc>
        <w:tc>
          <w:tcPr>
            <w:tcW w:type="dxa" w:w="11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1.228.589,37</w:t>
            </w:r>
          </w:p>
        </w:tc>
        <w:tc>
          <w:tcPr>
            <w:tcW w:type="dxa" w:w="10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23.036,05</w:t>
            </w:r>
          </w:p>
        </w:tc>
        <w:tc>
          <w:tcPr>
            <w:tcW w:type="dxa" w:w="10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1.251.625,42</w:t>
            </w:r>
          </w:p>
        </w:tc>
      </w:tr>
      <w:tr w:rsidTr="001E3364" w:rsidR="001E3364">
        <w:trPr>
          <w:trHeight w:val="225"/>
        </w:trPr>
        <w:tc>
          <w:tcPr>
            <w:tcW w:type="dxa" w:w="3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26</w:t>
            </w:r>
          </w:p>
        </w:tc>
        <w:tc>
          <w:tcPr>
            <w:tcW w:type="dxa" w:w="118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2.457.178,73</w:t>
            </w:r>
          </w:p>
        </w:tc>
        <w:tc>
          <w:tcPr>
            <w:tcW w:type="dxa" w:w="11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1.228.589,37</w:t>
            </w:r>
          </w:p>
        </w:tc>
        <w:tc>
          <w:tcPr>
            <w:tcW w:type="dxa" w:w="10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15.357,37</w:t>
            </w:r>
          </w:p>
        </w:tc>
        <w:tc>
          <w:tcPr>
            <w:tcW w:type="dxa" w:w="10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1.243.946,73</w:t>
            </w:r>
          </w:p>
        </w:tc>
      </w:tr>
      <w:tr w:rsidTr="001E3364" w:rsidR="001E3364">
        <w:trPr>
          <w:trHeight w:val="225"/>
        </w:trPr>
        <w:tc>
          <w:tcPr>
            <w:tcW w:type="dxa" w:w="3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27</w:t>
            </w:r>
          </w:p>
        </w:tc>
        <w:tc>
          <w:tcPr>
            <w:tcW w:type="dxa" w:w="118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1.228.589,37</w:t>
            </w:r>
          </w:p>
        </w:tc>
        <w:tc>
          <w:tcPr>
            <w:tcW w:type="dxa" w:w="11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1.228.589,37</w:t>
            </w:r>
          </w:p>
        </w:tc>
        <w:tc>
          <w:tcPr>
            <w:tcW w:type="dxa" w:w="10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7.678,68</w:t>
            </w:r>
          </w:p>
        </w:tc>
        <w:tc>
          <w:tcPr>
            <w:tcW w:type="dxa" w:w="10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1.236.268,05</w:t>
            </w:r>
          </w:p>
        </w:tc>
      </w:tr>
      <w:tr w:rsidTr="001E3364" w:rsidR="001E3364">
        <w:trPr>
          <w:trHeight w:val="225"/>
        </w:trPr>
        <w:tc>
          <w:tcPr>
            <w:tcW w:type="dxa" w:w="36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28</w:t>
            </w:r>
          </w:p>
        </w:tc>
        <w:tc>
          <w:tcPr>
            <w:tcW w:type="dxa" w:w="118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0,00</w:t>
            </w:r>
          </w:p>
        </w:tc>
        <w:tc>
          <w:tcPr>
            <w:tcW w:type="dxa" w:w="112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1.228.589,37</w:t>
            </w:r>
          </w:p>
        </w:tc>
        <w:tc>
          <w:tcPr>
            <w:tcW w:type="dxa" w:w="102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0,00</w:t>
            </w:r>
          </w:p>
        </w:tc>
        <w:tc>
          <w:tcPr>
            <w:tcW w:type="dxa" w:w="106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1.228.589,37</w:t>
            </w:r>
          </w:p>
        </w:tc>
      </w:tr>
    </w:tbl>
    <w:p w:rsidRDefault="001E3364" w:rsidP="001E3364" w:rsidR="001E3364"/>
    <w:p w:rsidRDefault="001E3364" w:rsidP="001E3364" w:rsidR="001E3364">
      <w:r>
        <w:br w:type="page"/>
      </w:r>
    </w:p>
    <w:tbl>
      <w:tblPr>
        <w:tblW w:type="dxa" w:w="6004"/>
        <w:tblLook w:val="04A0" w:noVBand="1" w:noHBand="0" w:lastColumn="0" w:firstColumn="1" w:lastRow="0" w:firstRow="1"/>
      </w:tblPr>
      <w:tblGrid>
        <w:gridCol w:w="460"/>
        <w:gridCol w:w="1614"/>
        <w:gridCol w:w="1310"/>
        <w:gridCol w:w="1310"/>
        <w:gridCol w:w="1310"/>
      </w:tblGrid>
      <w:tr w:rsidTr="001E3364" w:rsidR="001E3364">
        <w:trPr>
          <w:trHeight w:val="450"/>
        </w:trPr>
        <w:tc>
          <w:tcPr>
            <w:tcW w:type="dxa" w:w="460"/>
            <w:vAlign w:val="bottom"/>
          </w:tcPr>
          <w:p w:rsidRDefault="001E3364" w:rsidR="001E3364">
            <w:pPr>
              <w:spacing w:lineRule="auto" w:line="240" w:after="0"/>
              <w:rPr>
                <w:rFonts w:cstheme="minorHAnsi" w:eastAsia="Times New Roman"/>
                <w:sz w:val="24"/>
                <w:szCs w:val="24"/>
                <w:lang w:eastAsia="hr-HR"/>
              </w:rPr>
            </w:pPr>
          </w:p>
        </w:tc>
        <w:tc>
          <w:tcPr>
            <w:tcW w:type="dxa" w:w="1614"/>
            <w:vAlign w:val="bottom"/>
          </w:tcPr>
          <w:p w:rsidRDefault="001E3364" w:rsidR="001E3364">
            <w:pPr>
              <w:spacing w:lineRule="auto" w:line="240" w:after="0"/>
              <w:jc w:val="center"/>
              <w:rPr>
                <w:rFonts w:cstheme="minorHAnsi" w:eastAsia="Times New Roman"/>
                <w:b/>
                <w:bCs/>
                <w:color w:val="000000"/>
                <w:sz w:val="24"/>
                <w:szCs w:val="24"/>
                <w:lang w:eastAsia="hr-HR"/>
              </w:rPr>
            </w:pPr>
          </w:p>
        </w:tc>
        <w:tc>
          <w:tcPr>
            <w:tcW w:type="dxa" w:w="2620"/>
            <w:gridSpan w:val="2"/>
            <w:vAlign w:val="bottom"/>
            <w:hideMark/>
          </w:tcPr>
          <w:p w:rsidRDefault="001E3364" w:rsidR="001E3364">
            <w:pPr>
              <w:spacing w:lineRule="auto" w:line="240" w:after="0"/>
              <w:jc w:val="center"/>
              <w:rPr>
                <w:rFonts w:cstheme="minorHAnsi" w:eastAsia="Times New Roman"/>
                <w:b/>
                <w:bCs/>
                <w:color w:val="000000"/>
                <w:sz w:val="24"/>
                <w:szCs w:val="24"/>
                <w:lang w:eastAsia="hr-HR"/>
              </w:rPr>
            </w:pPr>
            <w:r>
              <w:rPr>
                <w:rFonts w:cstheme="minorHAnsi" w:eastAsia="Times New Roman"/>
                <w:b/>
                <w:bCs/>
                <w:color w:val="000000"/>
                <w:sz w:val="24"/>
                <w:szCs w:val="24"/>
                <w:lang w:eastAsia="hr-HR"/>
              </w:rPr>
              <w:t>ANA RADIŠIĆ</w:t>
            </w:r>
          </w:p>
        </w:tc>
        <w:tc>
          <w:tcPr>
            <w:tcW w:type="dxa" w:w="1310"/>
            <w:vAlign w:val="bottom"/>
          </w:tcPr>
          <w:p w:rsidRDefault="001E3364" w:rsidR="001E3364">
            <w:pPr>
              <w:spacing w:lineRule="auto" w:line="240" w:after="0"/>
              <w:jc w:val="center"/>
              <w:rPr>
                <w:rFonts w:cstheme="minorHAnsi" w:eastAsia="Times New Roman"/>
                <w:b/>
                <w:bCs/>
                <w:color w:val="000000"/>
                <w:sz w:val="24"/>
                <w:szCs w:val="24"/>
                <w:lang w:eastAsia="hr-HR"/>
              </w:rPr>
            </w:pPr>
          </w:p>
        </w:tc>
      </w:tr>
      <w:tr w:rsidTr="001E3364" w:rsidR="001E3364">
        <w:trPr>
          <w:trHeight w:val="450"/>
        </w:trPr>
        <w:tc>
          <w:tcPr>
            <w:tcW w:type="dxa" w:w="460"/>
            <w:vAlign w:val="bottom"/>
            <w:hideMark/>
          </w:tcPr>
          <w:p w:rsidRDefault="001E3364" w:rsidR="001E3364">
            <w:pPr>
              <w:spacing w:after="0"/>
              <w:rPr>
                <w:rFonts w:cs="Times New Roman"/>
              </w:rPr>
            </w:pPr>
          </w:p>
        </w:tc>
        <w:tc>
          <w:tcPr>
            <w:tcW w:type="dxa" w:w="1614"/>
            <w:vAlign w:val="bottom"/>
            <w:hideMark/>
          </w:tcPr>
          <w:p w:rsidRDefault="001E3364" w:rsidR="001E3364">
            <w:pPr>
              <w:spacing w:lineRule="auto" w:line="240" w:after="0"/>
              <w:jc w:val="center"/>
              <w:rPr>
                <w:rFonts w:cstheme="minorHAnsi" w:eastAsia="Times New Roman"/>
                <w:b/>
                <w:bCs/>
                <w:color w:val="000000"/>
                <w:sz w:val="24"/>
                <w:szCs w:val="24"/>
                <w:lang w:eastAsia="hr-HR"/>
              </w:rPr>
            </w:pPr>
            <w:r>
              <w:rPr>
                <w:rFonts w:cstheme="minorHAnsi" w:eastAsia="Times New Roman"/>
                <w:b/>
                <w:bCs/>
                <w:color w:val="000000"/>
                <w:sz w:val="24"/>
                <w:szCs w:val="24"/>
                <w:lang w:eastAsia="hr-HR"/>
              </w:rPr>
              <w:t>Preostala glavnica HRK</w:t>
            </w:r>
          </w:p>
        </w:tc>
        <w:tc>
          <w:tcPr>
            <w:tcW w:type="dxa" w:w="1310"/>
            <w:vAlign w:val="bottom"/>
            <w:hideMark/>
          </w:tcPr>
          <w:p w:rsidRDefault="001E3364" w:rsidR="001E3364">
            <w:pPr>
              <w:spacing w:lineRule="auto" w:line="240" w:after="0"/>
              <w:jc w:val="center"/>
              <w:rPr>
                <w:rFonts w:cstheme="minorHAnsi" w:eastAsia="Times New Roman"/>
                <w:b/>
                <w:bCs/>
                <w:color w:val="000000"/>
                <w:sz w:val="24"/>
                <w:szCs w:val="24"/>
                <w:lang w:eastAsia="hr-HR"/>
              </w:rPr>
            </w:pPr>
            <w:r>
              <w:rPr>
                <w:rFonts w:cstheme="minorHAnsi" w:eastAsia="Times New Roman"/>
                <w:b/>
                <w:bCs/>
                <w:color w:val="000000"/>
                <w:sz w:val="24"/>
                <w:szCs w:val="24"/>
                <w:lang w:eastAsia="hr-HR"/>
              </w:rPr>
              <w:t>otplata glavnice HRK</w:t>
            </w:r>
          </w:p>
        </w:tc>
        <w:tc>
          <w:tcPr>
            <w:tcW w:type="dxa" w:w="1310"/>
            <w:vAlign w:val="bottom"/>
            <w:hideMark/>
          </w:tcPr>
          <w:p w:rsidRDefault="001E3364" w:rsidR="001E3364">
            <w:pPr>
              <w:spacing w:lineRule="auto" w:line="240" w:after="0"/>
              <w:jc w:val="center"/>
              <w:rPr>
                <w:rFonts w:cstheme="minorHAnsi" w:eastAsia="Times New Roman"/>
                <w:b/>
                <w:bCs/>
                <w:color w:val="000000"/>
                <w:sz w:val="24"/>
                <w:szCs w:val="24"/>
                <w:lang w:eastAsia="hr-HR"/>
              </w:rPr>
            </w:pPr>
            <w:r>
              <w:rPr>
                <w:rFonts w:cstheme="minorHAnsi" w:eastAsia="Times New Roman"/>
                <w:b/>
                <w:bCs/>
                <w:color w:val="000000"/>
                <w:sz w:val="24"/>
                <w:szCs w:val="24"/>
                <w:lang w:eastAsia="hr-HR"/>
              </w:rPr>
              <w:t>otplata kamate HRK</w:t>
            </w:r>
          </w:p>
        </w:tc>
        <w:tc>
          <w:tcPr>
            <w:tcW w:type="dxa" w:w="1310"/>
            <w:vAlign w:val="bottom"/>
            <w:hideMark/>
          </w:tcPr>
          <w:p w:rsidRDefault="001E3364" w:rsidR="001E3364">
            <w:pPr>
              <w:spacing w:lineRule="auto" w:line="240" w:after="0"/>
              <w:jc w:val="center"/>
              <w:rPr>
                <w:rFonts w:cstheme="minorHAnsi" w:eastAsia="Times New Roman"/>
                <w:b/>
                <w:bCs/>
                <w:color w:val="000000"/>
                <w:sz w:val="24"/>
                <w:szCs w:val="24"/>
                <w:lang w:eastAsia="hr-HR"/>
              </w:rPr>
            </w:pPr>
            <w:r>
              <w:rPr>
                <w:rFonts w:cstheme="minorHAnsi" w:eastAsia="Times New Roman"/>
                <w:b/>
                <w:bCs/>
                <w:color w:val="000000"/>
                <w:sz w:val="24"/>
                <w:szCs w:val="24"/>
                <w:lang w:eastAsia="hr-HR"/>
              </w:rPr>
              <w:t>ukupna rata HRK</w:t>
            </w:r>
          </w:p>
        </w:tc>
      </w:tr>
      <w:tr w:rsidTr="001E3364" w:rsidR="001E3364">
        <w:trPr>
          <w:trHeight w:val="225"/>
        </w:trPr>
        <w:tc>
          <w:tcPr>
            <w:tcW w:type="dxa" w:w="4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0</w:t>
            </w:r>
          </w:p>
        </w:tc>
        <w:tc>
          <w:tcPr>
            <w:tcW w:type="dxa" w:w="1614"/>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23.736.804,67</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0,00</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148.355,03</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148.355,03</w:t>
            </w:r>
          </w:p>
        </w:tc>
      </w:tr>
      <w:tr w:rsidTr="001E3364" w:rsidR="001E3364">
        <w:trPr>
          <w:trHeight w:val="225"/>
        </w:trPr>
        <w:tc>
          <w:tcPr>
            <w:tcW w:type="dxa" w:w="4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0</w:t>
            </w:r>
          </w:p>
        </w:tc>
        <w:tc>
          <w:tcPr>
            <w:tcW w:type="dxa" w:w="1614"/>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23.736.804,67</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0,00</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148.355,03</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148.355,03</w:t>
            </w:r>
          </w:p>
        </w:tc>
      </w:tr>
      <w:tr w:rsidTr="001E3364" w:rsidR="001E3364">
        <w:trPr>
          <w:trHeight w:val="225"/>
        </w:trPr>
        <w:tc>
          <w:tcPr>
            <w:tcW w:type="dxa" w:w="4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0</w:t>
            </w:r>
          </w:p>
        </w:tc>
        <w:tc>
          <w:tcPr>
            <w:tcW w:type="dxa" w:w="1614"/>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23.736.804,67</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0,00</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148.355,03</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148.355,03</w:t>
            </w:r>
          </w:p>
        </w:tc>
      </w:tr>
      <w:tr w:rsidTr="001E3364" w:rsidR="001E3364">
        <w:trPr>
          <w:trHeight w:val="225"/>
        </w:trPr>
        <w:tc>
          <w:tcPr>
            <w:tcW w:type="dxa" w:w="46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0</w:t>
            </w:r>
          </w:p>
        </w:tc>
        <w:tc>
          <w:tcPr>
            <w:tcW w:type="dxa" w:w="1614"/>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23.736.804,67</w:t>
            </w:r>
          </w:p>
        </w:tc>
        <w:tc>
          <w:tcPr>
            <w:tcW w:type="dxa" w:w="131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0,00</w:t>
            </w:r>
          </w:p>
        </w:tc>
        <w:tc>
          <w:tcPr>
            <w:tcW w:type="dxa" w:w="131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148.355,03</w:t>
            </w:r>
          </w:p>
        </w:tc>
        <w:tc>
          <w:tcPr>
            <w:tcW w:type="dxa" w:w="131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148.355,03</w:t>
            </w:r>
          </w:p>
        </w:tc>
      </w:tr>
      <w:tr w:rsidTr="001E3364" w:rsidR="001E3364">
        <w:trPr>
          <w:trHeight w:val="225"/>
        </w:trPr>
        <w:tc>
          <w:tcPr>
            <w:tcW w:type="dxa" w:w="4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0</w:t>
            </w:r>
          </w:p>
        </w:tc>
        <w:tc>
          <w:tcPr>
            <w:tcW w:type="dxa" w:w="1614"/>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23.736.804,67</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0,00</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148.355,03</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148.355,03</w:t>
            </w:r>
          </w:p>
        </w:tc>
      </w:tr>
      <w:tr w:rsidTr="001E3364" w:rsidR="001E3364">
        <w:trPr>
          <w:trHeight w:val="225"/>
        </w:trPr>
        <w:tc>
          <w:tcPr>
            <w:tcW w:type="dxa" w:w="4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0</w:t>
            </w:r>
          </w:p>
        </w:tc>
        <w:tc>
          <w:tcPr>
            <w:tcW w:type="dxa" w:w="1614"/>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23.736.804,67</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0,00</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148.355,03</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148.355,03</w:t>
            </w:r>
          </w:p>
        </w:tc>
      </w:tr>
      <w:tr w:rsidTr="001E3364" w:rsidR="001E3364">
        <w:trPr>
          <w:trHeight w:val="225"/>
        </w:trPr>
        <w:tc>
          <w:tcPr>
            <w:tcW w:type="dxa" w:w="4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0</w:t>
            </w:r>
          </w:p>
        </w:tc>
        <w:tc>
          <w:tcPr>
            <w:tcW w:type="dxa" w:w="1614"/>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23.736.804,67</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0,00</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148.355,03</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148.355,03</w:t>
            </w:r>
          </w:p>
        </w:tc>
      </w:tr>
      <w:tr w:rsidTr="001E3364" w:rsidR="001E3364">
        <w:trPr>
          <w:trHeight w:val="225"/>
        </w:trPr>
        <w:tc>
          <w:tcPr>
            <w:tcW w:type="dxa" w:w="46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0</w:t>
            </w:r>
          </w:p>
        </w:tc>
        <w:tc>
          <w:tcPr>
            <w:tcW w:type="dxa" w:w="1614"/>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23.736.804,67</w:t>
            </w:r>
          </w:p>
        </w:tc>
        <w:tc>
          <w:tcPr>
            <w:tcW w:type="dxa" w:w="131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0,00</w:t>
            </w:r>
          </w:p>
        </w:tc>
        <w:tc>
          <w:tcPr>
            <w:tcW w:type="dxa" w:w="131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148.355,03</w:t>
            </w:r>
          </w:p>
        </w:tc>
        <w:tc>
          <w:tcPr>
            <w:tcW w:type="dxa" w:w="131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148.355,03</w:t>
            </w:r>
          </w:p>
        </w:tc>
      </w:tr>
      <w:tr w:rsidTr="001E3364" w:rsidR="001E3364">
        <w:trPr>
          <w:trHeight w:val="225"/>
        </w:trPr>
        <w:tc>
          <w:tcPr>
            <w:tcW w:type="dxa" w:w="4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w:t>
            </w:r>
          </w:p>
        </w:tc>
        <w:tc>
          <w:tcPr>
            <w:tcW w:type="dxa" w:w="1614"/>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22.889.061,65</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847.743,02</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143.056,64</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990.799,66</w:t>
            </w:r>
          </w:p>
        </w:tc>
      </w:tr>
      <w:tr w:rsidTr="001E3364" w:rsidR="001E3364">
        <w:trPr>
          <w:trHeight w:val="225"/>
        </w:trPr>
        <w:tc>
          <w:tcPr>
            <w:tcW w:type="dxa" w:w="4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w:t>
            </w:r>
          </w:p>
        </w:tc>
        <w:tc>
          <w:tcPr>
            <w:tcW w:type="dxa" w:w="1614"/>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22.041.318,62</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847.743,02</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137.758,24</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985.501,27</w:t>
            </w:r>
          </w:p>
        </w:tc>
      </w:tr>
      <w:tr w:rsidTr="001E3364" w:rsidR="001E3364">
        <w:trPr>
          <w:trHeight w:val="225"/>
        </w:trPr>
        <w:tc>
          <w:tcPr>
            <w:tcW w:type="dxa" w:w="4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3</w:t>
            </w:r>
          </w:p>
        </w:tc>
        <w:tc>
          <w:tcPr>
            <w:tcW w:type="dxa" w:w="1614"/>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21.193.575,60</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847.743,02</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132.459,85</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980.202,87</w:t>
            </w:r>
          </w:p>
        </w:tc>
      </w:tr>
      <w:tr w:rsidTr="001E3364" w:rsidR="001E3364">
        <w:trPr>
          <w:trHeight w:val="225"/>
        </w:trPr>
        <w:tc>
          <w:tcPr>
            <w:tcW w:type="dxa" w:w="46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4</w:t>
            </w:r>
          </w:p>
        </w:tc>
        <w:tc>
          <w:tcPr>
            <w:tcW w:type="dxa" w:w="1614"/>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20.345.832,57</w:t>
            </w:r>
          </w:p>
        </w:tc>
        <w:tc>
          <w:tcPr>
            <w:tcW w:type="dxa" w:w="131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847.743,02</w:t>
            </w:r>
          </w:p>
        </w:tc>
        <w:tc>
          <w:tcPr>
            <w:tcW w:type="dxa" w:w="131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127.161,45</w:t>
            </w:r>
          </w:p>
        </w:tc>
        <w:tc>
          <w:tcPr>
            <w:tcW w:type="dxa" w:w="131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974.904,48</w:t>
            </w:r>
          </w:p>
        </w:tc>
      </w:tr>
      <w:tr w:rsidTr="001E3364" w:rsidR="001E3364">
        <w:trPr>
          <w:trHeight w:val="225"/>
        </w:trPr>
        <w:tc>
          <w:tcPr>
            <w:tcW w:type="dxa" w:w="4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5</w:t>
            </w:r>
          </w:p>
        </w:tc>
        <w:tc>
          <w:tcPr>
            <w:tcW w:type="dxa" w:w="1614"/>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19.498.089,55</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847.743,02</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121.863,06</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969.606,08</w:t>
            </w:r>
          </w:p>
        </w:tc>
      </w:tr>
      <w:tr w:rsidTr="001E3364" w:rsidR="001E3364">
        <w:trPr>
          <w:trHeight w:val="225"/>
        </w:trPr>
        <w:tc>
          <w:tcPr>
            <w:tcW w:type="dxa" w:w="4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6</w:t>
            </w:r>
          </w:p>
        </w:tc>
        <w:tc>
          <w:tcPr>
            <w:tcW w:type="dxa" w:w="1614"/>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18.650.346,53</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847.743,02</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116.564,67</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964.307,69</w:t>
            </w:r>
          </w:p>
        </w:tc>
      </w:tr>
      <w:tr w:rsidTr="001E3364" w:rsidR="001E3364">
        <w:trPr>
          <w:trHeight w:val="225"/>
        </w:trPr>
        <w:tc>
          <w:tcPr>
            <w:tcW w:type="dxa" w:w="4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7</w:t>
            </w:r>
          </w:p>
        </w:tc>
        <w:tc>
          <w:tcPr>
            <w:tcW w:type="dxa" w:w="1614"/>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17.802.603,50</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847.743,02</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111.266,27</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959.009,30</w:t>
            </w:r>
          </w:p>
        </w:tc>
      </w:tr>
      <w:tr w:rsidTr="001E3364" w:rsidR="001E3364">
        <w:trPr>
          <w:trHeight w:val="225"/>
        </w:trPr>
        <w:tc>
          <w:tcPr>
            <w:tcW w:type="dxa" w:w="46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8</w:t>
            </w:r>
          </w:p>
        </w:tc>
        <w:tc>
          <w:tcPr>
            <w:tcW w:type="dxa" w:w="1614"/>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16.954.860,48</w:t>
            </w:r>
          </w:p>
        </w:tc>
        <w:tc>
          <w:tcPr>
            <w:tcW w:type="dxa" w:w="131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847.743,02</w:t>
            </w:r>
          </w:p>
        </w:tc>
        <w:tc>
          <w:tcPr>
            <w:tcW w:type="dxa" w:w="131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105.967,88</w:t>
            </w:r>
          </w:p>
        </w:tc>
        <w:tc>
          <w:tcPr>
            <w:tcW w:type="dxa" w:w="131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953.710,90</w:t>
            </w:r>
          </w:p>
        </w:tc>
      </w:tr>
      <w:tr w:rsidTr="001E3364" w:rsidR="001E3364">
        <w:trPr>
          <w:trHeight w:val="225"/>
        </w:trPr>
        <w:tc>
          <w:tcPr>
            <w:tcW w:type="dxa" w:w="4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9</w:t>
            </w:r>
          </w:p>
        </w:tc>
        <w:tc>
          <w:tcPr>
            <w:tcW w:type="dxa" w:w="1614"/>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16.107.117,45</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847.743,02</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100.669,48</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948.412,51</w:t>
            </w:r>
          </w:p>
        </w:tc>
      </w:tr>
      <w:tr w:rsidTr="001E3364" w:rsidR="001E3364">
        <w:trPr>
          <w:trHeight w:val="225"/>
        </w:trPr>
        <w:tc>
          <w:tcPr>
            <w:tcW w:type="dxa" w:w="4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10</w:t>
            </w:r>
          </w:p>
        </w:tc>
        <w:tc>
          <w:tcPr>
            <w:tcW w:type="dxa" w:w="1614"/>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15.259.374,43</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847.743,02</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95.371,09</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943.114,11</w:t>
            </w:r>
          </w:p>
        </w:tc>
      </w:tr>
      <w:tr w:rsidTr="001E3364" w:rsidR="001E3364">
        <w:trPr>
          <w:trHeight w:val="225"/>
        </w:trPr>
        <w:tc>
          <w:tcPr>
            <w:tcW w:type="dxa" w:w="4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11</w:t>
            </w:r>
          </w:p>
        </w:tc>
        <w:tc>
          <w:tcPr>
            <w:tcW w:type="dxa" w:w="1614"/>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14.411.631,41</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847.743,02</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90.072,70</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937.815,72</w:t>
            </w:r>
          </w:p>
        </w:tc>
      </w:tr>
      <w:tr w:rsidTr="001E3364" w:rsidR="001E3364">
        <w:trPr>
          <w:trHeight w:val="225"/>
        </w:trPr>
        <w:tc>
          <w:tcPr>
            <w:tcW w:type="dxa" w:w="46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12</w:t>
            </w:r>
          </w:p>
        </w:tc>
        <w:tc>
          <w:tcPr>
            <w:tcW w:type="dxa" w:w="1614"/>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13.563.888,38</w:t>
            </w:r>
          </w:p>
        </w:tc>
        <w:tc>
          <w:tcPr>
            <w:tcW w:type="dxa" w:w="131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847.743,02</w:t>
            </w:r>
          </w:p>
        </w:tc>
        <w:tc>
          <w:tcPr>
            <w:tcW w:type="dxa" w:w="131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84.774,30</w:t>
            </w:r>
          </w:p>
        </w:tc>
        <w:tc>
          <w:tcPr>
            <w:tcW w:type="dxa" w:w="131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932.517,33</w:t>
            </w:r>
          </w:p>
        </w:tc>
      </w:tr>
      <w:tr w:rsidTr="001E3364" w:rsidR="001E3364">
        <w:trPr>
          <w:trHeight w:val="225"/>
        </w:trPr>
        <w:tc>
          <w:tcPr>
            <w:tcW w:type="dxa" w:w="4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13</w:t>
            </w:r>
          </w:p>
        </w:tc>
        <w:tc>
          <w:tcPr>
            <w:tcW w:type="dxa" w:w="1614"/>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12.716.145,36</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847.743,02</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79.475,91</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927.218,93</w:t>
            </w:r>
          </w:p>
        </w:tc>
      </w:tr>
      <w:tr w:rsidTr="001E3364" w:rsidR="001E3364">
        <w:trPr>
          <w:trHeight w:val="225"/>
        </w:trPr>
        <w:tc>
          <w:tcPr>
            <w:tcW w:type="dxa" w:w="4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14</w:t>
            </w:r>
          </w:p>
        </w:tc>
        <w:tc>
          <w:tcPr>
            <w:tcW w:type="dxa" w:w="1614"/>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11.868.402,34</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847.743,02</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74.177,51</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921.920,54</w:t>
            </w:r>
          </w:p>
        </w:tc>
      </w:tr>
      <w:tr w:rsidTr="001E3364" w:rsidR="001E3364">
        <w:trPr>
          <w:trHeight w:val="225"/>
        </w:trPr>
        <w:tc>
          <w:tcPr>
            <w:tcW w:type="dxa" w:w="4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15</w:t>
            </w:r>
          </w:p>
        </w:tc>
        <w:tc>
          <w:tcPr>
            <w:tcW w:type="dxa" w:w="1614"/>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11.020.659,31</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847.743,02</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68.879,12</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916.622,14</w:t>
            </w:r>
          </w:p>
        </w:tc>
      </w:tr>
      <w:tr w:rsidTr="001E3364" w:rsidR="001E3364">
        <w:trPr>
          <w:trHeight w:val="225"/>
        </w:trPr>
        <w:tc>
          <w:tcPr>
            <w:tcW w:type="dxa" w:w="46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16</w:t>
            </w:r>
          </w:p>
        </w:tc>
        <w:tc>
          <w:tcPr>
            <w:tcW w:type="dxa" w:w="1614"/>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10.172.916,29</w:t>
            </w:r>
          </w:p>
        </w:tc>
        <w:tc>
          <w:tcPr>
            <w:tcW w:type="dxa" w:w="131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847.743,02</w:t>
            </w:r>
          </w:p>
        </w:tc>
        <w:tc>
          <w:tcPr>
            <w:tcW w:type="dxa" w:w="131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63.580,73</w:t>
            </w:r>
          </w:p>
        </w:tc>
        <w:tc>
          <w:tcPr>
            <w:tcW w:type="dxa" w:w="131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911.323,75</w:t>
            </w:r>
          </w:p>
        </w:tc>
      </w:tr>
      <w:tr w:rsidTr="001E3364" w:rsidR="001E3364">
        <w:trPr>
          <w:trHeight w:val="225"/>
        </w:trPr>
        <w:tc>
          <w:tcPr>
            <w:tcW w:type="dxa" w:w="4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17</w:t>
            </w:r>
          </w:p>
        </w:tc>
        <w:tc>
          <w:tcPr>
            <w:tcW w:type="dxa" w:w="1614"/>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9.325.173,26</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847.743,02</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58.282,33</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906.025,36</w:t>
            </w:r>
          </w:p>
        </w:tc>
      </w:tr>
      <w:tr w:rsidTr="001E3364" w:rsidR="001E3364">
        <w:trPr>
          <w:trHeight w:val="225"/>
        </w:trPr>
        <w:tc>
          <w:tcPr>
            <w:tcW w:type="dxa" w:w="4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18</w:t>
            </w:r>
          </w:p>
        </w:tc>
        <w:tc>
          <w:tcPr>
            <w:tcW w:type="dxa" w:w="1614"/>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8.477.430,24</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847.743,02</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52.983,94</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900.726,96</w:t>
            </w:r>
          </w:p>
        </w:tc>
      </w:tr>
      <w:tr w:rsidTr="001E3364" w:rsidR="001E3364">
        <w:trPr>
          <w:trHeight w:val="225"/>
        </w:trPr>
        <w:tc>
          <w:tcPr>
            <w:tcW w:type="dxa" w:w="4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19</w:t>
            </w:r>
          </w:p>
        </w:tc>
        <w:tc>
          <w:tcPr>
            <w:tcW w:type="dxa" w:w="1614"/>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7.629.687,22</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847.743,02</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47.685,55</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895.428,57</w:t>
            </w:r>
          </w:p>
        </w:tc>
      </w:tr>
      <w:tr w:rsidTr="001E3364" w:rsidR="001E3364">
        <w:trPr>
          <w:trHeight w:val="225"/>
        </w:trPr>
        <w:tc>
          <w:tcPr>
            <w:tcW w:type="dxa" w:w="46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20</w:t>
            </w:r>
          </w:p>
        </w:tc>
        <w:tc>
          <w:tcPr>
            <w:tcW w:type="dxa" w:w="1614"/>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6.781.944,19</w:t>
            </w:r>
          </w:p>
        </w:tc>
        <w:tc>
          <w:tcPr>
            <w:tcW w:type="dxa" w:w="131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847.743,02</w:t>
            </w:r>
          </w:p>
        </w:tc>
        <w:tc>
          <w:tcPr>
            <w:tcW w:type="dxa" w:w="131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42.387,15</w:t>
            </w:r>
          </w:p>
        </w:tc>
        <w:tc>
          <w:tcPr>
            <w:tcW w:type="dxa" w:w="131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890.130,18</w:t>
            </w:r>
          </w:p>
        </w:tc>
      </w:tr>
      <w:tr w:rsidTr="001E3364" w:rsidR="001E3364">
        <w:trPr>
          <w:trHeight w:val="225"/>
        </w:trPr>
        <w:tc>
          <w:tcPr>
            <w:tcW w:type="dxa" w:w="4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21</w:t>
            </w:r>
          </w:p>
        </w:tc>
        <w:tc>
          <w:tcPr>
            <w:tcW w:type="dxa" w:w="1614"/>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5.934.201,17</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847.743,02</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37.088,76</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884.831,78</w:t>
            </w:r>
          </w:p>
        </w:tc>
      </w:tr>
      <w:tr w:rsidTr="001E3364" w:rsidR="001E3364">
        <w:trPr>
          <w:trHeight w:val="225"/>
        </w:trPr>
        <w:tc>
          <w:tcPr>
            <w:tcW w:type="dxa" w:w="4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22</w:t>
            </w:r>
          </w:p>
        </w:tc>
        <w:tc>
          <w:tcPr>
            <w:tcW w:type="dxa" w:w="1614"/>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5.086.458,14</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847.743,02</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31.790,36</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879.533,39</w:t>
            </w:r>
          </w:p>
        </w:tc>
      </w:tr>
      <w:tr w:rsidTr="001E3364" w:rsidR="001E3364">
        <w:trPr>
          <w:trHeight w:val="225"/>
        </w:trPr>
        <w:tc>
          <w:tcPr>
            <w:tcW w:type="dxa" w:w="4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23</w:t>
            </w:r>
          </w:p>
        </w:tc>
        <w:tc>
          <w:tcPr>
            <w:tcW w:type="dxa" w:w="1614"/>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4.238.715,12</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847.743,02</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26.491,97</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874.234,99</w:t>
            </w:r>
          </w:p>
        </w:tc>
      </w:tr>
      <w:tr w:rsidTr="001E3364" w:rsidR="001E3364">
        <w:trPr>
          <w:trHeight w:val="225"/>
        </w:trPr>
        <w:tc>
          <w:tcPr>
            <w:tcW w:type="dxa" w:w="46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24</w:t>
            </w:r>
          </w:p>
        </w:tc>
        <w:tc>
          <w:tcPr>
            <w:tcW w:type="dxa" w:w="1614"/>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3.390.972,10</w:t>
            </w:r>
          </w:p>
        </w:tc>
        <w:tc>
          <w:tcPr>
            <w:tcW w:type="dxa" w:w="131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847.743,02</w:t>
            </w:r>
          </w:p>
        </w:tc>
        <w:tc>
          <w:tcPr>
            <w:tcW w:type="dxa" w:w="131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21.193,58</w:t>
            </w:r>
          </w:p>
        </w:tc>
        <w:tc>
          <w:tcPr>
            <w:tcW w:type="dxa" w:w="131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868.936,60</w:t>
            </w:r>
          </w:p>
        </w:tc>
      </w:tr>
      <w:tr w:rsidTr="001E3364" w:rsidR="001E3364">
        <w:trPr>
          <w:trHeight w:val="225"/>
        </w:trPr>
        <w:tc>
          <w:tcPr>
            <w:tcW w:type="dxa" w:w="4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25</w:t>
            </w:r>
          </w:p>
        </w:tc>
        <w:tc>
          <w:tcPr>
            <w:tcW w:type="dxa" w:w="1614"/>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2.543.229,07</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847.743,02</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15.895,18</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863.638,21</w:t>
            </w:r>
          </w:p>
        </w:tc>
      </w:tr>
      <w:tr w:rsidTr="001E3364" w:rsidR="001E3364">
        <w:trPr>
          <w:trHeight w:val="225"/>
        </w:trPr>
        <w:tc>
          <w:tcPr>
            <w:tcW w:type="dxa" w:w="4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26</w:t>
            </w:r>
          </w:p>
        </w:tc>
        <w:tc>
          <w:tcPr>
            <w:tcW w:type="dxa" w:w="1614"/>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1.695.486,05</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847.743,02</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10.596,79</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858.339,81</w:t>
            </w:r>
          </w:p>
        </w:tc>
      </w:tr>
      <w:tr w:rsidTr="001E3364" w:rsidR="001E3364">
        <w:trPr>
          <w:trHeight w:val="225"/>
        </w:trPr>
        <w:tc>
          <w:tcPr>
            <w:tcW w:type="dxa" w:w="4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27</w:t>
            </w:r>
          </w:p>
        </w:tc>
        <w:tc>
          <w:tcPr>
            <w:tcW w:type="dxa" w:w="1614"/>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847.743,02</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847.743,02</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5.298,39</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853.041,42</w:t>
            </w:r>
          </w:p>
        </w:tc>
      </w:tr>
      <w:tr w:rsidTr="001E3364" w:rsidR="001E3364">
        <w:trPr>
          <w:trHeight w:val="225"/>
        </w:trPr>
        <w:tc>
          <w:tcPr>
            <w:tcW w:type="dxa" w:w="46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28</w:t>
            </w:r>
          </w:p>
        </w:tc>
        <w:tc>
          <w:tcPr>
            <w:tcW w:type="dxa" w:w="1614"/>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0,00</w:t>
            </w:r>
          </w:p>
        </w:tc>
        <w:tc>
          <w:tcPr>
            <w:tcW w:type="dxa" w:w="131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847.743,02</w:t>
            </w:r>
          </w:p>
        </w:tc>
        <w:tc>
          <w:tcPr>
            <w:tcW w:type="dxa" w:w="131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0,00</w:t>
            </w:r>
          </w:p>
        </w:tc>
        <w:tc>
          <w:tcPr>
            <w:tcW w:type="dxa" w:w="131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847.743,02</w:t>
            </w:r>
          </w:p>
        </w:tc>
      </w:tr>
    </w:tbl>
    <w:p w:rsidRDefault="001E3364" w:rsidP="001E3364" w:rsidR="001E3364"/>
    <w:p w:rsidRDefault="001E3364" w:rsidP="001E3364" w:rsidR="001E3364">
      <w:r>
        <w:br w:type="page"/>
      </w:r>
    </w:p>
    <w:tbl>
      <w:tblPr>
        <w:tblW w:type="dxa" w:w="5760"/>
        <w:tblLook w:val="04A0" w:noVBand="1" w:noHBand="0" w:lastColumn="0" w:firstColumn="1" w:lastRow="0" w:firstRow="1"/>
      </w:tblPr>
      <w:tblGrid>
        <w:gridCol w:w="460"/>
        <w:gridCol w:w="1492"/>
        <w:gridCol w:w="1310"/>
        <w:gridCol w:w="1188"/>
        <w:gridCol w:w="1310"/>
      </w:tblGrid>
      <w:tr w:rsidTr="001E3364" w:rsidR="001E3364">
        <w:trPr>
          <w:trHeight w:val="450"/>
        </w:trPr>
        <w:tc>
          <w:tcPr>
            <w:tcW w:type="dxa" w:w="460"/>
            <w:vAlign w:val="bottom"/>
          </w:tcPr>
          <w:p w:rsidRDefault="001E3364" w:rsidR="001E3364">
            <w:pPr>
              <w:spacing w:lineRule="auto" w:line="240" w:after="0"/>
              <w:rPr>
                <w:rFonts w:cstheme="minorHAnsi" w:eastAsia="Times New Roman"/>
                <w:sz w:val="24"/>
                <w:szCs w:val="24"/>
                <w:lang w:eastAsia="hr-HR"/>
              </w:rPr>
            </w:pPr>
          </w:p>
        </w:tc>
        <w:tc>
          <w:tcPr>
            <w:tcW w:type="dxa" w:w="5300"/>
            <w:gridSpan w:val="4"/>
            <w:vAlign w:val="bottom"/>
            <w:hideMark/>
          </w:tcPr>
          <w:p w:rsidRDefault="001E3364" w:rsidR="001E3364">
            <w:pPr>
              <w:spacing w:lineRule="auto" w:line="240" w:after="0"/>
              <w:jc w:val="center"/>
              <w:rPr>
                <w:rFonts w:cstheme="minorHAnsi" w:eastAsia="Times New Roman"/>
                <w:b/>
                <w:bCs/>
                <w:color w:val="000000"/>
                <w:sz w:val="24"/>
                <w:szCs w:val="24"/>
                <w:lang w:eastAsia="hr-HR"/>
              </w:rPr>
            </w:pPr>
            <w:r>
              <w:rPr>
                <w:rFonts w:cstheme="minorHAnsi" w:eastAsia="Times New Roman"/>
                <w:b/>
                <w:bCs/>
                <w:color w:val="000000"/>
                <w:sz w:val="24"/>
                <w:szCs w:val="24"/>
                <w:lang w:eastAsia="hr-HR"/>
              </w:rPr>
              <w:t>RAIFFEISENBANK AUSTRIA D.D.</w:t>
            </w:r>
          </w:p>
        </w:tc>
      </w:tr>
      <w:tr w:rsidTr="001E3364" w:rsidR="001E3364">
        <w:trPr>
          <w:trHeight w:val="450"/>
        </w:trPr>
        <w:tc>
          <w:tcPr>
            <w:tcW w:type="dxa" w:w="460"/>
            <w:vAlign w:val="bottom"/>
            <w:hideMark/>
          </w:tcPr>
          <w:p w:rsidRDefault="001E3364" w:rsidR="001E3364">
            <w:pPr>
              <w:spacing w:after="0"/>
              <w:rPr>
                <w:rFonts w:cs="Times New Roman"/>
              </w:rPr>
            </w:pPr>
          </w:p>
        </w:tc>
        <w:tc>
          <w:tcPr>
            <w:tcW w:type="dxa" w:w="1492"/>
            <w:vAlign w:val="bottom"/>
            <w:hideMark/>
          </w:tcPr>
          <w:p w:rsidRDefault="001E3364" w:rsidR="001E3364">
            <w:pPr>
              <w:spacing w:lineRule="auto" w:line="240" w:after="0"/>
              <w:jc w:val="center"/>
              <w:rPr>
                <w:rFonts w:cstheme="minorHAnsi" w:eastAsia="Times New Roman"/>
                <w:b/>
                <w:bCs/>
                <w:color w:val="000000"/>
                <w:sz w:val="24"/>
                <w:szCs w:val="24"/>
                <w:lang w:eastAsia="hr-HR"/>
              </w:rPr>
            </w:pPr>
            <w:r>
              <w:rPr>
                <w:rFonts w:cstheme="minorHAnsi" w:eastAsia="Times New Roman"/>
                <w:b/>
                <w:bCs/>
                <w:color w:val="000000"/>
                <w:sz w:val="24"/>
                <w:szCs w:val="24"/>
                <w:lang w:eastAsia="hr-HR"/>
              </w:rPr>
              <w:t>Preostala glavnica HRK</w:t>
            </w:r>
          </w:p>
        </w:tc>
        <w:tc>
          <w:tcPr>
            <w:tcW w:type="dxa" w:w="1310"/>
            <w:vAlign w:val="bottom"/>
            <w:hideMark/>
          </w:tcPr>
          <w:p w:rsidRDefault="001E3364" w:rsidR="001E3364">
            <w:pPr>
              <w:spacing w:lineRule="auto" w:line="240" w:after="0"/>
              <w:jc w:val="center"/>
              <w:rPr>
                <w:rFonts w:cstheme="minorHAnsi" w:eastAsia="Times New Roman"/>
                <w:b/>
                <w:bCs/>
                <w:color w:val="000000"/>
                <w:sz w:val="24"/>
                <w:szCs w:val="24"/>
                <w:lang w:eastAsia="hr-HR"/>
              </w:rPr>
            </w:pPr>
            <w:r>
              <w:rPr>
                <w:rFonts w:cstheme="minorHAnsi" w:eastAsia="Times New Roman"/>
                <w:b/>
                <w:bCs/>
                <w:color w:val="000000"/>
                <w:sz w:val="24"/>
                <w:szCs w:val="24"/>
                <w:lang w:eastAsia="hr-HR"/>
              </w:rPr>
              <w:t>otplata glavnice HRK</w:t>
            </w:r>
          </w:p>
        </w:tc>
        <w:tc>
          <w:tcPr>
            <w:tcW w:type="dxa" w:w="1188"/>
            <w:vAlign w:val="bottom"/>
            <w:hideMark/>
          </w:tcPr>
          <w:p w:rsidRDefault="001E3364" w:rsidR="001E3364">
            <w:pPr>
              <w:spacing w:lineRule="auto" w:line="240" w:after="0"/>
              <w:jc w:val="center"/>
              <w:rPr>
                <w:rFonts w:cstheme="minorHAnsi" w:eastAsia="Times New Roman"/>
                <w:b/>
                <w:bCs/>
                <w:color w:val="000000"/>
                <w:sz w:val="24"/>
                <w:szCs w:val="24"/>
                <w:lang w:eastAsia="hr-HR"/>
              </w:rPr>
            </w:pPr>
            <w:r>
              <w:rPr>
                <w:rFonts w:cstheme="minorHAnsi" w:eastAsia="Times New Roman"/>
                <w:b/>
                <w:bCs/>
                <w:color w:val="000000"/>
                <w:sz w:val="24"/>
                <w:szCs w:val="24"/>
                <w:lang w:eastAsia="hr-HR"/>
              </w:rPr>
              <w:t>otplata kamate HRK</w:t>
            </w:r>
          </w:p>
        </w:tc>
        <w:tc>
          <w:tcPr>
            <w:tcW w:type="dxa" w:w="1310"/>
            <w:vAlign w:val="bottom"/>
            <w:hideMark/>
          </w:tcPr>
          <w:p w:rsidRDefault="001E3364" w:rsidR="001E3364">
            <w:pPr>
              <w:spacing w:lineRule="auto" w:line="240" w:after="0"/>
              <w:jc w:val="center"/>
              <w:rPr>
                <w:rFonts w:cstheme="minorHAnsi" w:eastAsia="Times New Roman"/>
                <w:b/>
                <w:bCs/>
                <w:color w:val="000000"/>
                <w:sz w:val="24"/>
                <w:szCs w:val="24"/>
                <w:lang w:eastAsia="hr-HR"/>
              </w:rPr>
            </w:pPr>
            <w:r>
              <w:rPr>
                <w:rFonts w:cstheme="minorHAnsi" w:eastAsia="Times New Roman"/>
                <w:b/>
                <w:bCs/>
                <w:color w:val="000000"/>
                <w:sz w:val="24"/>
                <w:szCs w:val="24"/>
                <w:lang w:eastAsia="hr-HR"/>
              </w:rPr>
              <w:t>ukupna rata HRK</w:t>
            </w:r>
          </w:p>
        </w:tc>
      </w:tr>
      <w:tr w:rsidTr="001E3364" w:rsidR="001E3364">
        <w:trPr>
          <w:trHeight w:val="225"/>
        </w:trPr>
        <w:tc>
          <w:tcPr>
            <w:tcW w:type="dxa" w:w="4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0</w:t>
            </w:r>
          </w:p>
        </w:tc>
        <w:tc>
          <w:tcPr>
            <w:tcW w:type="dxa" w:w="1492"/>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6.298.948,34</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0,00</w:t>
            </w:r>
          </w:p>
        </w:tc>
        <w:tc>
          <w:tcPr>
            <w:tcW w:type="dxa" w:w="1188"/>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39.368,43</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39.368,43</w:t>
            </w:r>
          </w:p>
        </w:tc>
      </w:tr>
      <w:tr w:rsidTr="001E3364" w:rsidR="001E3364">
        <w:trPr>
          <w:trHeight w:val="225"/>
        </w:trPr>
        <w:tc>
          <w:tcPr>
            <w:tcW w:type="dxa" w:w="4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0</w:t>
            </w:r>
          </w:p>
        </w:tc>
        <w:tc>
          <w:tcPr>
            <w:tcW w:type="dxa" w:w="1492"/>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6.298.948,34</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0,00</w:t>
            </w:r>
          </w:p>
        </w:tc>
        <w:tc>
          <w:tcPr>
            <w:tcW w:type="dxa" w:w="1188"/>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39.368,43</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39.368,43</w:t>
            </w:r>
          </w:p>
        </w:tc>
      </w:tr>
      <w:tr w:rsidTr="001E3364" w:rsidR="001E3364">
        <w:trPr>
          <w:trHeight w:val="225"/>
        </w:trPr>
        <w:tc>
          <w:tcPr>
            <w:tcW w:type="dxa" w:w="4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0</w:t>
            </w:r>
          </w:p>
        </w:tc>
        <w:tc>
          <w:tcPr>
            <w:tcW w:type="dxa" w:w="1492"/>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6.298.948,34</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0,00</w:t>
            </w:r>
          </w:p>
        </w:tc>
        <w:tc>
          <w:tcPr>
            <w:tcW w:type="dxa" w:w="1188"/>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39.368,43</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39.368,43</w:t>
            </w:r>
          </w:p>
        </w:tc>
      </w:tr>
      <w:tr w:rsidTr="001E3364" w:rsidR="001E3364">
        <w:trPr>
          <w:trHeight w:val="225"/>
        </w:trPr>
        <w:tc>
          <w:tcPr>
            <w:tcW w:type="dxa" w:w="46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0</w:t>
            </w:r>
          </w:p>
        </w:tc>
        <w:tc>
          <w:tcPr>
            <w:tcW w:type="dxa" w:w="1492"/>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6.298.948,34</w:t>
            </w:r>
          </w:p>
        </w:tc>
        <w:tc>
          <w:tcPr>
            <w:tcW w:type="dxa" w:w="131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0,00</w:t>
            </w:r>
          </w:p>
        </w:tc>
        <w:tc>
          <w:tcPr>
            <w:tcW w:type="dxa" w:w="1188"/>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39.368,43</w:t>
            </w:r>
          </w:p>
        </w:tc>
        <w:tc>
          <w:tcPr>
            <w:tcW w:type="dxa" w:w="131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39.368,43</w:t>
            </w:r>
          </w:p>
        </w:tc>
      </w:tr>
      <w:tr w:rsidTr="001E3364" w:rsidR="001E3364">
        <w:trPr>
          <w:trHeight w:val="225"/>
        </w:trPr>
        <w:tc>
          <w:tcPr>
            <w:tcW w:type="dxa" w:w="4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0</w:t>
            </w:r>
          </w:p>
        </w:tc>
        <w:tc>
          <w:tcPr>
            <w:tcW w:type="dxa" w:w="1492"/>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6.298.948,34</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0,00</w:t>
            </w:r>
          </w:p>
        </w:tc>
        <w:tc>
          <w:tcPr>
            <w:tcW w:type="dxa" w:w="1188"/>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39.368,43</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39.368,43</w:t>
            </w:r>
          </w:p>
        </w:tc>
      </w:tr>
      <w:tr w:rsidTr="001E3364" w:rsidR="001E3364">
        <w:trPr>
          <w:trHeight w:val="225"/>
        </w:trPr>
        <w:tc>
          <w:tcPr>
            <w:tcW w:type="dxa" w:w="4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0</w:t>
            </w:r>
          </w:p>
        </w:tc>
        <w:tc>
          <w:tcPr>
            <w:tcW w:type="dxa" w:w="1492"/>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6.298.948,34</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0,00</w:t>
            </w:r>
          </w:p>
        </w:tc>
        <w:tc>
          <w:tcPr>
            <w:tcW w:type="dxa" w:w="1188"/>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39.368,43</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39.368,43</w:t>
            </w:r>
          </w:p>
        </w:tc>
      </w:tr>
      <w:tr w:rsidTr="001E3364" w:rsidR="001E3364">
        <w:trPr>
          <w:trHeight w:val="225"/>
        </w:trPr>
        <w:tc>
          <w:tcPr>
            <w:tcW w:type="dxa" w:w="4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0</w:t>
            </w:r>
          </w:p>
        </w:tc>
        <w:tc>
          <w:tcPr>
            <w:tcW w:type="dxa" w:w="1492"/>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6.298.948,34</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0,00</w:t>
            </w:r>
          </w:p>
        </w:tc>
        <w:tc>
          <w:tcPr>
            <w:tcW w:type="dxa" w:w="1188"/>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39.368,43</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39.368,43</w:t>
            </w:r>
          </w:p>
        </w:tc>
      </w:tr>
      <w:tr w:rsidTr="001E3364" w:rsidR="001E3364">
        <w:trPr>
          <w:trHeight w:val="225"/>
        </w:trPr>
        <w:tc>
          <w:tcPr>
            <w:tcW w:type="dxa" w:w="46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0</w:t>
            </w:r>
          </w:p>
        </w:tc>
        <w:tc>
          <w:tcPr>
            <w:tcW w:type="dxa" w:w="1492"/>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6.298.948,34</w:t>
            </w:r>
          </w:p>
        </w:tc>
        <w:tc>
          <w:tcPr>
            <w:tcW w:type="dxa" w:w="131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0,00</w:t>
            </w:r>
          </w:p>
        </w:tc>
        <w:tc>
          <w:tcPr>
            <w:tcW w:type="dxa" w:w="1188"/>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39.368,43</w:t>
            </w:r>
          </w:p>
        </w:tc>
        <w:tc>
          <w:tcPr>
            <w:tcW w:type="dxa" w:w="131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39.368,43</w:t>
            </w:r>
          </w:p>
        </w:tc>
      </w:tr>
      <w:tr w:rsidTr="001E3364" w:rsidR="001E3364">
        <w:trPr>
          <w:trHeight w:val="225"/>
        </w:trPr>
        <w:tc>
          <w:tcPr>
            <w:tcW w:type="dxa" w:w="4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w:t>
            </w:r>
          </w:p>
        </w:tc>
        <w:tc>
          <w:tcPr>
            <w:tcW w:type="dxa" w:w="1492"/>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6.073.985,90</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224.962,44</w:t>
            </w:r>
          </w:p>
        </w:tc>
        <w:tc>
          <w:tcPr>
            <w:tcW w:type="dxa" w:w="1188"/>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37.962,41</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262.924,85</w:t>
            </w:r>
          </w:p>
        </w:tc>
      </w:tr>
      <w:tr w:rsidTr="001E3364" w:rsidR="001E3364">
        <w:trPr>
          <w:trHeight w:val="225"/>
        </w:trPr>
        <w:tc>
          <w:tcPr>
            <w:tcW w:type="dxa" w:w="4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w:t>
            </w:r>
          </w:p>
        </w:tc>
        <w:tc>
          <w:tcPr>
            <w:tcW w:type="dxa" w:w="1492"/>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5.849.023,46</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224.962,44</w:t>
            </w:r>
          </w:p>
        </w:tc>
        <w:tc>
          <w:tcPr>
            <w:tcW w:type="dxa" w:w="1188"/>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36.556,40</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261.518,84</w:t>
            </w:r>
          </w:p>
        </w:tc>
      </w:tr>
      <w:tr w:rsidTr="001E3364" w:rsidR="001E3364">
        <w:trPr>
          <w:trHeight w:val="225"/>
        </w:trPr>
        <w:tc>
          <w:tcPr>
            <w:tcW w:type="dxa" w:w="4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3</w:t>
            </w:r>
          </w:p>
        </w:tc>
        <w:tc>
          <w:tcPr>
            <w:tcW w:type="dxa" w:w="1492"/>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5.624.061,02</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224.962,44</w:t>
            </w:r>
          </w:p>
        </w:tc>
        <w:tc>
          <w:tcPr>
            <w:tcW w:type="dxa" w:w="1188"/>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35.150,38</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260.112,82</w:t>
            </w:r>
          </w:p>
        </w:tc>
      </w:tr>
      <w:tr w:rsidTr="001E3364" w:rsidR="001E3364">
        <w:trPr>
          <w:trHeight w:val="225"/>
        </w:trPr>
        <w:tc>
          <w:tcPr>
            <w:tcW w:type="dxa" w:w="46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4</w:t>
            </w:r>
          </w:p>
        </w:tc>
        <w:tc>
          <w:tcPr>
            <w:tcW w:type="dxa" w:w="1492"/>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5.399.098,58</w:t>
            </w:r>
          </w:p>
        </w:tc>
        <w:tc>
          <w:tcPr>
            <w:tcW w:type="dxa" w:w="131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224.962,44</w:t>
            </w:r>
          </w:p>
        </w:tc>
        <w:tc>
          <w:tcPr>
            <w:tcW w:type="dxa" w:w="1188"/>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33.744,37</w:t>
            </w:r>
          </w:p>
        </w:tc>
        <w:tc>
          <w:tcPr>
            <w:tcW w:type="dxa" w:w="131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258.706,81</w:t>
            </w:r>
          </w:p>
        </w:tc>
      </w:tr>
      <w:tr w:rsidTr="001E3364" w:rsidR="001E3364">
        <w:trPr>
          <w:trHeight w:val="225"/>
        </w:trPr>
        <w:tc>
          <w:tcPr>
            <w:tcW w:type="dxa" w:w="4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5</w:t>
            </w:r>
          </w:p>
        </w:tc>
        <w:tc>
          <w:tcPr>
            <w:tcW w:type="dxa" w:w="1492"/>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5.174.136,14</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224.962,44</w:t>
            </w:r>
          </w:p>
        </w:tc>
        <w:tc>
          <w:tcPr>
            <w:tcW w:type="dxa" w:w="1188"/>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32.338,35</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257.300,79</w:t>
            </w:r>
          </w:p>
        </w:tc>
      </w:tr>
      <w:tr w:rsidTr="001E3364" w:rsidR="001E3364">
        <w:trPr>
          <w:trHeight w:val="225"/>
        </w:trPr>
        <w:tc>
          <w:tcPr>
            <w:tcW w:type="dxa" w:w="4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6</w:t>
            </w:r>
          </w:p>
        </w:tc>
        <w:tc>
          <w:tcPr>
            <w:tcW w:type="dxa" w:w="1492"/>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4.949.173,70</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224.962,44</w:t>
            </w:r>
          </w:p>
        </w:tc>
        <w:tc>
          <w:tcPr>
            <w:tcW w:type="dxa" w:w="1188"/>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30.932,34</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255.894,78</w:t>
            </w:r>
          </w:p>
        </w:tc>
      </w:tr>
      <w:tr w:rsidTr="001E3364" w:rsidR="001E3364">
        <w:trPr>
          <w:trHeight w:val="225"/>
        </w:trPr>
        <w:tc>
          <w:tcPr>
            <w:tcW w:type="dxa" w:w="4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7</w:t>
            </w:r>
          </w:p>
        </w:tc>
        <w:tc>
          <w:tcPr>
            <w:tcW w:type="dxa" w:w="1492"/>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4.724.211,26</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224.962,44</w:t>
            </w:r>
          </w:p>
        </w:tc>
        <w:tc>
          <w:tcPr>
            <w:tcW w:type="dxa" w:w="1188"/>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29.526,32</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254.488,76</w:t>
            </w:r>
          </w:p>
        </w:tc>
      </w:tr>
      <w:tr w:rsidTr="001E3364" w:rsidR="001E3364">
        <w:trPr>
          <w:trHeight w:val="225"/>
        </w:trPr>
        <w:tc>
          <w:tcPr>
            <w:tcW w:type="dxa" w:w="46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8</w:t>
            </w:r>
          </w:p>
        </w:tc>
        <w:tc>
          <w:tcPr>
            <w:tcW w:type="dxa" w:w="1492"/>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4.499.248,81</w:t>
            </w:r>
          </w:p>
        </w:tc>
        <w:tc>
          <w:tcPr>
            <w:tcW w:type="dxa" w:w="131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224.962,44</w:t>
            </w:r>
          </w:p>
        </w:tc>
        <w:tc>
          <w:tcPr>
            <w:tcW w:type="dxa" w:w="1188"/>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28.120,31</w:t>
            </w:r>
          </w:p>
        </w:tc>
        <w:tc>
          <w:tcPr>
            <w:tcW w:type="dxa" w:w="131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253.082,75</w:t>
            </w:r>
          </w:p>
        </w:tc>
      </w:tr>
      <w:tr w:rsidTr="001E3364" w:rsidR="001E3364">
        <w:trPr>
          <w:trHeight w:val="225"/>
        </w:trPr>
        <w:tc>
          <w:tcPr>
            <w:tcW w:type="dxa" w:w="4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9</w:t>
            </w:r>
          </w:p>
        </w:tc>
        <w:tc>
          <w:tcPr>
            <w:tcW w:type="dxa" w:w="1492"/>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4.274.286,37</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224.962,44</w:t>
            </w:r>
          </w:p>
        </w:tc>
        <w:tc>
          <w:tcPr>
            <w:tcW w:type="dxa" w:w="1188"/>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26.714,29</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251.676,73</w:t>
            </w:r>
          </w:p>
        </w:tc>
      </w:tr>
      <w:tr w:rsidTr="001E3364" w:rsidR="001E3364">
        <w:trPr>
          <w:trHeight w:val="225"/>
        </w:trPr>
        <w:tc>
          <w:tcPr>
            <w:tcW w:type="dxa" w:w="4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10</w:t>
            </w:r>
          </w:p>
        </w:tc>
        <w:tc>
          <w:tcPr>
            <w:tcW w:type="dxa" w:w="1492"/>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4.049.323,93</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224.962,44</w:t>
            </w:r>
          </w:p>
        </w:tc>
        <w:tc>
          <w:tcPr>
            <w:tcW w:type="dxa" w:w="1188"/>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25.308,27</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250.270,72</w:t>
            </w:r>
          </w:p>
        </w:tc>
      </w:tr>
      <w:tr w:rsidTr="001E3364" w:rsidR="001E3364">
        <w:trPr>
          <w:trHeight w:val="225"/>
        </w:trPr>
        <w:tc>
          <w:tcPr>
            <w:tcW w:type="dxa" w:w="4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11</w:t>
            </w:r>
          </w:p>
        </w:tc>
        <w:tc>
          <w:tcPr>
            <w:tcW w:type="dxa" w:w="1492"/>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3.824.361,49</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224.962,44</w:t>
            </w:r>
          </w:p>
        </w:tc>
        <w:tc>
          <w:tcPr>
            <w:tcW w:type="dxa" w:w="1188"/>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23.902,26</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248.864,70</w:t>
            </w:r>
          </w:p>
        </w:tc>
      </w:tr>
      <w:tr w:rsidTr="001E3364" w:rsidR="001E3364">
        <w:trPr>
          <w:trHeight w:val="225"/>
        </w:trPr>
        <w:tc>
          <w:tcPr>
            <w:tcW w:type="dxa" w:w="46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12</w:t>
            </w:r>
          </w:p>
        </w:tc>
        <w:tc>
          <w:tcPr>
            <w:tcW w:type="dxa" w:w="1492"/>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3.599.399,05</w:t>
            </w:r>
          </w:p>
        </w:tc>
        <w:tc>
          <w:tcPr>
            <w:tcW w:type="dxa" w:w="131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224.962,44</w:t>
            </w:r>
          </w:p>
        </w:tc>
        <w:tc>
          <w:tcPr>
            <w:tcW w:type="dxa" w:w="1188"/>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22.496,24</w:t>
            </w:r>
          </w:p>
        </w:tc>
        <w:tc>
          <w:tcPr>
            <w:tcW w:type="dxa" w:w="131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247.458,68</w:t>
            </w:r>
          </w:p>
        </w:tc>
      </w:tr>
      <w:tr w:rsidTr="001E3364" w:rsidR="001E3364">
        <w:trPr>
          <w:trHeight w:val="225"/>
        </w:trPr>
        <w:tc>
          <w:tcPr>
            <w:tcW w:type="dxa" w:w="4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13</w:t>
            </w:r>
          </w:p>
        </w:tc>
        <w:tc>
          <w:tcPr>
            <w:tcW w:type="dxa" w:w="1492"/>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3.374.436,61</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224.962,44</w:t>
            </w:r>
          </w:p>
        </w:tc>
        <w:tc>
          <w:tcPr>
            <w:tcW w:type="dxa" w:w="1188"/>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21.090,23</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246.052,67</w:t>
            </w:r>
          </w:p>
        </w:tc>
      </w:tr>
      <w:tr w:rsidTr="001E3364" w:rsidR="001E3364">
        <w:trPr>
          <w:trHeight w:val="225"/>
        </w:trPr>
        <w:tc>
          <w:tcPr>
            <w:tcW w:type="dxa" w:w="4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14</w:t>
            </w:r>
          </w:p>
        </w:tc>
        <w:tc>
          <w:tcPr>
            <w:tcW w:type="dxa" w:w="1492"/>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3.149.474,17</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224.962,44</w:t>
            </w:r>
          </w:p>
        </w:tc>
        <w:tc>
          <w:tcPr>
            <w:tcW w:type="dxa" w:w="1188"/>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19.684,21</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244.646,65</w:t>
            </w:r>
          </w:p>
        </w:tc>
      </w:tr>
      <w:tr w:rsidTr="001E3364" w:rsidR="001E3364">
        <w:trPr>
          <w:trHeight w:val="225"/>
        </w:trPr>
        <w:tc>
          <w:tcPr>
            <w:tcW w:type="dxa" w:w="4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15</w:t>
            </w:r>
          </w:p>
        </w:tc>
        <w:tc>
          <w:tcPr>
            <w:tcW w:type="dxa" w:w="1492"/>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2.924.511,73</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224.962,44</w:t>
            </w:r>
          </w:p>
        </w:tc>
        <w:tc>
          <w:tcPr>
            <w:tcW w:type="dxa" w:w="1188"/>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18.278,20</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243.240,64</w:t>
            </w:r>
          </w:p>
        </w:tc>
      </w:tr>
      <w:tr w:rsidTr="001E3364" w:rsidR="001E3364">
        <w:trPr>
          <w:trHeight w:val="225"/>
        </w:trPr>
        <w:tc>
          <w:tcPr>
            <w:tcW w:type="dxa" w:w="46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16</w:t>
            </w:r>
          </w:p>
        </w:tc>
        <w:tc>
          <w:tcPr>
            <w:tcW w:type="dxa" w:w="1492"/>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2.699.549,29</w:t>
            </w:r>
          </w:p>
        </w:tc>
        <w:tc>
          <w:tcPr>
            <w:tcW w:type="dxa" w:w="131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224.962,44</w:t>
            </w:r>
          </w:p>
        </w:tc>
        <w:tc>
          <w:tcPr>
            <w:tcW w:type="dxa" w:w="1188"/>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16.872,18</w:t>
            </w:r>
          </w:p>
        </w:tc>
        <w:tc>
          <w:tcPr>
            <w:tcW w:type="dxa" w:w="131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241.834,62</w:t>
            </w:r>
          </w:p>
        </w:tc>
      </w:tr>
      <w:tr w:rsidTr="001E3364" w:rsidR="001E3364">
        <w:trPr>
          <w:trHeight w:val="225"/>
        </w:trPr>
        <w:tc>
          <w:tcPr>
            <w:tcW w:type="dxa" w:w="4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17</w:t>
            </w:r>
          </w:p>
        </w:tc>
        <w:tc>
          <w:tcPr>
            <w:tcW w:type="dxa" w:w="1492"/>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2.474.586,85</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224.962,44</w:t>
            </w:r>
          </w:p>
        </w:tc>
        <w:tc>
          <w:tcPr>
            <w:tcW w:type="dxa" w:w="1188"/>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15.466,17</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240.428,61</w:t>
            </w:r>
          </w:p>
        </w:tc>
      </w:tr>
      <w:tr w:rsidTr="001E3364" w:rsidR="001E3364">
        <w:trPr>
          <w:trHeight w:val="225"/>
        </w:trPr>
        <w:tc>
          <w:tcPr>
            <w:tcW w:type="dxa" w:w="4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18</w:t>
            </w:r>
          </w:p>
        </w:tc>
        <w:tc>
          <w:tcPr>
            <w:tcW w:type="dxa" w:w="1492"/>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2.249.624,41</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224.962,44</w:t>
            </w:r>
          </w:p>
        </w:tc>
        <w:tc>
          <w:tcPr>
            <w:tcW w:type="dxa" w:w="1188"/>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14.060,15</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239.022,59</w:t>
            </w:r>
          </w:p>
        </w:tc>
      </w:tr>
      <w:tr w:rsidTr="001E3364" w:rsidR="001E3364">
        <w:trPr>
          <w:trHeight w:val="225"/>
        </w:trPr>
        <w:tc>
          <w:tcPr>
            <w:tcW w:type="dxa" w:w="4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19</w:t>
            </w:r>
          </w:p>
        </w:tc>
        <w:tc>
          <w:tcPr>
            <w:tcW w:type="dxa" w:w="1492"/>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2.024.661,97</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224.962,44</w:t>
            </w:r>
          </w:p>
        </w:tc>
        <w:tc>
          <w:tcPr>
            <w:tcW w:type="dxa" w:w="1188"/>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12.654,14</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237.616,58</w:t>
            </w:r>
          </w:p>
        </w:tc>
      </w:tr>
      <w:tr w:rsidTr="001E3364" w:rsidR="001E3364">
        <w:trPr>
          <w:trHeight w:val="225"/>
        </w:trPr>
        <w:tc>
          <w:tcPr>
            <w:tcW w:type="dxa" w:w="46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20</w:t>
            </w:r>
          </w:p>
        </w:tc>
        <w:tc>
          <w:tcPr>
            <w:tcW w:type="dxa" w:w="1492"/>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1.799.699,53</w:t>
            </w:r>
          </w:p>
        </w:tc>
        <w:tc>
          <w:tcPr>
            <w:tcW w:type="dxa" w:w="131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224.962,44</w:t>
            </w:r>
          </w:p>
        </w:tc>
        <w:tc>
          <w:tcPr>
            <w:tcW w:type="dxa" w:w="1188"/>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11.248,12</w:t>
            </w:r>
          </w:p>
        </w:tc>
        <w:tc>
          <w:tcPr>
            <w:tcW w:type="dxa" w:w="131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236.210,56</w:t>
            </w:r>
          </w:p>
        </w:tc>
      </w:tr>
      <w:tr w:rsidTr="001E3364" w:rsidR="001E3364">
        <w:trPr>
          <w:trHeight w:val="225"/>
        </w:trPr>
        <w:tc>
          <w:tcPr>
            <w:tcW w:type="dxa" w:w="4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21</w:t>
            </w:r>
          </w:p>
        </w:tc>
        <w:tc>
          <w:tcPr>
            <w:tcW w:type="dxa" w:w="1492"/>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1.574.737,09</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224.962,44</w:t>
            </w:r>
          </w:p>
        </w:tc>
        <w:tc>
          <w:tcPr>
            <w:tcW w:type="dxa" w:w="1188"/>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9.842,11</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234.804,55</w:t>
            </w:r>
          </w:p>
        </w:tc>
      </w:tr>
      <w:tr w:rsidTr="001E3364" w:rsidR="001E3364">
        <w:trPr>
          <w:trHeight w:val="225"/>
        </w:trPr>
        <w:tc>
          <w:tcPr>
            <w:tcW w:type="dxa" w:w="4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22</w:t>
            </w:r>
          </w:p>
        </w:tc>
        <w:tc>
          <w:tcPr>
            <w:tcW w:type="dxa" w:w="1492"/>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1.349.774,64</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224.962,44</w:t>
            </w:r>
          </w:p>
        </w:tc>
        <w:tc>
          <w:tcPr>
            <w:tcW w:type="dxa" w:w="1188"/>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8.436,09</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233.398,53</w:t>
            </w:r>
          </w:p>
        </w:tc>
      </w:tr>
      <w:tr w:rsidTr="001E3364" w:rsidR="001E3364">
        <w:trPr>
          <w:trHeight w:val="225"/>
        </w:trPr>
        <w:tc>
          <w:tcPr>
            <w:tcW w:type="dxa" w:w="4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23</w:t>
            </w:r>
          </w:p>
        </w:tc>
        <w:tc>
          <w:tcPr>
            <w:tcW w:type="dxa" w:w="1492"/>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1.124.812,20</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224.962,44</w:t>
            </w:r>
          </w:p>
        </w:tc>
        <w:tc>
          <w:tcPr>
            <w:tcW w:type="dxa" w:w="1188"/>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7.030,08</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231.992,52</w:t>
            </w:r>
          </w:p>
        </w:tc>
      </w:tr>
      <w:tr w:rsidTr="001E3364" w:rsidR="001E3364">
        <w:trPr>
          <w:trHeight w:val="225"/>
        </w:trPr>
        <w:tc>
          <w:tcPr>
            <w:tcW w:type="dxa" w:w="46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24</w:t>
            </w:r>
          </w:p>
        </w:tc>
        <w:tc>
          <w:tcPr>
            <w:tcW w:type="dxa" w:w="1492"/>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899.849,76</w:t>
            </w:r>
          </w:p>
        </w:tc>
        <w:tc>
          <w:tcPr>
            <w:tcW w:type="dxa" w:w="131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224.962,44</w:t>
            </w:r>
          </w:p>
        </w:tc>
        <w:tc>
          <w:tcPr>
            <w:tcW w:type="dxa" w:w="1188"/>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5.624,06</w:t>
            </w:r>
          </w:p>
        </w:tc>
        <w:tc>
          <w:tcPr>
            <w:tcW w:type="dxa" w:w="131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230.586,50</w:t>
            </w:r>
          </w:p>
        </w:tc>
      </w:tr>
      <w:tr w:rsidTr="001E3364" w:rsidR="001E3364">
        <w:trPr>
          <w:trHeight w:val="225"/>
        </w:trPr>
        <w:tc>
          <w:tcPr>
            <w:tcW w:type="dxa" w:w="4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25</w:t>
            </w:r>
          </w:p>
        </w:tc>
        <w:tc>
          <w:tcPr>
            <w:tcW w:type="dxa" w:w="1492"/>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674.887,32</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224.962,44</w:t>
            </w:r>
          </w:p>
        </w:tc>
        <w:tc>
          <w:tcPr>
            <w:tcW w:type="dxa" w:w="1188"/>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4.218,05</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229.180,49</w:t>
            </w:r>
          </w:p>
        </w:tc>
      </w:tr>
      <w:tr w:rsidTr="001E3364" w:rsidR="001E3364">
        <w:trPr>
          <w:trHeight w:val="225"/>
        </w:trPr>
        <w:tc>
          <w:tcPr>
            <w:tcW w:type="dxa" w:w="4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26</w:t>
            </w:r>
          </w:p>
        </w:tc>
        <w:tc>
          <w:tcPr>
            <w:tcW w:type="dxa" w:w="1492"/>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449.924,88</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224.962,44</w:t>
            </w:r>
          </w:p>
        </w:tc>
        <w:tc>
          <w:tcPr>
            <w:tcW w:type="dxa" w:w="1188"/>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2.812,03</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227.774,47</w:t>
            </w:r>
          </w:p>
        </w:tc>
      </w:tr>
      <w:tr w:rsidTr="001E3364" w:rsidR="001E3364">
        <w:trPr>
          <w:trHeight w:val="225"/>
        </w:trPr>
        <w:tc>
          <w:tcPr>
            <w:tcW w:type="dxa" w:w="4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27</w:t>
            </w:r>
          </w:p>
        </w:tc>
        <w:tc>
          <w:tcPr>
            <w:tcW w:type="dxa" w:w="1492"/>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224.962,44</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224.962,44</w:t>
            </w:r>
          </w:p>
        </w:tc>
        <w:tc>
          <w:tcPr>
            <w:tcW w:type="dxa" w:w="1188"/>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1.406,02</w:t>
            </w:r>
          </w:p>
        </w:tc>
        <w:tc>
          <w:tcPr>
            <w:tcW w:type="dxa" w:w="131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226.368,46</w:t>
            </w:r>
          </w:p>
        </w:tc>
      </w:tr>
      <w:tr w:rsidTr="001E3364" w:rsidR="001E3364">
        <w:trPr>
          <w:trHeight w:val="225"/>
        </w:trPr>
        <w:tc>
          <w:tcPr>
            <w:tcW w:type="dxa" w:w="46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28</w:t>
            </w:r>
          </w:p>
        </w:tc>
        <w:tc>
          <w:tcPr>
            <w:tcW w:type="dxa" w:w="1492"/>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0,00</w:t>
            </w:r>
          </w:p>
        </w:tc>
        <w:tc>
          <w:tcPr>
            <w:tcW w:type="dxa" w:w="131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224.962,44</w:t>
            </w:r>
          </w:p>
        </w:tc>
        <w:tc>
          <w:tcPr>
            <w:tcW w:type="dxa" w:w="1188"/>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0,00</w:t>
            </w:r>
          </w:p>
        </w:tc>
        <w:tc>
          <w:tcPr>
            <w:tcW w:type="dxa" w:w="131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224.962,44</w:t>
            </w:r>
          </w:p>
        </w:tc>
      </w:tr>
    </w:tbl>
    <w:p w:rsidRDefault="001E3364" w:rsidP="001E3364" w:rsidR="001E3364">
      <w:r>
        <w:br w:type="page"/>
      </w:r>
    </w:p>
    <w:tbl>
      <w:tblPr>
        <w:tblW w:type="dxa" w:w="4759"/>
        <w:tblLook w:val="04A0" w:noVBand="1" w:noHBand="0" w:lastColumn="0" w:firstColumn="1" w:lastRow="0" w:firstRow="1"/>
      </w:tblPr>
      <w:tblGrid>
        <w:gridCol w:w="460"/>
        <w:gridCol w:w="1492"/>
        <w:gridCol w:w="1188"/>
        <w:gridCol w:w="1067"/>
        <w:gridCol w:w="1188"/>
      </w:tblGrid>
      <w:tr w:rsidTr="001E3364" w:rsidR="001E3364">
        <w:trPr>
          <w:trHeight w:val="450"/>
        </w:trPr>
        <w:tc>
          <w:tcPr>
            <w:tcW w:type="dxa" w:w="379"/>
            <w:vAlign w:val="bottom"/>
          </w:tcPr>
          <w:p w:rsidRDefault="001E3364" w:rsidR="001E3364">
            <w:pPr>
              <w:spacing w:lineRule="auto" w:line="240" w:after="0"/>
              <w:rPr>
                <w:rFonts w:cstheme="minorHAnsi" w:eastAsia="Times New Roman"/>
                <w:sz w:val="24"/>
                <w:szCs w:val="24"/>
                <w:lang w:eastAsia="hr-HR"/>
              </w:rPr>
            </w:pPr>
          </w:p>
        </w:tc>
        <w:tc>
          <w:tcPr>
            <w:tcW w:type="dxa" w:w="4380"/>
            <w:gridSpan w:val="4"/>
            <w:vAlign w:val="bottom"/>
            <w:hideMark/>
          </w:tcPr>
          <w:p w:rsidRDefault="001E3364" w:rsidR="001E3364">
            <w:pPr>
              <w:spacing w:lineRule="auto" w:line="240" w:after="0"/>
              <w:jc w:val="center"/>
              <w:rPr>
                <w:rFonts w:cstheme="minorHAnsi" w:eastAsia="Times New Roman"/>
                <w:b/>
                <w:bCs/>
                <w:color w:val="000000"/>
                <w:sz w:val="24"/>
                <w:szCs w:val="24"/>
                <w:lang w:eastAsia="hr-HR"/>
              </w:rPr>
            </w:pPr>
            <w:r>
              <w:rPr>
                <w:rFonts w:cstheme="minorHAnsi" w:eastAsia="Times New Roman"/>
                <w:b/>
                <w:bCs/>
                <w:color w:val="000000"/>
                <w:sz w:val="24"/>
                <w:szCs w:val="24"/>
                <w:lang w:eastAsia="hr-HR"/>
              </w:rPr>
              <w:t>SOCIETE GENERALE - SPLITSKA BANKA D.D.</w:t>
            </w:r>
          </w:p>
        </w:tc>
      </w:tr>
      <w:tr w:rsidTr="001E3364" w:rsidR="001E3364">
        <w:trPr>
          <w:trHeight w:val="450"/>
        </w:trPr>
        <w:tc>
          <w:tcPr>
            <w:tcW w:type="dxa" w:w="379"/>
            <w:vAlign w:val="bottom"/>
            <w:hideMark/>
          </w:tcPr>
          <w:p w:rsidRDefault="001E3364" w:rsidR="001E3364">
            <w:pPr>
              <w:spacing w:after="0"/>
              <w:rPr>
                <w:rFonts w:cs="Times New Roman"/>
              </w:rPr>
            </w:pPr>
          </w:p>
        </w:tc>
        <w:tc>
          <w:tcPr>
            <w:tcW w:type="dxa" w:w="1180"/>
            <w:vAlign w:val="bottom"/>
            <w:hideMark/>
          </w:tcPr>
          <w:p w:rsidRDefault="001E3364" w:rsidR="001E3364">
            <w:pPr>
              <w:spacing w:lineRule="auto" w:line="240" w:after="0"/>
              <w:jc w:val="center"/>
              <w:rPr>
                <w:rFonts w:cstheme="minorHAnsi" w:eastAsia="Times New Roman"/>
                <w:b/>
                <w:bCs/>
                <w:color w:val="000000"/>
                <w:sz w:val="24"/>
                <w:szCs w:val="24"/>
                <w:lang w:eastAsia="hr-HR"/>
              </w:rPr>
            </w:pPr>
            <w:r>
              <w:rPr>
                <w:rFonts w:cstheme="minorHAnsi" w:eastAsia="Times New Roman"/>
                <w:b/>
                <w:bCs/>
                <w:color w:val="000000"/>
                <w:sz w:val="24"/>
                <w:szCs w:val="24"/>
                <w:lang w:eastAsia="hr-HR"/>
              </w:rPr>
              <w:t>Preostala glavnica HRK</w:t>
            </w:r>
          </w:p>
        </w:tc>
        <w:tc>
          <w:tcPr>
            <w:tcW w:type="dxa" w:w="1120"/>
            <w:vAlign w:val="bottom"/>
            <w:hideMark/>
          </w:tcPr>
          <w:p w:rsidRDefault="001E3364" w:rsidR="001E3364">
            <w:pPr>
              <w:spacing w:lineRule="auto" w:line="240" w:after="0"/>
              <w:jc w:val="center"/>
              <w:rPr>
                <w:rFonts w:cstheme="minorHAnsi" w:eastAsia="Times New Roman"/>
                <w:b/>
                <w:bCs/>
                <w:color w:val="000000"/>
                <w:sz w:val="24"/>
                <w:szCs w:val="24"/>
                <w:lang w:eastAsia="hr-HR"/>
              </w:rPr>
            </w:pPr>
            <w:r>
              <w:rPr>
                <w:rFonts w:cstheme="minorHAnsi" w:eastAsia="Times New Roman"/>
                <w:b/>
                <w:bCs/>
                <w:color w:val="000000"/>
                <w:sz w:val="24"/>
                <w:szCs w:val="24"/>
                <w:lang w:eastAsia="hr-HR"/>
              </w:rPr>
              <w:t>otplata glavnice HRK</w:t>
            </w:r>
          </w:p>
        </w:tc>
        <w:tc>
          <w:tcPr>
            <w:tcW w:type="dxa" w:w="1020"/>
            <w:vAlign w:val="bottom"/>
            <w:hideMark/>
          </w:tcPr>
          <w:p w:rsidRDefault="001E3364" w:rsidR="001E3364">
            <w:pPr>
              <w:spacing w:lineRule="auto" w:line="240" w:after="0"/>
              <w:jc w:val="center"/>
              <w:rPr>
                <w:rFonts w:cstheme="minorHAnsi" w:eastAsia="Times New Roman"/>
                <w:b/>
                <w:bCs/>
                <w:color w:val="000000"/>
                <w:sz w:val="24"/>
                <w:szCs w:val="24"/>
                <w:lang w:eastAsia="hr-HR"/>
              </w:rPr>
            </w:pPr>
            <w:r>
              <w:rPr>
                <w:rFonts w:cstheme="minorHAnsi" w:eastAsia="Times New Roman"/>
                <w:b/>
                <w:bCs/>
                <w:color w:val="000000"/>
                <w:sz w:val="24"/>
                <w:szCs w:val="24"/>
                <w:lang w:eastAsia="hr-HR"/>
              </w:rPr>
              <w:t>otplata kamate HRK</w:t>
            </w:r>
          </w:p>
        </w:tc>
        <w:tc>
          <w:tcPr>
            <w:tcW w:type="dxa" w:w="1060"/>
            <w:vAlign w:val="bottom"/>
            <w:hideMark/>
          </w:tcPr>
          <w:p w:rsidRDefault="001E3364" w:rsidR="001E3364">
            <w:pPr>
              <w:spacing w:lineRule="auto" w:line="240" w:after="0"/>
              <w:jc w:val="center"/>
              <w:rPr>
                <w:rFonts w:cstheme="minorHAnsi" w:eastAsia="Times New Roman"/>
                <w:b/>
                <w:bCs/>
                <w:color w:val="000000"/>
                <w:sz w:val="24"/>
                <w:szCs w:val="24"/>
                <w:lang w:eastAsia="hr-HR"/>
              </w:rPr>
            </w:pPr>
            <w:r>
              <w:rPr>
                <w:rFonts w:cstheme="minorHAnsi" w:eastAsia="Times New Roman"/>
                <w:b/>
                <w:bCs/>
                <w:color w:val="000000"/>
                <w:sz w:val="24"/>
                <w:szCs w:val="24"/>
                <w:lang w:eastAsia="hr-HR"/>
              </w:rPr>
              <w:t>ukupna rata HRK</w:t>
            </w:r>
          </w:p>
        </w:tc>
      </w:tr>
      <w:tr w:rsidTr="001E3364" w:rsidR="001E3364">
        <w:trPr>
          <w:trHeight w:val="225"/>
        </w:trPr>
        <w:tc>
          <w:tcPr>
            <w:tcW w:type="dxa" w:w="379"/>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0</w:t>
            </w:r>
          </w:p>
        </w:tc>
        <w:tc>
          <w:tcPr>
            <w:tcW w:type="dxa" w:w="118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1.498.040,78</w:t>
            </w:r>
          </w:p>
        </w:tc>
        <w:tc>
          <w:tcPr>
            <w:tcW w:type="dxa" w:w="11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0,00</w:t>
            </w:r>
          </w:p>
        </w:tc>
        <w:tc>
          <w:tcPr>
            <w:tcW w:type="dxa" w:w="10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9.362,75</w:t>
            </w:r>
          </w:p>
        </w:tc>
        <w:tc>
          <w:tcPr>
            <w:tcW w:type="dxa" w:w="10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9.362,75</w:t>
            </w:r>
          </w:p>
        </w:tc>
      </w:tr>
      <w:tr w:rsidTr="001E3364" w:rsidR="001E3364">
        <w:trPr>
          <w:trHeight w:val="225"/>
        </w:trPr>
        <w:tc>
          <w:tcPr>
            <w:tcW w:type="dxa" w:w="379"/>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0</w:t>
            </w:r>
          </w:p>
        </w:tc>
        <w:tc>
          <w:tcPr>
            <w:tcW w:type="dxa" w:w="118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1.498.040,78</w:t>
            </w:r>
          </w:p>
        </w:tc>
        <w:tc>
          <w:tcPr>
            <w:tcW w:type="dxa" w:w="11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0,00</w:t>
            </w:r>
          </w:p>
        </w:tc>
        <w:tc>
          <w:tcPr>
            <w:tcW w:type="dxa" w:w="10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9.362,75</w:t>
            </w:r>
          </w:p>
        </w:tc>
        <w:tc>
          <w:tcPr>
            <w:tcW w:type="dxa" w:w="10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9.362,75</w:t>
            </w:r>
          </w:p>
        </w:tc>
      </w:tr>
      <w:tr w:rsidTr="001E3364" w:rsidR="001E3364">
        <w:trPr>
          <w:trHeight w:val="225"/>
        </w:trPr>
        <w:tc>
          <w:tcPr>
            <w:tcW w:type="dxa" w:w="379"/>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0</w:t>
            </w:r>
          </w:p>
        </w:tc>
        <w:tc>
          <w:tcPr>
            <w:tcW w:type="dxa" w:w="118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1.498.040,78</w:t>
            </w:r>
          </w:p>
        </w:tc>
        <w:tc>
          <w:tcPr>
            <w:tcW w:type="dxa" w:w="11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0,00</w:t>
            </w:r>
          </w:p>
        </w:tc>
        <w:tc>
          <w:tcPr>
            <w:tcW w:type="dxa" w:w="10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9.362,75</w:t>
            </w:r>
          </w:p>
        </w:tc>
        <w:tc>
          <w:tcPr>
            <w:tcW w:type="dxa" w:w="10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9.362,75</w:t>
            </w:r>
          </w:p>
        </w:tc>
      </w:tr>
      <w:tr w:rsidTr="001E3364" w:rsidR="001E3364">
        <w:trPr>
          <w:trHeight w:val="225"/>
        </w:trPr>
        <w:tc>
          <w:tcPr>
            <w:tcW w:type="dxa" w:w="379"/>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0</w:t>
            </w:r>
          </w:p>
        </w:tc>
        <w:tc>
          <w:tcPr>
            <w:tcW w:type="dxa" w:w="118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1.498.040,78</w:t>
            </w:r>
          </w:p>
        </w:tc>
        <w:tc>
          <w:tcPr>
            <w:tcW w:type="dxa" w:w="112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0,00</w:t>
            </w:r>
          </w:p>
        </w:tc>
        <w:tc>
          <w:tcPr>
            <w:tcW w:type="dxa" w:w="102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9.362,75</w:t>
            </w:r>
          </w:p>
        </w:tc>
        <w:tc>
          <w:tcPr>
            <w:tcW w:type="dxa" w:w="106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9.362,75</w:t>
            </w:r>
          </w:p>
        </w:tc>
      </w:tr>
      <w:tr w:rsidTr="001E3364" w:rsidR="001E3364">
        <w:trPr>
          <w:trHeight w:val="225"/>
        </w:trPr>
        <w:tc>
          <w:tcPr>
            <w:tcW w:type="dxa" w:w="379"/>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0</w:t>
            </w:r>
          </w:p>
        </w:tc>
        <w:tc>
          <w:tcPr>
            <w:tcW w:type="dxa" w:w="118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1.498.040,78</w:t>
            </w:r>
          </w:p>
        </w:tc>
        <w:tc>
          <w:tcPr>
            <w:tcW w:type="dxa" w:w="11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0,00</w:t>
            </w:r>
          </w:p>
        </w:tc>
        <w:tc>
          <w:tcPr>
            <w:tcW w:type="dxa" w:w="10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9.362,75</w:t>
            </w:r>
          </w:p>
        </w:tc>
        <w:tc>
          <w:tcPr>
            <w:tcW w:type="dxa" w:w="10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9.362,75</w:t>
            </w:r>
          </w:p>
        </w:tc>
      </w:tr>
      <w:tr w:rsidTr="001E3364" w:rsidR="001E3364">
        <w:trPr>
          <w:trHeight w:val="225"/>
        </w:trPr>
        <w:tc>
          <w:tcPr>
            <w:tcW w:type="dxa" w:w="379"/>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0</w:t>
            </w:r>
          </w:p>
        </w:tc>
        <w:tc>
          <w:tcPr>
            <w:tcW w:type="dxa" w:w="118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1.498.040,78</w:t>
            </w:r>
          </w:p>
        </w:tc>
        <w:tc>
          <w:tcPr>
            <w:tcW w:type="dxa" w:w="11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0,00</w:t>
            </w:r>
          </w:p>
        </w:tc>
        <w:tc>
          <w:tcPr>
            <w:tcW w:type="dxa" w:w="10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9.362,75</w:t>
            </w:r>
          </w:p>
        </w:tc>
        <w:tc>
          <w:tcPr>
            <w:tcW w:type="dxa" w:w="10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9.362,75</w:t>
            </w:r>
          </w:p>
        </w:tc>
      </w:tr>
      <w:tr w:rsidTr="001E3364" w:rsidR="001E3364">
        <w:trPr>
          <w:trHeight w:val="225"/>
        </w:trPr>
        <w:tc>
          <w:tcPr>
            <w:tcW w:type="dxa" w:w="379"/>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0</w:t>
            </w:r>
          </w:p>
        </w:tc>
        <w:tc>
          <w:tcPr>
            <w:tcW w:type="dxa" w:w="118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1.498.040,78</w:t>
            </w:r>
          </w:p>
        </w:tc>
        <w:tc>
          <w:tcPr>
            <w:tcW w:type="dxa" w:w="11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0,00</w:t>
            </w:r>
          </w:p>
        </w:tc>
        <w:tc>
          <w:tcPr>
            <w:tcW w:type="dxa" w:w="10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9.362,75</w:t>
            </w:r>
          </w:p>
        </w:tc>
        <w:tc>
          <w:tcPr>
            <w:tcW w:type="dxa" w:w="10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9.362,75</w:t>
            </w:r>
          </w:p>
        </w:tc>
      </w:tr>
      <w:tr w:rsidTr="001E3364" w:rsidR="001E3364">
        <w:trPr>
          <w:trHeight w:val="225"/>
        </w:trPr>
        <w:tc>
          <w:tcPr>
            <w:tcW w:type="dxa" w:w="379"/>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0</w:t>
            </w:r>
          </w:p>
        </w:tc>
        <w:tc>
          <w:tcPr>
            <w:tcW w:type="dxa" w:w="118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1.498.040,78</w:t>
            </w:r>
          </w:p>
        </w:tc>
        <w:tc>
          <w:tcPr>
            <w:tcW w:type="dxa" w:w="112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0,00</w:t>
            </w:r>
          </w:p>
        </w:tc>
        <w:tc>
          <w:tcPr>
            <w:tcW w:type="dxa" w:w="102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9.362,75</w:t>
            </w:r>
          </w:p>
        </w:tc>
        <w:tc>
          <w:tcPr>
            <w:tcW w:type="dxa" w:w="106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9.362,75</w:t>
            </w:r>
          </w:p>
        </w:tc>
      </w:tr>
      <w:tr w:rsidTr="001E3364" w:rsidR="001E3364">
        <w:trPr>
          <w:trHeight w:val="225"/>
        </w:trPr>
        <w:tc>
          <w:tcPr>
            <w:tcW w:type="dxa" w:w="379"/>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w:t>
            </w:r>
          </w:p>
        </w:tc>
        <w:tc>
          <w:tcPr>
            <w:tcW w:type="dxa" w:w="118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1.444.539,32</w:t>
            </w:r>
          </w:p>
        </w:tc>
        <w:tc>
          <w:tcPr>
            <w:tcW w:type="dxa" w:w="11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53.501,46</w:t>
            </w:r>
          </w:p>
        </w:tc>
        <w:tc>
          <w:tcPr>
            <w:tcW w:type="dxa" w:w="10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9.028,37</w:t>
            </w:r>
          </w:p>
        </w:tc>
        <w:tc>
          <w:tcPr>
            <w:tcW w:type="dxa" w:w="10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62.529,83</w:t>
            </w:r>
          </w:p>
        </w:tc>
      </w:tr>
      <w:tr w:rsidTr="001E3364" w:rsidR="001E3364">
        <w:trPr>
          <w:trHeight w:val="225"/>
        </w:trPr>
        <w:tc>
          <w:tcPr>
            <w:tcW w:type="dxa" w:w="379"/>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w:t>
            </w:r>
          </w:p>
        </w:tc>
        <w:tc>
          <w:tcPr>
            <w:tcW w:type="dxa" w:w="118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1.391.037,87</w:t>
            </w:r>
          </w:p>
        </w:tc>
        <w:tc>
          <w:tcPr>
            <w:tcW w:type="dxa" w:w="11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53.501,46</w:t>
            </w:r>
          </w:p>
        </w:tc>
        <w:tc>
          <w:tcPr>
            <w:tcW w:type="dxa" w:w="10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8.693,99</w:t>
            </w:r>
          </w:p>
        </w:tc>
        <w:tc>
          <w:tcPr>
            <w:tcW w:type="dxa" w:w="10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62.195,44</w:t>
            </w:r>
          </w:p>
        </w:tc>
      </w:tr>
      <w:tr w:rsidTr="001E3364" w:rsidR="001E3364">
        <w:trPr>
          <w:trHeight w:val="225"/>
        </w:trPr>
        <w:tc>
          <w:tcPr>
            <w:tcW w:type="dxa" w:w="379"/>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3</w:t>
            </w:r>
          </w:p>
        </w:tc>
        <w:tc>
          <w:tcPr>
            <w:tcW w:type="dxa" w:w="118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1.337.536,41</w:t>
            </w:r>
          </w:p>
        </w:tc>
        <w:tc>
          <w:tcPr>
            <w:tcW w:type="dxa" w:w="11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53.501,46</w:t>
            </w:r>
          </w:p>
        </w:tc>
        <w:tc>
          <w:tcPr>
            <w:tcW w:type="dxa" w:w="10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8.359,60</w:t>
            </w:r>
          </w:p>
        </w:tc>
        <w:tc>
          <w:tcPr>
            <w:tcW w:type="dxa" w:w="10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61.861,06</w:t>
            </w:r>
          </w:p>
        </w:tc>
      </w:tr>
      <w:tr w:rsidTr="001E3364" w:rsidR="001E3364">
        <w:trPr>
          <w:trHeight w:val="225"/>
        </w:trPr>
        <w:tc>
          <w:tcPr>
            <w:tcW w:type="dxa" w:w="379"/>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4</w:t>
            </w:r>
          </w:p>
        </w:tc>
        <w:tc>
          <w:tcPr>
            <w:tcW w:type="dxa" w:w="118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1.284.034,95</w:t>
            </w:r>
          </w:p>
        </w:tc>
        <w:tc>
          <w:tcPr>
            <w:tcW w:type="dxa" w:w="112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53.501,46</w:t>
            </w:r>
          </w:p>
        </w:tc>
        <w:tc>
          <w:tcPr>
            <w:tcW w:type="dxa" w:w="102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8.025,22</w:t>
            </w:r>
          </w:p>
        </w:tc>
        <w:tc>
          <w:tcPr>
            <w:tcW w:type="dxa" w:w="106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61.526,67</w:t>
            </w:r>
          </w:p>
        </w:tc>
      </w:tr>
      <w:tr w:rsidTr="001E3364" w:rsidR="001E3364">
        <w:trPr>
          <w:trHeight w:val="225"/>
        </w:trPr>
        <w:tc>
          <w:tcPr>
            <w:tcW w:type="dxa" w:w="379"/>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5</w:t>
            </w:r>
          </w:p>
        </w:tc>
        <w:tc>
          <w:tcPr>
            <w:tcW w:type="dxa" w:w="118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1.230.533,50</w:t>
            </w:r>
          </w:p>
        </w:tc>
        <w:tc>
          <w:tcPr>
            <w:tcW w:type="dxa" w:w="11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53.501,46</w:t>
            </w:r>
          </w:p>
        </w:tc>
        <w:tc>
          <w:tcPr>
            <w:tcW w:type="dxa" w:w="10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7.690,83</w:t>
            </w:r>
          </w:p>
        </w:tc>
        <w:tc>
          <w:tcPr>
            <w:tcW w:type="dxa" w:w="10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61.192,29</w:t>
            </w:r>
          </w:p>
        </w:tc>
      </w:tr>
      <w:tr w:rsidTr="001E3364" w:rsidR="001E3364">
        <w:trPr>
          <w:trHeight w:val="225"/>
        </w:trPr>
        <w:tc>
          <w:tcPr>
            <w:tcW w:type="dxa" w:w="379"/>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6</w:t>
            </w:r>
          </w:p>
        </w:tc>
        <w:tc>
          <w:tcPr>
            <w:tcW w:type="dxa" w:w="118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1.177.032,04</w:t>
            </w:r>
          </w:p>
        </w:tc>
        <w:tc>
          <w:tcPr>
            <w:tcW w:type="dxa" w:w="11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53.501,46</w:t>
            </w:r>
          </w:p>
        </w:tc>
        <w:tc>
          <w:tcPr>
            <w:tcW w:type="dxa" w:w="10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7.356,45</w:t>
            </w:r>
          </w:p>
        </w:tc>
        <w:tc>
          <w:tcPr>
            <w:tcW w:type="dxa" w:w="10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60.857,91</w:t>
            </w:r>
          </w:p>
        </w:tc>
      </w:tr>
      <w:tr w:rsidTr="001E3364" w:rsidR="001E3364">
        <w:trPr>
          <w:trHeight w:val="225"/>
        </w:trPr>
        <w:tc>
          <w:tcPr>
            <w:tcW w:type="dxa" w:w="379"/>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7</w:t>
            </w:r>
          </w:p>
        </w:tc>
        <w:tc>
          <w:tcPr>
            <w:tcW w:type="dxa" w:w="118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1.123.530,59</w:t>
            </w:r>
          </w:p>
        </w:tc>
        <w:tc>
          <w:tcPr>
            <w:tcW w:type="dxa" w:w="11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53.501,46</w:t>
            </w:r>
          </w:p>
        </w:tc>
        <w:tc>
          <w:tcPr>
            <w:tcW w:type="dxa" w:w="10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7.022,07</w:t>
            </w:r>
          </w:p>
        </w:tc>
        <w:tc>
          <w:tcPr>
            <w:tcW w:type="dxa" w:w="10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60.523,52</w:t>
            </w:r>
          </w:p>
        </w:tc>
      </w:tr>
      <w:tr w:rsidTr="001E3364" w:rsidR="001E3364">
        <w:trPr>
          <w:trHeight w:val="225"/>
        </w:trPr>
        <w:tc>
          <w:tcPr>
            <w:tcW w:type="dxa" w:w="379"/>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8</w:t>
            </w:r>
          </w:p>
        </w:tc>
        <w:tc>
          <w:tcPr>
            <w:tcW w:type="dxa" w:w="118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1.070.029,13</w:t>
            </w:r>
          </w:p>
        </w:tc>
        <w:tc>
          <w:tcPr>
            <w:tcW w:type="dxa" w:w="112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53.501,46</w:t>
            </w:r>
          </w:p>
        </w:tc>
        <w:tc>
          <w:tcPr>
            <w:tcW w:type="dxa" w:w="102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6.687,68</w:t>
            </w:r>
          </w:p>
        </w:tc>
        <w:tc>
          <w:tcPr>
            <w:tcW w:type="dxa" w:w="106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60.189,14</w:t>
            </w:r>
          </w:p>
        </w:tc>
      </w:tr>
      <w:tr w:rsidTr="001E3364" w:rsidR="001E3364">
        <w:trPr>
          <w:trHeight w:val="225"/>
        </w:trPr>
        <w:tc>
          <w:tcPr>
            <w:tcW w:type="dxa" w:w="379"/>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9</w:t>
            </w:r>
          </w:p>
        </w:tc>
        <w:tc>
          <w:tcPr>
            <w:tcW w:type="dxa" w:w="118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1.016.527,67</w:t>
            </w:r>
          </w:p>
        </w:tc>
        <w:tc>
          <w:tcPr>
            <w:tcW w:type="dxa" w:w="11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53.501,46</w:t>
            </w:r>
          </w:p>
        </w:tc>
        <w:tc>
          <w:tcPr>
            <w:tcW w:type="dxa" w:w="10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6.353,30</w:t>
            </w:r>
          </w:p>
        </w:tc>
        <w:tc>
          <w:tcPr>
            <w:tcW w:type="dxa" w:w="10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59.854,75</w:t>
            </w:r>
          </w:p>
        </w:tc>
      </w:tr>
      <w:tr w:rsidTr="001E3364" w:rsidR="001E3364">
        <w:trPr>
          <w:trHeight w:val="225"/>
        </w:trPr>
        <w:tc>
          <w:tcPr>
            <w:tcW w:type="dxa" w:w="379"/>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10</w:t>
            </w:r>
          </w:p>
        </w:tc>
        <w:tc>
          <w:tcPr>
            <w:tcW w:type="dxa" w:w="118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963.026,22</w:t>
            </w:r>
          </w:p>
        </w:tc>
        <w:tc>
          <w:tcPr>
            <w:tcW w:type="dxa" w:w="11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53.501,46</w:t>
            </w:r>
          </w:p>
        </w:tc>
        <w:tc>
          <w:tcPr>
            <w:tcW w:type="dxa" w:w="10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6.018,91</w:t>
            </w:r>
          </w:p>
        </w:tc>
        <w:tc>
          <w:tcPr>
            <w:tcW w:type="dxa" w:w="10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59.520,37</w:t>
            </w:r>
          </w:p>
        </w:tc>
      </w:tr>
      <w:tr w:rsidTr="001E3364" w:rsidR="001E3364">
        <w:trPr>
          <w:trHeight w:val="225"/>
        </w:trPr>
        <w:tc>
          <w:tcPr>
            <w:tcW w:type="dxa" w:w="379"/>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11</w:t>
            </w:r>
          </w:p>
        </w:tc>
        <w:tc>
          <w:tcPr>
            <w:tcW w:type="dxa" w:w="118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909.524,76</w:t>
            </w:r>
          </w:p>
        </w:tc>
        <w:tc>
          <w:tcPr>
            <w:tcW w:type="dxa" w:w="11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53.501,46</w:t>
            </w:r>
          </w:p>
        </w:tc>
        <w:tc>
          <w:tcPr>
            <w:tcW w:type="dxa" w:w="10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5.684,53</w:t>
            </w:r>
          </w:p>
        </w:tc>
        <w:tc>
          <w:tcPr>
            <w:tcW w:type="dxa" w:w="10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59.185,99</w:t>
            </w:r>
          </w:p>
        </w:tc>
      </w:tr>
      <w:tr w:rsidTr="001E3364" w:rsidR="001E3364">
        <w:trPr>
          <w:trHeight w:val="225"/>
        </w:trPr>
        <w:tc>
          <w:tcPr>
            <w:tcW w:type="dxa" w:w="379"/>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12</w:t>
            </w:r>
          </w:p>
        </w:tc>
        <w:tc>
          <w:tcPr>
            <w:tcW w:type="dxa" w:w="118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856.023,30</w:t>
            </w:r>
          </w:p>
        </w:tc>
        <w:tc>
          <w:tcPr>
            <w:tcW w:type="dxa" w:w="112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53.501,46</w:t>
            </w:r>
          </w:p>
        </w:tc>
        <w:tc>
          <w:tcPr>
            <w:tcW w:type="dxa" w:w="102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5.350,15</w:t>
            </w:r>
          </w:p>
        </w:tc>
        <w:tc>
          <w:tcPr>
            <w:tcW w:type="dxa" w:w="106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58.851,60</w:t>
            </w:r>
          </w:p>
        </w:tc>
      </w:tr>
      <w:tr w:rsidTr="001E3364" w:rsidR="001E3364">
        <w:trPr>
          <w:trHeight w:val="225"/>
        </w:trPr>
        <w:tc>
          <w:tcPr>
            <w:tcW w:type="dxa" w:w="379"/>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13</w:t>
            </w:r>
          </w:p>
        </w:tc>
        <w:tc>
          <w:tcPr>
            <w:tcW w:type="dxa" w:w="118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802.521,85</w:t>
            </w:r>
          </w:p>
        </w:tc>
        <w:tc>
          <w:tcPr>
            <w:tcW w:type="dxa" w:w="11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53.501,46</w:t>
            </w:r>
          </w:p>
        </w:tc>
        <w:tc>
          <w:tcPr>
            <w:tcW w:type="dxa" w:w="10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5.015,76</w:t>
            </w:r>
          </w:p>
        </w:tc>
        <w:tc>
          <w:tcPr>
            <w:tcW w:type="dxa" w:w="10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58.517,22</w:t>
            </w:r>
          </w:p>
        </w:tc>
      </w:tr>
      <w:tr w:rsidTr="001E3364" w:rsidR="001E3364">
        <w:trPr>
          <w:trHeight w:val="225"/>
        </w:trPr>
        <w:tc>
          <w:tcPr>
            <w:tcW w:type="dxa" w:w="379"/>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14</w:t>
            </w:r>
          </w:p>
        </w:tc>
        <w:tc>
          <w:tcPr>
            <w:tcW w:type="dxa" w:w="118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749.020,39</w:t>
            </w:r>
          </w:p>
        </w:tc>
        <w:tc>
          <w:tcPr>
            <w:tcW w:type="dxa" w:w="11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53.501,46</w:t>
            </w:r>
          </w:p>
        </w:tc>
        <w:tc>
          <w:tcPr>
            <w:tcW w:type="dxa" w:w="10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4.681,38</w:t>
            </w:r>
          </w:p>
        </w:tc>
        <w:tc>
          <w:tcPr>
            <w:tcW w:type="dxa" w:w="10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58.182,83</w:t>
            </w:r>
          </w:p>
        </w:tc>
      </w:tr>
      <w:tr w:rsidTr="001E3364" w:rsidR="001E3364">
        <w:trPr>
          <w:trHeight w:val="225"/>
        </w:trPr>
        <w:tc>
          <w:tcPr>
            <w:tcW w:type="dxa" w:w="379"/>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15</w:t>
            </w:r>
          </w:p>
        </w:tc>
        <w:tc>
          <w:tcPr>
            <w:tcW w:type="dxa" w:w="118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695.518,93</w:t>
            </w:r>
          </w:p>
        </w:tc>
        <w:tc>
          <w:tcPr>
            <w:tcW w:type="dxa" w:w="11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53.501,46</w:t>
            </w:r>
          </w:p>
        </w:tc>
        <w:tc>
          <w:tcPr>
            <w:tcW w:type="dxa" w:w="10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4.346,99</w:t>
            </w:r>
          </w:p>
        </w:tc>
        <w:tc>
          <w:tcPr>
            <w:tcW w:type="dxa" w:w="10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57.848,45</w:t>
            </w:r>
          </w:p>
        </w:tc>
      </w:tr>
      <w:tr w:rsidTr="001E3364" w:rsidR="001E3364">
        <w:trPr>
          <w:trHeight w:val="225"/>
        </w:trPr>
        <w:tc>
          <w:tcPr>
            <w:tcW w:type="dxa" w:w="379"/>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16</w:t>
            </w:r>
          </w:p>
        </w:tc>
        <w:tc>
          <w:tcPr>
            <w:tcW w:type="dxa" w:w="118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642.017,48</w:t>
            </w:r>
          </w:p>
        </w:tc>
        <w:tc>
          <w:tcPr>
            <w:tcW w:type="dxa" w:w="112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53.501,46</w:t>
            </w:r>
          </w:p>
        </w:tc>
        <w:tc>
          <w:tcPr>
            <w:tcW w:type="dxa" w:w="102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4.012,61</w:t>
            </w:r>
          </w:p>
        </w:tc>
        <w:tc>
          <w:tcPr>
            <w:tcW w:type="dxa" w:w="106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57.514,07</w:t>
            </w:r>
          </w:p>
        </w:tc>
      </w:tr>
      <w:tr w:rsidTr="001E3364" w:rsidR="001E3364">
        <w:trPr>
          <w:trHeight w:val="225"/>
        </w:trPr>
        <w:tc>
          <w:tcPr>
            <w:tcW w:type="dxa" w:w="379"/>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17</w:t>
            </w:r>
          </w:p>
        </w:tc>
        <w:tc>
          <w:tcPr>
            <w:tcW w:type="dxa" w:w="118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588.516,02</w:t>
            </w:r>
          </w:p>
        </w:tc>
        <w:tc>
          <w:tcPr>
            <w:tcW w:type="dxa" w:w="11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53.501,46</w:t>
            </w:r>
          </w:p>
        </w:tc>
        <w:tc>
          <w:tcPr>
            <w:tcW w:type="dxa" w:w="10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3.678,23</w:t>
            </w:r>
          </w:p>
        </w:tc>
        <w:tc>
          <w:tcPr>
            <w:tcW w:type="dxa" w:w="10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57.179,68</w:t>
            </w:r>
          </w:p>
        </w:tc>
      </w:tr>
      <w:tr w:rsidTr="001E3364" w:rsidR="001E3364">
        <w:trPr>
          <w:trHeight w:val="225"/>
        </w:trPr>
        <w:tc>
          <w:tcPr>
            <w:tcW w:type="dxa" w:w="379"/>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18</w:t>
            </w:r>
          </w:p>
        </w:tc>
        <w:tc>
          <w:tcPr>
            <w:tcW w:type="dxa" w:w="118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535.014,56</w:t>
            </w:r>
          </w:p>
        </w:tc>
        <w:tc>
          <w:tcPr>
            <w:tcW w:type="dxa" w:w="11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53.501,46</w:t>
            </w:r>
          </w:p>
        </w:tc>
        <w:tc>
          <w:tcPr>
            <w:tcW w:type="dxa" w:w="10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3.343,84</w:t>
            </w:r>
          </w:p>
        </w:tc>
        <w:tc>
          <w:tcPr>
            <w:tcW w:type="dxa" w:w="10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56.845,30</w:t>
            </w:r>
          </w:p>
        </w:tc>
      </w:tr>
      <w:tr w:rsidTr="001E3364" w:rsidR="001E3364">
        <w:trPr>
          <w:trHeight w:val="225"/>
        </w:trPr>
        <w:tc>
          <w:tcPr>
            <w:tcW w:type="dxa" w:w="379"/>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19</w:t>
            </w:r>
          </w:p>
        </w:tc>
        <w:tc>
          <w:tcPr>
            <w:tcW w:type="dxa" w:w="118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481.513,11</w:t>
            </w:r>
          </w:p>
        </w:tc>
        <w:tc>
          <w:tcPr>
            <w:tcW w:type="dxa" w:w="11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53.501,46</w:t>
            </w:r>
          </w:p>
        </w:tc>
        <w:tc>
          <w:tcPr>
            <w:tcW w:type="dxa" w:w="10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3.009,46</w:t>
            </w:r>
          </w:p>
        </w:tc>
        <w:tc>
          <w:tcPr>
            <w:tcW w:type="dxa" w:w="10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56.510,91</w:t>
            </w:r>
          </w:p>
        </w:tc>
      </w:tr>
      <w:tr w:rsidTr="001E3364" w:rsidR="001E3364">
        <w:trPr>
          <w:trHeight w:val="225"/>
        </w:trPr>
        <w:tc>
          <w:tcPr>
            <w:tcW w:type="dxa" w:w="379"/>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20</w:t>
            </w:r>
          </w:p>
        </w:tc>
        <w:tc>
          <w:tcPr>
            <w:tcW w:type="dxa" w:w="118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428.011,65</w:t>
            </w:r>
          </w:p>
        </w:tc>
        <w:tc>
          <w:tcPr>
            <w:tcW w:type="dxa" w:w="112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53.501,46</w:t>
            </w:r>
          </w:p>
        </w:tc>
        <w:tc>
          <w:tcPr>
            <w:tcW w:type="dxa" w:w="102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2.675,07</w:t>
            </w:r>
          </w:p>
        </w:tc>
        <w:tc>
          <w:tcPr>
            <w:tcW w:type="dxa" w:w="106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56.176,53</w:t>
            </w:r>
          </w:p>
        </w:tc>
      </w:tr>
      <w:tr w:rsidTr="001E3364" w:rsidR="001E3364">
        <w:trPr>
          <w:trHeight w:val="225"/>
        </w:trPr>
        <w:tc>
          <w:tcPr>
            <w:tcW w:type="dxa" w:w="379"/>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21</w:t>
            </w:r>
          </w:p>
        </w:tc>
        <w:tc>
          <w:tcPr>
            <w:tcW w:type="dxa" w:w="118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374.510,20</w:t>
            </w:r>
          </w:p>
        </w:tc>
        <w:tc>
          <w:tcPr>
            <w:tcW w:type="dxa" w:w="11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53.501,46</w:t>
            </w:r>
          </w:p>
        </w:tc>
        <w:tc>
          <w:tcPr>
            <w:tcW w:type="dxa" w:w="10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2.340,69</w:t>
            </w:r>
          </w:p>
        </w:tc>
        <w:tc>
          <w:tcPr>
            <w:tcW w:type="dxa" w:w="10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55.842,15</w:t>
            </w:r>
          </w:p>
        </w:tc>
      </w:tr>
      <w:tr w:rsidTr="001E3364" w:rsidR="001E3364">
        <w:trPr>
          <w:trHeight w:val="225"/>
        </w:trPr>
        <w:tc>
          <w:tcPr>
            <w:tcW w:type="dxa" w:w="379"/>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22</w:t>
            </w:r>
          </w:p>
        </w:tc>
        <w:tc>
          <w:tcPr>
            <w:tcW w:type="dxa" w:w="118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321.008,74</w:t>
            </w:r>
          </w:p>
        </w:tc>
        <w:tc>
          <w:tcPr>
            <w:tcW w:type="dxa" w:w="11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53.501,46</w:t>
            </w:r>
          </w:p>
        </w:tc>
        <w:tc>
          <w:tcPr>
            <w:tcW w:type="dxa" w:w="10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2.006,30</w:t>
            </w:r>
          </w:p>
        </w:tc>
        <w:tc>
          <w:tcPr>
            <w:tcW w:type="dxa" w:w="10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55.507,76</w:t>
            </w:r>
          </w:p>
        </w:tc>
      </w:tr>
      <w:tr w:rsidTr="001E3364" w:rsidR="001E3364">
        <w:trPr>
          <w:trHeight w:val="225"/>
        </w:trPr>
        <w:tc>
          <w:tcPr>
            <w:tcW w:type="dxa" w:w="379"/>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23</w:t>
            </w:r>
          </w:p>
        </w:tc>
        <w:tc>
          <w:tcPr>
            <w:tcW w:type="dxa" w:w="118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267.507,28</w:t>
            </w:r>
          </w:p>
        </w:tc>
        <w:tc>
          <w:tcPr>
            <w:tcW w:type="dxa" w:w="11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53.501,46</w:t>
            </w:r>
          </w:p>
        </w:tc>
        <w:tc>
          <w:tcPr>
            <w:tcW w:type="dxa" w:w="10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1.671,92</w:t>
            </w:r>
          </w:p>
        </w:tc>
        <w:tc>
          <w:tcPr>
            <w:tcW w:type="dxa" w:w="10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55.173,38</w:t>
            </w:r>
          </w:p>
        </w:tc>
      </w:tr>
      <w:tr w:rsidTr="001E3364" w:rsidR="001E3364">
        <w:trPr>
          <w:trHeight w:val="225"/>
        </w:trPr>
        <w:tc>
          <w:tcPr>
            <w:tcW w:type="dxa" w:w="379"/>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24</w:t>
            </w:r>
          </w:p>
        </w:tc>
        <w:tc>
          <w:tcPr>
            <w:tcW w:type="dxa" w:w="118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214.005,83</w:t>
            </w:r>
          </w:p>
        </w:tc>
        <w:tc>
          <w:tcPr>
            <w:tcW w:type="dxa" w:w="112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53.501,46</w:t>
            </w:r>
          </w:p>
        </w:tc>
        <w:tc>
          <w:tcPr>
            <w:tcW w:type="dxa" w:w="102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1.337,54</w:t>
            </w:r>
          </w:p>
        </w:tc>
        <w:tc>
          <w:tcPr>
            <w:tcW w:type="dxa" w:w="106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54.838,99</w:t>
            </w:r>
          </w:p>
        </w:tc>
      </w:tr>
      <w:tr w:rsidTr="001E3364" w:rsidR="001E3364">
        <w:trPr>
          <w:trHeight w:val="225"/>
        </w:trPr>
        <w:tc>
          <w:tcPr>
            <w:tcW w:type="dxa" w:w="379"/>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25</w:t>
            </w:r>
          </w:p>
        </w:tc>
        <w:tc>
          <w:tcPr>
            <w:tcW w:type="dxa" w:w="118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160.504,37</w:t>
            </w:r>
          </w:p>
        </w:tc>
        <w:tc>
          <w:tcPr>
            <w:tcW w:type="dxa" w:w="11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53.501,46</w:t>
            </w:r>
          </w:p>
        </w:tc>
        <w:tc>
          <w:tcPr>
            <w:tcW w:type="dxa" w:w="10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1.003,15</w:t>
            </w:r>
          </w:p>
        </w:tc>
        <w:tc>
          <w:tcPr>
            <w:tcW w:type="dxa" w:w="10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54.504,61</w:t>
            </w:r>
          </w:p>
        </w:tc>
      </w:tr>
      <w:tr w:rsidTr="001E3364" w:rsidR="001E3364">
        <w:trPr>
          <w:trHeight w:val="225"/>
        </w:trPr>
        <w:tc>
          <w:tcPr>
            <w:tcW w:type="dxa" w:w="379"/>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26</w:t>
            </w:r>
          </w:p>
        </w:tc>
        <w:tc>
          <w:tcPr>
            <w:tcW w:type="dxa" w:w="118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107.002,91</w:t>
            </w:r>
          </w:p>
        </w:tc>
        <w:tc>
          <w:tcPr>
            <w:tcW w:type="dxa" w:w="11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53.501,46</w:t>
            </w:r>
          </w:p>
        </w:tc>
        <w:tc>
          <w:tcPr>
            <w:tcW w:type="dxa" w:w="10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668,77</w:t>
            </w:r>
          </w:p>
        </w:tc>
        <w:tc>
          <w:tcPr>
            <w:tcW w:type="dxa" w:w="10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54.170,22</w:t>
            </w:r>
          </w:p>
        </w:tc>
      </w:tr>
      <w:tr w:rsidTr="001E3364" w:rsidR="001E3364">
        <w:trPr>
          <w:trHeight w:val="225"/>
        </w:trPr>
        <w:tc>
          <w:tcPr>
            <w:tcW w:type="dxa" w:w="379"/>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27</w:t>
            </w:r>
          </w:p>
        </w:tc>
        <w:tc>
          <w:tcPr>
            <w:tcW w:type="dxa" w:w="118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53.501,46</w:t>
            </w:r>
          </w:p>
        </w:tc>
        <w:tc>
          <w:tcPr>
            <w:tcW w:type="dxa" w:w="11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53.501,46</w:t>
            </w:r>
          </w:p>
        </w:tc>
        <w:tc>
          <w:tcPr>
            <w:tcW w:type="dxa" w:w="10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334,38</w:t>
            </w:r>
          </w:p>
        </w:tc>
        <w:tc>
          <w:tcPr>
            <w:tcW w:type="dxa" w:w="10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53.835,84</w:t>
            </w:r>
          </w:p>
        </w:tc>
      </w:tr>
      <w:tr w:rsidTr="001E3364" w:rsidR="001E3364">
        <w:trPr>
          <w:trHeight w:val="225"/>
        </w:trPr>
        <w:tc>
          <w:tcPr>
            <w:tcW w:type="dxa" w:w="379"/>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28</w:t>
            </w:r>
          </w:p>
        </w:tc>
        <w:tc>
          <w:tcPr>
            <w:tcW w:type="dxa" w:w="118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0,00</w:t>
            </w:r>
          </w:p>
        </w:tc>
        <w:tc>
          <w:tcPr>
            <w:tcW w:type="dxa" w:w="112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53.501,46</w:t>
            </w:r>
          </w:p>
        </w:tc>
        <w:tc>
          <w:tcPr>
            <w:tcW w:type="dxa" w:w="102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0,00</w:t>
            </w:r>
          </w:p>
        </w:tc>
        <w:tc>
          <w:tcPr>
            <w:tcW w:type="dxa" w:w="106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53.501,46</w:t>
            </w:r>
          </w:p>
        </w:tc>
      </w:tr>
    </w:tbl>
    <w:p w:rsidRDefault="001E3364" w:rsidP="001E3364" w:rsidR="001E3364"/>
    <w:p w:rsidRDefault="001E3364" w:rsidP="001E3364" w:rsidR="001E3364">
      <w:r>
        <w:br w:type="page"/>
      </w:r>
    </w:p>
    <w:tbl>
      <w:tblPr>
        <w:tblW w:type="dxa" w:w="4759"/>
        <w:tblLook w:val="04A0" w:noVBand="1" w:noHBand="0" w:lastColumn="0" w:firstColumn="1" w:lastRow="0" w:firstRow="1"/>
      </w:tblPr>
      <w:tblGrid>
        <w:gridCol w:w="460"/>
        <w:gridCol w:w="1492"/>
        <w:gridCol w:w="1188"/>
        <w:gridCol w:w="1188"/>
        <w:gridCol w:w="1310"/>
      </w:tblGrid>
      <w:tr w:rsidTr="001E3364" w:rsidR="001E3364">
        <w:trPr>
          <w:trHeight w:val="450"/>
        </w:trPr>
        <w:tc>
          <w:tcPr>
            <w:tcW w:type="dxa" w:w="379"/>
            <w:vAlign w:val="bottom"/>
          </w:tcPr>
          <w:p w:rsidRDefault="001E3364" w:rsidR="001E3364">
            <w:pPr>
              <w:spacing w:lineRule="auto" w:line="240" w:after="0"/>
              <w:rPr>
                <w:rFonts w:cstheme="minorHAnsi" w:eastAsia="Times New Roman"/>
                <w:sz w:val="24"/>
                <w:szCs w:val="24"/>
                <w:lang w:eastAsia="hr-HR"/>
              </w:rPr>
            </w:pPr>
          </w:p>
        </w:tc>
        <w:tc>
          <w:tcPr>
            <w:tcW w:type="dxa" w:w="4380"/>
            <w:gridSpan w:val="4"/>
            <w:vAlign w:val="bottom"/>
            <w:hideMark/>
          </w:tcPr>
          <w:p w:rsidRDefault="001E3364" w:rsidR="001E3364">
            <w:pPr>
              <w:spacing w:lineRule="auto" w:line="240" w:after="0"/>
              <w:jc w:val="center"/>
              <w:rPr>
                <w:rFonts w:cstheme="minorHAnsi" w:eastAsia="Times New Roman"/>
                <w:b/>
                <w:bCs/>
                <w:color w:val="000000"/>
                <w:sz w:val="24"/>
                <w:szCs w:val="24"/>
                <w:lang w:eastAsia="hr-HR"/>
              </w:rPr>
            </w:pPr>
            <w:r>
              <w:rPr>
                <w:rFonts w:cstheme="minorHAnsi" w:eastAsia="Times New Roman"/>
                <w:b/>
                <w:bCs/>
                <w:color w:val="000000"/>
                <w:sz w:val="24"/>
                <w:szCs w:val="24"/>
                <w:lang w:eastAsia="hr-HR"/>
              </w:rPr>
              <w:t>BKS BANK D.D.</w:t>
            </w:r>
          </w:p>
        </w:tc>
      </w:tr>
      <w:tr w:rsidTr="001E3364" w:rsidR="001E3364">
        <w:trPr>
          <w:trHeight w:val="450"/>
        </w:trPr>
        <w:tc>
          <w:tcPr>
            <w:tcW w:type="dxa" w:w="379"/>
            <w:vAlign w:val="bottom"/>
            <w:hideMark/>
          </w:tcPr>
          <w:p w:rsidRDefault="001E3364" w:rsidR="001E3364">
            <w:pPr>
              <w:spacing w:after="0"/>
              <w:rPr>
                <w:rFonts w:cs="Times New Roman"/>
              </w:rPr>
            </w:pPr>
          </w:p>
        </w:tc>
        <w:tc>
          <w:tcPr>
            <w:tcW w:type="dxa" w:w="1180"/>
            <w:vAlign w:val="bottom"/>
            <w:hideMark/>
          </w:tcPr>
          <w:p w:rsidRDefault="001E3364" w:rsidR="001E3364">
            <w:pPr>
              <w:spacing w:lineRule="auto" w:line="240" w:after="0"/>
              <w:jc w:val="center"/>
              <w:rPr>
                <w:rFonts w:cstheme="minorHAnsi" w:eastAsia="Times New Roman"/>
                <w:b/>
                <w:bCs/>
                <w:color w:val="000000"/>
                <w:sz w:val="24"/>
                <w:szCs w:val="24"/>
                <w:lang w:eastAsia="hr-HR"/>
              </w:rPr>
            </w:pPr>
            <w:r>
              <w:rPr>
                <w:rFonts w:cstheme="minorHAnsi" w:eastAsia="Times New Roman"/>
                <w:b/>
                <w:bCs/>
                <w:color w:val="000000"/>
                <w:sz w:val="24"/>
                <w:szCs w:val="24"/>
                <w:lang w:eastAsia="hr-HR"/>
              </w:rPr>
              <w:t>Preostala glavnica HRK</w:t>
            </w:r>
          </w:p>
        </w:tc>
        <w:tc>
          <w:tcPr>
            <w:tcW w:type="dxa" w:w="1120"/>
            <w:vAlign w:val="bottom"/>
            <w:hideMark/>
          </w:tcPr>
          <w:p w:rsidRDefault="001E3364" w:rsidR="001E3364">
            <w:pPr>
              <w:spacing w:lineRule="auto" w:line="240" w:after="0"/>
              <w:jc w:val="center"/>
              <w:rPr>
                <w:rFonts w:cstheme="minorHAnsi" w:eastAsia="Times New Roman"/>
                <w:b/>
                <w:bCs/>
                <w:color w:val="000000"/>
                <w:sz w:val="24"/>
                <w:szCs w:val="24"/>
                <w:lang w:eastAsia="hr-HR"/>
              </w:rPr>
            </w:pPr>
            <w:r>
              <w:rPr>
                <w:rFonts w:cstheme="minorHAnsi" w:eastAsia="Times New Roman"/>
                <w:b/>
                <w:bCs/>
                <w:color w:val="000000"/>
                <w:sz w:val="24"/>
                <w:szCs w:val="24"/>
                <w:lang w:eastAsia="hr-HR"/>
              </w:rPr>
              <w:t>otplata glavnice HRK</w:t>
            </w:r>
          </w:p>
        </w:tc>
        <w:tc>
          <w:tcPr>
            <w:tcW w:type="dxa" w:w="1020"/>
            <w:vAlign w:val="bottom"/>
            <w:hideMark/>
          </w:tcPr>
          <w:p w:rsidRDefault="001E3364" w:rsidR="001E3364">
            <w:pPr>
              <w:spacing w:lineRule="auto" w:line="240" w:after="0"/>
              <w:jc w:val="center"/>
              <w:rPr>
                <w:rFonts w:cstheme="minorHAnsi" w:eastAsia="Times New Roman"/>
                <w:b/>
                <w:bCs/>
                <w:color w:val="000000"/>
                <w:sz w:val="24"/>
                <w:szCs w:val="24"/>
                <w:lang w:eastAsia="hr-HR"/>
              </w:rPr>
            </w:pPr>
            <w:r>
              <w:rPr>
                <w:rFonts w:cstheme="minorHAnsi" w:eastAsia="Times New Roman"/>
                <w:b/>
                <w:bCs/>
                <w:color w:val="000000"/>
                <w:sz w:val="24"/>
                <w:szCs w:val="24"/>
                <w:lang w:eastAsia="hr-HR"/>
              </w:rPr>
              <w:t>otplata kamate HRK</w:t>
            </w:r>
          </w:p>
        </w:tc>
        <w:tc>
          <w:tcPr>
            <w:tcW w:type="dxa" w:w="1060"/>
            <w:vAlign w:val="bottom"/>
            <w:hideMark/>
          </w:tcPr>
          <w:p w:rsidRDefault="001E3364" w:rsidR="001E3364">
            <w:pPr>
              <w:spacing w:lineRule="auto" w:line="240" w:after="0"/>
              <w:jc w:val="center"/>
              <w:rPr>
                <w:rFonts w:cstheme="minorHAnsi" w:eastAsia="Times New Roman"/>
                <w:b/>
                <w:bCs/>
                <w:color w:val="000000"/>
                <w:sz w:val="24"/>
                <w:szCs w:val="24"/>
                <w:lang w:eastAsia="hr-HR"/>
              </w:rPr>
            </w:pPr>
            <w:r>
              <w:rPr>
                <w:rFonts w:cstheme="minorHAnsi" w:eastAsia="Times New Roman"/>
                <w:b/>
                <w:bCs/>
                <w:color w:val="000000"/>
                <w:sz w:val="24"/>
                <w:szCs w:val="24"/>
                <w:lang w:eastAsia="hr-HR"/>
              </w:rPr>
              <w:t>ukupna rata HRK</w:t>
            </w:r>
          </w:p>
        </w:tc>
      </w:tr>
      <w:tr w:rsidTr="001E3364" w:rsidR="001E3364">
        <w:trPr>
          <w:trHeight w:val="225"/>
        </w:trPr>
        <w:tc>
          <w:tcPr>
            <w:tcW w:type="dxa" w:w="379"/>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0</w:t>
            </w:r>
          </w:p>
        </w:tc>
        <w:tc>
          <w:tcPr>
            <w:tcW w:type="dxa" w:w="118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2.701.248,10</w:t>
            </w:r>
          </w:p>
        </w:tc>
        <w:tc>
          <w:tcPr>
            <w:tcW w:type="dxa" w:w="11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0,00</w:t>
            </w:r>
          </w:p>
        </w:tc>
        <w:tc>
          <w:tcPr>
            <w:tcW w:type="dxa" w:w="10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16.882,80</w:t>
            </w:r>
          </w:p>
        </w:tc>
        <w:tc>
          <w:tcPr>
            <w:tcW w:type="dxa" w:w="10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16.882,80</w:t>
            </w:r>
          </w:p>
        </w:tc>
      </w:tr>
      <w:tr w:rsidTr="001E3364" w:rsidR="001E3364">
        <w:trPr>
          <w:trHeight w:val="225"/>
        </w:trPr>
        <w:tc>
          <w:tcPr>
            <w:tcW w:type="dxa" w:w="379"/>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0</w:t>
            </w:r>
          </w:p>
        </w:tc>
        <w:tc>
          <w:tcPr>
            <w:tcW w:type="dxa" w:w="118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2.701.248,10</w:t>
            </w:r>
          </w:p>
        </w:tc>
        <w:tc>
          <w:tcPr>
            <w:tcW w:type="dxa" w:w="11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0,00</w:t>
            </w:r>
          </w:p>
        </w:tc>
        <w:tc>
          <w:tcPr>
            <w:tcW w:type="dxa" w:w="10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16.882,80</w:t>
            </w:r>
          </w:p>
        </w:tc>
        <w:tc>
          <w:tcPr>
            <w:tcW w:type="dxa" w:w="10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16.882,80</w:t>
            </w:r>
          </w:p>
        </w:tc>
      </w:tr>
      <w:tr w:rsidTr="001E3364" w:rsidR="001E3364">
        <w:trPr>
          <w:trHeight w:val="225"/>
        </w:trPr>
        <w:tc>
          <w:tcPr>
            <w:tcW w:type="dxa" w:w="379"/>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0</w:t>
            </w:r>
          </w:p>
        </w:tc>
        <w:tc>
          <w:tcPr>
            <w:tcW w:type="dxa" w:w="118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2.701.248,10</w:t>
            </w:r>
          </w:p>
        </w:tc>
        <w:tc>
          <w:tcPr>
            <w:tcW w:type="dxa" w:w="11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0,00</w:t>
            </w:r>
          </w:p>
        </w:tc>
        <w:tc>
          <w:tcPr>
            <w:tcW w:type="dxa" w:w="10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16.882,80</w:t>
            </w:r>
          </w:p>
        </w:tc>
        <w:tc>
          <w:tcPr>
            <w:tcW w:type="dxa" w:w="10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16.882,80</w:t>
            </w:r>
          </w:p>
        </w:tc>
      </w:tr>
      <w:tr w:rsidTr="001E3364" w:rsidR="001E3364">
        <w:trPr>
          <w:trHeight w:val="225"/>
        </w:trPr>
        <w:tc>
          <w:tcPr>
            <w:tcW w:type="dxa" w:w="379"/>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0</w:t>
            </w:r>
          </w:p>
        </w:tc>
        <w:tc>
          <w:tcPr>
            <w:tcW w:type="dxa" w:w="118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2.701.248,10</w:t>
            </w:r>
          </w:p>
        </w:tc>
        <w:tc>
          <w:tcPr>
            <w:tcW w:type="dxa" w:w="112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0,00</w:t>
            </w:r>
          </w:p>
        </w:tc>
        <w:tc>
          <w:tcPr>
            <w:tcW w:type="dxa" w:w="102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16.882,80</w:t>
            </w:r>
          </w:p>
        </w:tc>
        <w:tc>
          <w:tcPr>
            <w:tcW w:type="dxa" w:w="106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16.882,80</w:t>
            </w:r>
          </w:p>
        </w:tc>
      </w:tr>
      <w:tr w:rsidTr="001E3364" w:rsidR="001E3364">
        <w:trPr>
          <w:trHeight w:val="225"/>
        </w:trPr>
        <w:tc>
          <w:tcPr>
            <w:tcW w:type="dxa" w:w="379"/>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0</w:t>
            </w:r>
          </w:p>
        </w:tc>
        <w:tc>
          <w:tcPr>
            <w:tcW w:type="dxa" w:w="118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2.701.248,10</w:t>
            </w:r>
          </w:p>
        </w:tc>
        <w:tc>
          <w:tcPr>
            <w:tcW w:type="dxa" w:w="11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0,00</w:t>
            </w:r>
          </w:p>
        </w:tc>
        <w:tc>
          <w:tcPr>
            <w:tcW w:type="dxa" w:w="10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16.882,80</w:t>
            </w:r>
          </w:p>
        </w:tc>
        <w:tc>
          <w:tcPr>
            <w:tcW w:type="dxa" w:w="10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16.882,80</w:t>
            </w:r>
          </w:p>
        </w:tc>
      </w:tr>
      <w:tr w:rsidTr="001E3364" w:rsidR="001E3364">
        <w:trPr>
          <w:trHeight w:val="225"/>
        </w:trPr>
        <w:tc>
          <w:tcPr>
            <w:tcW w:type="dxa" w:w="379"/>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0</w:t>
            </w:r>
          </w:p>
        </w:tc>
        <w:tc>
          <w:tcPr>
            <w:tcW w:type="dxa" w:w="118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2.701.248,10</w:t>
            </w:r>
          </w:p>
        </w:tc>
        <w:tc>
          <w:tcPr>
            <w:tcW w:type="dxa" w:w="11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0,00</w:t>
            </w:r>
          </w:p>
        </w:tc>
        <w:tc>
          <w:tcPr>
            <w:tcW w:type="dxa" w:w="10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16.882,80</w:t>
            </w:r>
          </w:p>
        </w:tc>
        <w:tc>
          <w:tcPr>
            <w:tcW w:type="dxa" w:w="10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16.882,80</w:t>
            </w:r>
          </w:p>
        </w:tc>
      </w:tr>
      <w:tr w:rsidTr="001E3364" w:rsidR="001E3364">
        <w:trPr>
          <w:trHeight w:val="225"/>
        </w:trPr>
        <w:tc>
          <w:tcPr>
            <w:tcW w:type="dxa" w:w="379"/>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0</w:t>
            </w:r>
          </w:p>
        </w:tc>
        <w:tc>
          <w:tcPr>
            <w:tcW w:type="dxa" w:w="118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2.701.248,10</w:t>
            </w:r>
          </w:p>
        </w:tc>
        <w:tc>
          <w:tcPr>
            <w:tcW w:type="dxa" w:w="11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0,00</w:t>
            </w:r>
          </w:p>
        </w:tc>
        <w:tc>
          <w:tcPr>
            <w:tcW w:type="dxa" w:w="10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16.882,80</w:t>
            </w:r>
          </w:p>
        </w:tc>
        <w:tc>
          <w:tcPr>
            <w:tcW w:type="dxa" w:w="10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16.882,80</w:t>
            </w:r>
          </w:p>
        </w:tc>
      </w:tr>
      <w:tr w:rsidTr="001E3364" w:rsidR="001E3364">
        <w:trPr>
          <w:trHeight w:val="225"/>
        </w:trPr>
        <w:tc>
          <w:tcPr>
            <w:tcW w:type="dxa" w:w="379"/>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0</w:t>
            </w:r>
          </w:p>
        </w:tc>
        <w:tc>
          <w:tcPr>
            <w:tcW w:type="dxa" w:w="118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2.701.248,10</w:t>
            </w:r>
          </w:p>
        </w:tc>
        <w:tc>
          <w:tcPr>
            <w:tcW w:type="dxa" w:w="112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0,00</w:t>
            </w:r>
          </w:p>
        </w:tc>
        <w:tc>
          <w:tcPr>
            <w:tcW w:type="dxa" w:w="102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16.882,80</w:t>
            </w:r>
          </w:p>
        </w:tc>
        <w:tc>
          <w:tcPr>
            <w:tcW w:type="dxa" w:w="106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16.882,80</w:t>
            </w:r>
          </w:p>
        </w:tc>
      </w:tr>
      <w:tr w:rsidTr="001E3364" w:rsidR="001E3364">
        <w:trPr>
          <w:trHeight w:val="225"/>
        </w:trPr>
        <w:tc>
          <w:tcPr>
            <w:tcW w:type="dxa" w:w="379"/>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w:t>
            </w:r>
          </w:p>
        </w:tc>
        <w:tc>
          <w:tcPr>
            <w:tcW w:type="dxa" w:w="118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2.604.774,95</w:t>
            </w:r>
          </w:p>
        </w:tc>
        <w:tc>
          <w:tcPr>
            <w:tcW w:type="dxa" w:w="11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96.473,15</w:t>
            </w:r>
          </w:p>
        </w:tc>
        <w:tc>
          <w:tcPr>
            <w:tcW w:type="dxa" w:w="10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16.279,84</w:t>
            </w:r>
          </w:p>
        </w:tc>
        <w:tc>
          <w:tcPr>
            <w:tcW w:type="dxa" w:w="10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112.752,99</w:t>
            </w:r>
          </w:p>
        </w:tc>
      </w:tr>
      <w:tr w:rsidTr="001E3364" w:rsidR="001E3364">
        <w:trPr>
          <w:trHeight w:val="225"/>
        </w:trPr>
        <w:tc>
          <w:tcPr>
            <w:tcW w:type="dxa" w:w="379"/>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w:t>
            </w:r>
          </w:p>
        </w:tc>
        <w:tc>
          <w:tcPr>
            <w:tcW w:type="dxa" w:w="118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2.508.301,81</w:t>
            </w:r>
          </w:p>
        </w:tc>
        <w:tc>
          <w:tcPr>
            <w:tcW w:type="dxa" w:w="11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96.473,15</w:t>
            </w:r>
          </w:p>
        </w:tc>
        <w:tc>
          <w:tcPr>
            <w:tcW w:type="dxa" w:w="10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15.676,89</w:t>
            </w:r>
          </w:p>
        </w:tc>
        <w:tc>
          <w:tcPr>
            <w:tcW w:type="dxa" w:w="10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112.150,03</w:t>
            </w:r>
          </w:p>
        </w:tc>
      </w:tr>
      <w:tr w:rsidTr="001E3364" w:rsidR="001E3364">
        <w:trPr>
          <w:trHeight w:val="225"/>
        </w:trPr>
        <w:tc>
          <w:tcPr>
            <w:tcW w:type="dxa" w:w="379"/>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3</w:t>
            </w:r>
          </w:p>
        </w:tc>
        <w:tc>
          <w:tcPr>
            <w:tcW w:type="dxa" w:w="118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2.411.828,66</w:t>
            </w:r>
          </w:p>
        </w:tc>
        <w:tc>
          <w:tcPr>
            <w:tcW w:type="dxa" w:w="11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96.473,15</w:t>
            </w:r>
          </w:p>
        </w:tc>
        <w:tc>
          <w:tcPr>
            <w:tcW w:type="dxa" w:w="10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15.073,93</w:t>
            </w:r>
          </w:p>
        </w:tc>
        <w:tc>
          <w:tcPr>
            <w:tcW w:type="dxa" w:w="10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111.547,08</w:t>
            </w:r>
          </w:p>
        </w:tc>
      </w:tr>
      <w:tr w:rsidTr="001E3364" w:rsidR="001E3364">
        <w:trPr>
          <w:trHeight w:val="225"/>
        </w:trPr>
        <w:tc>
          <w:tcPr>
            <w:tcW w:type="dxa" w:w="379"/>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4</w:t>
            </w:r>
          </w:p>
        </w:tc>
        <w:tc>
          <w:tcPr>
            <w:tcW w:type="dxa" w:w="118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2.315.355,51</w:t>
            </w:r>
          </w:p>
        </w:tc>
        <w:tc>
          <w:tcPr>
            <w:tcW w:type="dxa" w:w="112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96.473,15</w:t>
            </w:r>
          </w:p>
        </w:tc>
        <w:tc>
          <w:tcPr>
            <w:tcW w:type="dxa" w:w="102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14.470,97</w:t>
            </w:r>
          </w:p>
        </w:tc>
        <w:tc>
          <w:tcPr>
            <w:tcW w:type="dxa" w:w="106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110.944,12</w:t>
            </w:r>
          </w:p>
        </w:tc>
      </w:tr>
      <w:tr w:rsidTr="001E3364" w:rsidR="001E3364">
        <w:trPr>
          <w:trHeight w:val="225"/>
        </w:trPr>
        <w:tc>
          <w:tcPr>
            <w:tcW w:type="dxa" w:w="379"/>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5</w:t>
            </w:r>
          </w:p>
        </w:tc>
        <w:tc>
          <w:tcPr>
            <w:tcW w:type="dxa" w:w="118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2.218.882,37</w:t>
            </w:r>
          </w:p>
        </w:tc>
        <w:tc>
          <w:tcPr>
            <w:tcW w:type="dxa" w:w="11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96.473,15</w:t>
            </w:r>
          </w:p>
        </w:tc>
        <w:tc>
          <w:tcPr>
            <w:tcW w:type="dxa" w:w="10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13.868,01</w:t>
            </w:r>
          </w:p>
        </w:tc>
        <w:tc>
          <w:tcPr>
            <w:tcW w:type="dxa" w:w="10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110.341,16</w:t>
            </w:r>
          </w:p>
        </w:tc>
      </w:tr>
      <w:tr w:rsidTr="001E3364" w:rsidR="001E3364">
        <w:trPr>
          <w:trHeight w:val="225"/>
        </w:trPr>
        <w:tc>
          <w:tcPr>
            <w:tcW w:type="dxa" w:w="379"/>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6</w:t>
            </w:r>
          </w:p>
        </w:tc>
        <w:tc>
          <w:tcPr>
            <w:tcW w:type="dxa" w:w="118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2.122.409,22</w:t>
            </w:r>
          </w:p>
        </w:tc>
        <w:tc>
          <w:tcPr>
            <w:tcW w:type="dxa" w:w="11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96.473,15</w:t>
            </w:r>
          </w:p>
        </w:tc>
        <w:tc>
          <w:tcPr>
            <w:tcW w:type="dxa" w:w="10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13.265,06</w:t>
            </w:r>
          </w:p>
        </w:tc>
        <w:tc>
          <w:tcPr>
            <w:tcW w:type="dxa" w:w="10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109.738,20</w:t>
            </w:r>
          </w:p>
        </w:tc>
      </w:tr>
      <w:tr w:rsidTr="001E3364" w:rsidR="001E3364">
        <w:trPr>
          <w:trHeight w:val="225"/>
        </w:trPr>
        <w:tc>
          <w:tcPr>
            <w:tcW w:type="dxa" w:w="379"/>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7</w:t>
            </w:r>
          </w:p>
        </w:tc>
        <w:tc>
          <w:tcPr>
            <w:tcW w:type="dxa" w:w="118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2.025.936,08</w:t>
            </w:r>
          </w:p>
        </w:tc>
        <w:tc>
          <w:tcPr>
            <w:tcW w:type="dxa" w:w="11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96.473,15</w:t>
            </w:r>
          </w:p>
        </w:tc>
        <w:tc>
          <w:tcPr>
            <w:tcW w:type="dxa" w:w="10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12.662,10</w:t>
            </w:r>
          </w:p>
        </w:tc>
        <w:tc>
          <w:tcPr>
            <w:tcW w:type="dxa" w:w="10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109.135,25</w:t>
            </w:r>
          </w:p>
        </w:tc>
      </w:tr>
      <w:tr w:rsidTr="001E3364" w:rsidR="001E3364">
        <w:trPr>
          <w:trHeight w:val="225"/>
        </w:trPr>
        <w:tc>
          <w:tcPr>
            <w:tcW w:type="dxa" w:w="379"/>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8</w:t>
            </w:r>
          </w:p>
        </w:tc>
        <w:tc>
          <w:tcPr>
            <w:tcW w:type="dxa" w:w="118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1.929.462,93</w:t>
            </w:r>
          </w:p>
        </w:tc>
        <w:tc>
          <w:tcPr>
            <w:tcW w:type="dxa" w:w="112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96.473,15</w:t>
            </w:r>
          </w:p>
        </w:tc>
        <w:tc>
          <w:tcPr>
            <w:tcW w:type="dxa" w:w="102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12.059,14</w:t>
            </w:r>
          </w:p>
        </w:tc>
        <w:tc>
          <w:tcPr>
            <w:tcW w:type="dxa" w:w="106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108.532,29</w:t>
            </w:r>
          </w:p>
        </w:tc>
      </w:tr>
      <w:tr w:rsidTr="001E3364" w:rsidR="001E3364">
        <w:trPr>
          <w:trHeight w:val="225"/>
        </w:trPr>
        <w:tc>
          <w:tcPr>
            <w:tcW w:type="dxa" w:w="379"/>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9</w:t>
            </w:r>
          </w:p>
        </w:tc>
        <w:tc>
          <w:tcPr>
            <w:tcW w:type="dxa" w:w="118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1.832.989,78</w:t>
            </w:r>
          </w:p>
        </w:tc>
        <w:tc>
          <w:tcPr>
            <w:tcW w:type="dxa" w:w="11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96.473,15</w:t>
            </w:r>
          </w:p>
        </w:tc>
        <w:tc>
          <w:tcPr>
            <w:tcW w:type="dxa" w:w="10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11.456,19</w:t>
            </w:r>
          </w:p>
        </w:tc>
        <w:tc>
          <w:tcPr>
            <w:tcW w:type="dxa" w:w="10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107.929,33</w:t>
            </w:r>
          </w:p>
        </w:tc>
      </w:tr>
      <w:tr w:rsidTr="001E3364" w:rsidR="001E3364">
        <w:trPr>
          <w:trHeight w:val="225"/>
        </w:trPr>
        <w:tc>
          <w:tcPr>
            <w:tcW w:type="dxa" w:w="379"/>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10</w:t>
            </w:r>
          </w:p>
        </w:tc>
        <w:tc>
          <w:tcPr>
            <w:tcW w:type="dxa" w:w="118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1.736.516,64</w:t>
            </w:r>
          </w:p>
        </w:tc>
        <w:tc>
          <w:tcPr>
            <w:tcW w:type="dxa" w:w="11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96.473,15</w:t>
            </w:r>
          </w:p>
        </w:tc>
        <w:tc>
          <w:tcPr>
            <w:tcW w:type="dxa" w:w="10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10.853,23</w:t>
            </w:r>
          </w:p>
        </w:tc>
        <w:tc>
          <w:tcPr>
            <w:tcW w:type="dxa" w:w="10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107.326,38</w:t>
            </w:r>
          </w:p>
        </w:tc>
      </w:tr>
      <w:tr w:rsidTr="001E3364" w:rsidR="001E3364">
        <w:trPr>
          <w:trHeight w:val="225"/>
        </w:trPr>
        <w:tc>
          <w:tcPr>
            <w:tcW w:type="dxa" w:w="379"/>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11</w:t>
            </w:r>
          </w:p>
        </w:tc>
        <w:tc>
          <w:tcPr>
            <w:tcW w:type="dxa" w:w="118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1.640.043,49</w:t>
            </w:r>
          </w:p>
        </w:tc>
        <w:tc>
          <w:tcPr>
            <w:tcW w:type="dxa" w:w="11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96.473,15</w:t>
            </w:r>
          </w:p>
        </w:tc>
        <w:tc>
          <w:tcPr>
            <w:tcW w:type="dxa" w:w="10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10.250,27</w:t>
            </w:r>
          </w:p>
        </w:tc>
        <w:tc>
          <w:tcPr>
            <w:tcW w:type="dxa" w:w="10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106.723,42</w:t>
            </w:r>
          </w:p>
        </w:tc>
      </w:tr>
      <w:tr w:rsidTr="001E3364" w:rsidR="001E3364">
        <w:trPr>
          <w:trHeight w:val="225"/>
        </w:trPr>
        <w:tc>
          <w:tcPr>
            <w:tcW w:type="dxa" w:w="379"/>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12</w:t>
            </w:r>
          </w:p>
        </w:tc>
        <w:tc>
          <w:tcPr>
            <w:tcW w:type="dxa" w:w="118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1.543.570,34</w:t>
            </w:r>
          </w:p>
        </w:tc>
        <w:tc>
          <w:tcPr>
            <w:tcW w:type="dxa" w:w="112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96.473,15</w:t>
            </w:r>
          </w:p>
        </w:tc>
        <w:tc>
          <w:tcPr>
            <w:tcW w:type="dxa" w:w="102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9.647,31</w:t>
            </w:r>
          </w:p>
        </w:tc>
        <w:tc>
          <w:tcPr>
            <w:tcW w:type="dxa" w:w="106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106.120,46</w:t>
            </w:r>
          </w:p>
        </w:tc>
      </w:tr>
      <w:tr w:rsidTr="001E3364" w:rsidR="001E3364">
        <w:trPr>
          <w:trHeight w:val="225"/>
        </w:trPr>
        <w:tc>
          <w:tcPr>
            <w:tcW w:type="dxa" w:w="379"/>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13</w:t>
            </w:r>
          </w:p>
        </w:tc>
        <w:tc>
          <w:tcPr>
            <w:tcW w:type="dxa" w:w="118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1.447.097,20</w:t>
            </w:r>
          </w:p>
        </w:tc>
        <w:tc>
          <w:tcPr>
            <w:tcW w:type="dxa" w:w="11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96.473,15</w:t>
            </w:r>
          </w:p>
        </w:tc>
        <w:tc>
          <w:tcPr>
            <w:tcW w:type="dxa" w:w="10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9.044,36</w:t>
            </w:r>
          </w:p>
        </w:tc>
        <w:tc>
          <w:tcPr>
            <w:tcW w:type="dxa" w:w="10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105.517,50</w:t>
            </w:r>
          </w:p>
        </w:tc>
      </w:tr>
      <w:tr w:rsidTr="001E3364" w:rsidR="001E3364">
        <w:trPr>
          <w:trHeight w:val="225"/>
        </w:trPr>
        <w:tc>
          <w:tcPr>
            <w:tcW w:type="dxa" w:w="379"/>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14</w:t>
            </w:r>
          </w:p>
        </w:tc>
        <w:tc>
          <w:tcPr>
            <w:tcW w:type="dxa" w:w="118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1.350.624,05</w:t>
            </w:r>
          </w:p>
        </w:tc>
        <w:tc>
          <w:tcPr>
            <w:tcW w:type="dxa" w:w="11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96.473,15</w:t>
            </w:r>
          </w:p>
        </w:tc>
        <w:tc>
          <w:tcPr>
            <w:tcW w:type="dxa" w:w="10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8.441,40</w:t>
            </w:r>
          </w:p>
        </w:tc>
        <w:tc>
          <w:tcPr>
            <w:tcW w:type="dxa" w:w="10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104.914,55</w:t>
            </w:r>
          </w:p>
        </w:tc>
      </w:tr>
      <w:tr w:rsidTr="001E3364" w:rsidR="001E3364">
        <w:trPr>
          <w:trHeight w:val="225"/>
        </w:trPr>
        <w:tc>
          <w:tcPr>
            <w:tcW w:type="dxa" w:w="379"/>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15</w:t>
            </w:r>
          </w:p>
        </w:tc>
        <w:tc>
          <w:tcPr>
            <w:tcW w:type="dxa" w:w="118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1.254.150,90</w:t>
            </w:r>
          </w:p>
        </w:tc>
        <w:tc>
          <w:tcPr>
            <w:tcW w:type="dxa" w:w="11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96.473,15</w:t>
            </w:r>
          </w:p>
        </w:tc>
        <w:tc>
          <w:tcPr>
            <w:tcW w:type="dxa" w:w="10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7.838,44</w:t>
            </w:r>
          </w:p>
        </w:tc>
        <w:tc>
          <w:tcPr>
            <w:tcW w:type="dxa" w:w="10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104.311,59</w:t>
            </w:r>
          </w:p>
        </w:tc>
      </w:tr>
      <w:tr w:rsidTr="001E3364" w:rsidR="001E3364">
        <w:trPr>
          <w:trHeight w:val="225"/>
        </w:trPr>
        <w:tc>
          <w:tcPr>
            <w:tcW w:type="dxa" w:w="379"/>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16</w:t>
            </w:r>
          </w:p>
        </w:tc>
        <w:tc>
          <w:tcPr>
            <w:tcW w:type="dxa" w:w="118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1.157.677,76</w:t>
            </w:r>
          </w:p>
        </w:tc>
        <w:tc>
          <w:tcPr>
            <w:tcW w:type="dxa" w:w="112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96.473,15</w:t>
            </w:r>
          </w:p>
        </w:tc>
        <w:tc>
          <w:tcPr>
            <w:tcW w:type="dxa" w:w="102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7.235,49</w:t>
            </w:r>
          </w:p>
        </w:tc>
        <w:tc>
          <w:tcPr>
            <w:tcW w:type="dxa" w:w="106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103.708,63</w:t>
            </w:r>
          </w:p>
        </w:tc>
      </w:tr>
      <w:tr w:rsidTr="001E3364" w:rsidR="001E3364">
        <w:trPr>
          <w:trHeight w:val="225"/>
        </w:trPr>
        <w:tc>
          <w:tcPr>
            <w:tcW w:type="dxa" w:w="379"/>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17</w:t>
            </w:r>
          </w:p>
        </w:tc>
        <w:tc>
          <w:tcPr>
            <w:tcW w:type="dxa" w:w="118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1.061.204,61</w:t>
            </w:r>
          </w:p>
        </w:tc>
        <w:tc>
          <w:tcPr>
            <w:tcW w:type="dxa" w:w="11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96.473,15</w:t>
            </w:r>
          </w:p>
        </w:tc>
        <w:tc>
          <w:tcPr>
            <w:tcW w:type="dxa" w:w="10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6.632,53</w:t>
            </w:r>
          </w:p>
        </w:tc>
        <w:tc>
          <w:tcPr>
            <w:tcW w:type="dxa" w:w="10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103.105,68</w:t>
            </w:r>
          </w:p>
        </w:tc>
      </w:tr>
      <w:tr w:rsidTr="001E3364" w:rsidR="001E3364">
        <w:trPr>
          <w:trHeight w:val="225"/>
        </w:trPr>
        <w:tc>
          <w:tcPr>
            <w:tcW w:type="dxa" w:w="379"/>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18</w:t>
            </w:r>
          </w:p>
        </w:tc>
        <w:tc>
          <w:tcPr>
            <w:tcW w:type="dxa" w:w="118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964.731,46</w:t>
            </w:r>
          </w:p>
        </w:tc>
        <w:tc>
          <w:tcPr>
            <w:tcW w:type="dxa" w:w="11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96.473,15</w:t>
            </w:r>
          </w:p>
        </w:tc>
        <w:tc>
          <w:tcPr>
            <w:tcW w:type="dxa" w:w="10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6.029,57</w:t>
            </w:r>
          </w:p>
        </w:tc>
        <w:tc>
          <w:tcPr>
            <w:tcW w:type="dxa" w:w="10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102.502,72</w:t>
            </w:r>
          </w:p>
        </w:tc>
      </w:tr>
      <w:tr w:rsidTr="001E3364" w:rsidR="001E3364">
        <w:trPr>
          <w:trHeight w:val="225"/>
        </w:trPr>
        <w:tc>
          <w:tcPr>
            <w:tcW w:type="dxa" w:w="379"/>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19</w:t>
            </w:r>
          </w:p>
        </w:tc>
        <w:tc>
          <w:tcPr>
            <w:tcW w:type="dxa" w:w="118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868.258,32</w:t>
            </w:r>
          </w:p>
        </w:tc>
        <w:tc>
          <w:tcPr>
            <w:tcW w:type="dxa" w:w="11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96.473,15</w:t>
            </w:r>
          </w:p>
        </w:tc>
        <w:tc>
          <w:tcPr>
            <w:tcW w:type="dxa" w:w="10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5.426,61</w:t>
            </w:r>
          </w:p>
        </w:tc>
        <w:tc>
          <w:tcPr>
            <w:tcW w:type="dxa" w:w="10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101.899,76</w:t>
            </w:r>
          </w:p>
        </w:tc>
      </w:tr>
      <w:tr w:rsidTr="001E3364" w:rsidR="001E3364">
        <w:trPr>
          <w:trHeight w:val="225"/>
        </w:trPr>
        <w:tc>
          <w:tcPr>
            <w:tcW w:type="dxa" w:w="379"/>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20</w:t>
            </w:r>
          </w:p>
        </w:tc>
        <w:tc>
          <w:tcPr>
            <w:tcW w:type="dxa" w:w="118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771.785,17</w:t>
            </w:r>
          </w:p>
        </w:tc>
        <w:tc>
          <w:tcPr>
            <w:tcW w:type="dxa" w:w="112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96.473,15</w:t>
            </w:r>
          </w:p>
        </w:tc>
        <w:tc>
          <w:tcPr>
            <w:tcW w:type="dxa" w:w="102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4.823,66</w:t>
            </w:r>
          </w:p>
        </w:tc>
        <w:tc>
          <w:tcPr>
            <w:tcW w:type="dxa" w:w="106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101.296,80</w:t>
            </w:r>
          </w:p>
        </w:tc>
      </w:tr>
      <w:tr w:rsidTr="001E3364" w:rsidR="001E3364">
        <w:trPr>
          <w:trHeight w:val="225"/>
        </w:trPr>
        <w:tc>
          <w:tcPr>
            <w:tcW w:type="dxa" w:w="379"/>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21</w:t>
            </w:r>
          </w:p>
        </w:tc>
        <w:tc>
          <w:tcPr>
            <w:tcW w:type="dxa" w:w="118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675.312,02</w:t>
            </w:r>
          </w:p>
        </w:tc>
        <w:tc>
          <w:tcPr>
            <w:tcW w:type="dxa" w:w="11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96.473,15</w:t>
            </w:r>
          </w:p>
        </w:tc>
        <w:tc>
          <w:tcPr>
            <w:tcW w:type="dxa" w:w="10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4.220,70</w:t>
            </w:r>
          </w:p>
        </w:tc>
        <w:tc>
          <w:tcPr>
            <w:tcW w:type="dxa" w:w="10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100.693,85</w:t>
            </w:r>
          </w:p>
        </w:tc>
      </w:tr>
      <w:tr w:rsidTr="001E3364" w:rsidR="001E3364">
        <w:trPr>
          <w:trHeight w:val="225"/>
        </w:trPr>
        <w:tc>
          <w:tcPr>
            <w:tcW w:type="dxa" w:w="379"/>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22</w:t>
            </w:r>
          </w:p>
        </w:tc>
        <w:tc>
          <w:tcPr>
            <w:tcW w:type="dxa" w:w="118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578.838,88</w:t>
            </w:r>
          </w:p>
        </w:tc>
        <w:tc>
          <w:tcPr>
            <w:tcW w:type="dxa" w:w="11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96.473,15</w:t>
            </w:r>
          </w:p>
        </w:tc>
        <w:tc>
          <w:tcPr>
            <w:tcW w:type="dxa" w:w="10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3.617,74</w:t>
            </w:r>
          </w:p>
        </w:tc>
        <w:tc>
          <w:tcPr>
            <w:tcW w:type="dxa" w:w="10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100.090,89</w:t>
            </w:r>
          </w:p>
        </w:tc>
      </w:tr>
      <w:tr w:rsidTr="001E3364" w:rsidR="001E3364">
        <w:trPr>
          <w:trHeight w:val="225"/>
        </w:trPr>
        <w:tc>
          <w:tcPr>
            <w:tcW w:type="dxa" w:w="379"/>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23</w:t>
            </w:r>
          </w:p>
        </w:tc>
        <w:tc>
          <w:tcPr>
            <w:tcW w:type="dxa" w:w="118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482.365,73</w:t>
            </w:r>
          </w:p>
        </w:tc>
        <w:tc>
          <w:tcPr>
            <w:tcW w:type="dxa" w:w="11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96.473,15</w:t>
            </w:r>
          </w:p>
        </w:tc>
        <w:tc>
          <w:tcPr>
            <w:tcW w:type="dxa" w:w="10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3.014,79</w:t>
            </w:r>
          </w:p>
        </w:tc>
        <w:tc>
          <w:tcPr>
            <w:tcW w:type="dxa" w:w="10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99.487,93</w:t>
            </w:r>
          </w:p>
        </w:tc>
      </w:tr>
      <w:tr w:rsidTr="001E3364" w:rsidR="001E3364">
        <w:trPr>
          <w:trHeight w:val="225"/>
        </w:trPr>
        <w:tc>
          <w:tcPr>
            <w:tcW w:type="dxa" w:w="379"/>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24</w:t>
            </w:r>
          </w:p>
        </w:tc>
        <w:tc>
          <w:tcPr>
            <w:tcW w:type="dxa" w:w="118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385.892,59</w:t>
            </w:r>
          </w:p>
        </w:tc>
        <w:tc>
          <w:tcPr>
            <w:tcW w:type="dxa" w:w="112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96.473,15</w:t>
            </w:r>
          </w:p>
        </w:tc>
        <w:tc>
          <w:tcPr>
            <w:tcW w:type="dxa" w:w="102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2.411,83</w:t>
            </w:r>
          </w:p>
        </w:tc>
        <w:tc>
          <w:tcPr>
            <w:tcW w:type="dxa" w:w="106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98.884,98</w:t>
            </w:r>
          </w:p>
        </w:tc>
      </w:tr>
      <w:tr w:rsidTr="001E3364" w:rsidR="001E3364">
        <w:trPr>
          <w:trHeight w:val="225"/>
        </w:trPr>
        <w:tc>
          <w:tcPr>
            <w:tcW w:type="dxa" w:w="379"/>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25</w:t>
            </w:r>
          </w:p>
        </w:tc>
        <w:tc>
          <w:tcPr>
            <w:tcW w:type="dxa" w:w="118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289.419,44</w:t>
            </w:r>
          </w:p>
        </w:tc>
        <w:tc>
          <w:tcPr>
            <w:tcW w:type="dxa" w:w="11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96.473,15</w:t>
            </w:r>
          </w:p>
        </w:tc>
        <w:tc>
          <w:tcPr>
            <w:tcW w:type="dxa" w:w="10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1.808,87</w:t>
            </w:r>
          </w:p>
        </w:tc>
        <w:tc>
          <w:tcPr>
            <w:tcW w:type="dxa" w:w="10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98.282,02</w:t>
            </w:r>
          </w:p>
        </w:tc>
      </w:tr>
      <w:tr w:rsidTr="001E3364" w:rsidR="001E3364">
        <w:trPr>
          <w:trHeight w:val="225"/>
        </w:trPr>
        <w:tc>
          <w:tcPr>
            <w:tcW w:type="dxa" w:w="379"/>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26</w:t>
            </w:r>
          </w:p>
        </w:tc>
        <w:tc>
          <w:tcPr>
            <w:tcW w:type="dxa" w:w="118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192.946,29</w:t>
            </w:r>
          </w:p>
        </w:tc>
        <w:tc>
          <w:tcPr>
            <w:tcW w:type="dxa" w:w="11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96.473,15</w:t>
            </w:r>
          </w:p>
        </w:tc>
        <w:tc>
          <w:tcPr>
            <w:tcW w:type="dxa" w:w="10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1.205,91</w:t>
            </w:r>
          </w:p>
        </w:tc>
        <w:tc>
          <w:tcPr>
            <w:tcW w:type="dxa" w:w="10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97.679,06</w:t>
            </w:r>
          </w:p>
        </w:tc>
      </w:tr>
      <w:tr w:rsidTr="001E3364" w:rsidR="001E3364">
        <w:trPr>
          <w:trHeight w:val="225"/>
        </w:trPr>
        <w:tc>
          <w:tcPr>
            <w:tcW w:type="dxa" w:w="379"/>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27</w:t>
            </w:r>
          </w:p>
        </w:tc>
        <w:tc>
          <w:tcPr>
            <w:tcW w:type="dxa" w:w="118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96.473,15</w:t>
            </w:r>
          </w:p>
        </w:tc>
        <w:tc>
          <w:tcPr>
            <w:tcW w:type="dxa" w:w="11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96.473,15</w:t>
            </w:r>
          </w:p>
        </w:tc>
        <w:tc>
          <w:tcPr>
            <w:tcW w:type="dxa" w:w="102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602,96</w:t>
            </w:r>
          </w:p>
        </w:tc>
        <w:tc>
          <w:tcPr>
            <w:tcW w:type="dxa" w:w="1060"/>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97.076,10</w:t>
            </w:r>
          </w:p>
        </w:tc>
      </w:tr>
      <w:tr w:rsidTr="001E3364" w:rsidR="001E3364">
        <w:trPr>
          <w:trHeight w:val="225"/>
        </w:trPr>
        <w:tc>
          <w:tcPr>
            <w:tcW w:type="dxa" w:w="379"/>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28</w:t>
            </w:r>
          </w:p>
        </w:tc>
        <w:tc>
          <w:tcPr>
            <w:tcW w:type="dxa" w:w="118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0,00</w:t>
            </w:r>
          </w:p>
        </w:tc>
        <w:tc>
          <w:tcPr>
            <w:tcW w:type="dxa" w:w="112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96.473,15</w:t>
            </w:r>
          </w:p>
        </w:tc>
        <w:tc>
          <w:tcPr>
            <w:tcW w:type="dxa" w:w="102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0,00</w:t>
            </w:r>
          </w:p>
        </w:tc>
        <w:tc>
          <w:tcPr>
            <w:tcW w:type="dxa" w:w="1060"/>
            <w:shd w:fill="F2DCDB" w:color="auto" w:val="clear"/>
            <w:noWrap/>
            <w:vAlign w:val="bottom"/>
            <w:hideMark/>
          </w:tcPr>
          <w:p w:rsidRDefault="001E3364" w:rsidR="001E3364">
            <w:pPr>
              <w:spacing w:lineRule="auto" w:line="240" w:after="0"/>
              <w:jc w:val="right"/>
              <w:rPr>
                <w:rFonts w:cstheme="minorHAnsi" w:eastAsia="Times New Roman"/>
                <w:color w:val="000000"/>
                <w:sz w:val="24"/>
                <w:szCs w:val="24"/>
                <w:lang w:eastAsia="hr-HR"/>
              </w:rPr>
            </w:pPr>
            <w:r>
              <w:rPr>
                <w:rFonts w:cstheme="minorHAnsi" w:eastAsia="Times New Roman"/>
                <w:color w:val="000000"/>
                <w:sz w:val="24"/>
                <w:szCs w:val="24"/>
                <w:lang w:eastAsia="hr-HR"/>
              </w:rPr>
              <w:t>96.473,15</w:t>
            </w:r>
          </w:p>
        </w:tc>
      </w:tr>
    </w:tbl>
    <w:p w:rsidRDefault="001E3364" w:rsidP="001E3364" w:rsidR="001E3364"/>
    <w:p w:rsidRDefault="00676C72" w:rsidR="00676C72"/>
    <w:sectPr w:rsidR="00676C7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C4789D"/>
    <w:multiLevelType w:val="hybridMultilevel"/>
    <w:tmpl w:val="FF445E6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0766161B"/>
    <w:multiLevelType w:val="hybridMultilevel"/>
    <w:tmpl w:val="916ED500"/>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08630181"/>
    <w:multiLevelType w:val="hybridMultilevel"/>
    <w:tmpl w:val="BF0828CA"/>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0D4E1614"/>
    <w:multiLevelType w:val="hybridMultilevel"/>
    <w:tmpl w:val="DE9A3494"/>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
    <w:nsid w:val="147C0211"/>
    <w:multiLevelType w:val="hybridMultilevel"/>
    <w:tmpl w:val="D10EC270"/>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5">
    <w:nsid w:val="153F395D"/>
    <w:multiLevelType w:val="hybridMultilevel"/>
    <w:tmpl w:val="69F68256"/>
    <w:lvl w:tplc="8CCAA6DE" w:ilvl="0">
      <w:start w:val="1"/>
      <w:numFmt w:val="decimal"/>
      <w:pStyle w:val="Naslov1"/>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41050EB9"/>
    <w:multiLevelType w:val="hybridMultilevel"/>
    <w:tmpl w:val="FF445E6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49987EF9"/>
    <w:multiLevelType w:val="hybridMultilevel"/>
    <w:tmpl w:val="5D701F90"/>
    <w:lvl w:tplc="041A0001" w:ilvl="0">
      <w:start w:val="1"/>
      <w:numFmt w:val="bullet"/>
      <w:lvlText w:val=""/>
      <w:lvlJc w:val="left"/>
      <w:pPr>
        <w:ind w:hanging="360" w:left="1428"/>
      </w:pPr>
      <w:rPr>
        <w:rFonts w:hAnsi="Symbol" w:ascii="Symbol" w:hint="default"/>
      </w:rPr>
    </w:lvl>
    <w:lvl w:tplc="041A0003" w:ilvl="1">
      <w:start w:val="1"/>
      <w:numFmt w:val="bullet"/>
      <w:lvlText w:val="o"/>
      <w:lvlJc w:val="left"/>
      <w:pPr>
        <w:ind w:hanging="360" w:left="2148"/>
      </w:pPr>
      <w:rPr>
        <w:rFonts w:cs="Courier New" w:hAnsi="Courier New" w:ascii="Courier New" w:hint="default"/>
      </w:rPr>
    </w:lvl>
    <w:lvl w:tplc="041A0005" w:ilvl="2">
      <w:start w:val="1"/>
      <w:numFmt w:val="bullet"/>
      <w:lvlText w:val=""/>
      <w:lvlJc w:val="left"/>
      <w:pPr>
        <w:ind w:hanging="360" w:left="2868"/>
      </w:pPr>
      <w:rPr>
        <w:rFonts w:hAnsi="Wingdings" w:ascii="Wingdings" w:hint="default"/>
      </w:rPr>
    </w:lvl>
    <w:lvl w:tplc="041A0001" w:ilvl="3">
      <w:start w:val="1"/>
      <w:numFmt w:val="bullet"/>
      <w:lvlText w:val=""/>
      <w:lvlJc w:val="left"/>
      <w:pPr>
        <w:ind w:hanging="360" w:left="3588"/>
      </w:pPr>
      <w:rPr>
        <w:rFonts w:hAnsi="Symbol" w:ascii="Symbol" w:hint="default"/>
      </w:rPr>
    </w:lvl>
    <w:lvl w:tplc="041A0003" w:ilvl="4">
      <w:start w:val="1"/>
      <w:numFmt w:val="bullet"/>
      <w:lvlText w:val="o"/>
      <w:lvlJc w:val="left"/>
      <w:pPr>
        <w:ind w:hanging="360" w:left="4308"/>
      </w:pPr>
      <w:rPr>
        <w:rFonts w:cs="Courier New" w:hAnsi="Courier New" w:ascii="Courier New" w:hint="default"/>
      </w:rPr>
    </w:lvl>
    <w:lvl w:tplc="041A0005" w:ilvl="5">
      <w:start w:val="1"/>
      <w:numFmt w:val="bullet"/>
      <w:lvlText w:val=""/>
      <w:lvlJc w:val="left"/>
      <w:pPr>
        <w:ind w:hanging="360" w:left="5028"/>
      </w:pPr>
      <w:rPr>
        <w:rFonts w:hAnsi="Wingdings" w:ascii="Wingdings" w:hint="default"/>
      </w:rPr>
    </w:lvl>
    <w:lvl w:tplc="041A0001" w:ilvl="6">
      <w:start w:val="1"/>
      <w:numFmt w:val="bullet"/>
      <w:lvlText w:val=""/>
      <w:lvlJc w:val="left"/>
      <w:pPr>
        <w:ind w:hanging="360" w:left="5748"/>
      </w:pPr>
      <w:rPr>
        <w:rFonts w:hAnsi="Symbol" w:ascii="Symbol" w:hint="default"/>
      </w:rPr>
    </w:lvl>
    <w:lvl w:tplc="041A0003" w:ilvl="7">
      <w:start w:val="1"/>
      <w:numFmt w:val="bullet"/>
      <w:lvlText w:val="o"/>
      <w:lvlJc w:val="left"/>
      <w:pPr>
        <w:ind w:hanging="360" w:left="6468"/>
      </w:pPr>
      <w:rPr>
        <w:rFonts w:cs="Courier New" w:hAnsi="Courier New" w:ascii="Courier New" w:hint="default"/>
      </w:rPr>
    </w:lvl>
    <w:lvl w:tplc="041A0005" w:ilvl="8">
      <w:start w:val="1"/>
      <w:numFmt w:val="bullet"/>
      <w:lvlText w:val=""/>
      <w:lvlJc w:val="left"/>
      <w:pPr>
        <w:ind w:hanging="360" w:left="7188"/>
      </w:pPr>
      <w:rPr>
        <w:rFonts w:hAnsi="Wingdings" w:ascii="Wingdings" w:hint="default"/>
      </w:rPr>
    </w:lvl>
  </w:abstractNum>
  <w:abstractNum w:abstractNumId="8">
    <w:nsid w:val="51B85209"/>
    <w:multiLevelType w:val="hybridMultilevel"/>
    <w:tmpl w:val="AF5E27E2"/>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9">
    <w:nsid w:val="592224F4"/>
    <w:multiLevelType w:val="hybridMultilevel"/>
    <w:tmpl w:val="C02AC010"/>
    <w:lvl w:tplc="041A000F" w:ilvl="0">
      <w:start w:val="1"/>
      <w:numFmt w:val="decimal"/>
      <w:lvlText w:val="%1."/>
      <w:lvlJc w:val="left"/>
      <w:pPr>
        <w:ind w:hanging="360" w:left="360"/>
      </w:pPr>
    </w:lvl>
    <w:lvl w:tplc="041A0003" w:ilvl="1">
      <w:start w:val="1"/>
      <w:numFmt w:val="bullet"/>
      <w:lvlText w:val="o"/>
      <w:lvlJc w:val="left"/>
      <w:pPr>
        <w:ind w:hanging="360" w:left="1080"/>
      </w:pPr>
      <w:rPr>
        <w:rFonts w:cs="Courier New" w:hAnsi="Courier New" w:ascii="Courier New" w:hint="default"/>
      </w:rPr>
    </w:lvl>
    <w:lvl w:tplc="041A0005" w:ilvl="2">
      <w:start w:val="1"/>
      <w:numFmt w:val="bullet"/>
      <w:lvlText w:val=""/>
      <w:lvlJc w:val="left"/>
      <w:pPr>
        <w:ind w:hanging="360" w:left="1800"/>
      </w:pPr>
      <w:rPr>
        <w:rFonts w:hAnsi="Wingdings" w:ascii="Wingdings" w:hint="default"/>
      </w:rPr>
    </w:lvl>
    <w:lvl w:tplc="041A0001" w:ilvl="3">
      <w:start w:val="1"/>
      <w:numFmt w:val="bullet"/>
      <w:lvlText w:val=""/>
      <w:lvlJc w:val="left"/>
      <w:pPr>
        <w:ind w:hanging="360" w:left="2520"/>
      </w:pPr>
      <w:rPr>
        <w:rFonts w:hAnsi="Symbol" w:ascii="Symbol" w:hint="default"/>
      </w:rPr>
    </w:lvl>
    <w:lvl w:tplc="041A0003" w:ilvl="4">
      <w:start w:val="1"/>
      <w:numFmt w:val="bullet"/>
      <w:lvlText w:val="o"/>
      <w:lvlJc w:val="left"/>
      <w:pPr>
        <w:ind w:hanging="360" w:left="3240"/>
      </w:pPr>
      <w:rPr>
        <w:rFonts w:cs="Courier New" w:hAnsi="Courier New" w:ascii="Courier New" w:hint="default"/>
      </w:rPr>
    </w:lvl>
    <w:lvl w:tplc="041A0005" w:ilvl="5">
      <w:start w:val="1"/>
      <w:numFmt w:val="bullet"/>
      <w:lvlText w:val=""/>
      <w:lvlJc w:val="left"/>
      <w:pPr>
        <w:ind w:hanging="360" w:left="3960"/>
      </w:pPr>
      <w:rPr>
        <w:rFonts w:hAnsi="Wingdings" w:ascii="Wingdings" w:hint="default"/>
      </w:rPr>
    </w:lvl>
    <w:lvl w:tplc="041A0001" w:ilvl="6">
      <w:start w:val="1"/>
      <w:numFmt w:val="bullet"/>
      <w:lvlText w:val=""/>
      <w:lvlJc w:val="left"/>
      <w:pPr>
        <w:ind w:hanging="360" w:left="4680"/>
      </w:pPr>
      <w:rPr>
        <w:rFonts w:hAnsi="Symbol" w:ascii="Symbol" w:hint="default"/>
      </w:rPr>
    </w:lvl>
    <w:lvl w:tplc="041A0003" w:ilvl="7">
      <w:start w:val="1"/>
      <w:numFmt w:val="bullet"/>
      <w:lvlText w:val="o"/>
      <w:lvlJc w:val="left"/>
      <w:pPr>
        <w:ind w:hanging="360" w:left="5400"/>
      </w:pPr>
      <w:rPr>
        <w:rFonts w:cs="Courier New" w:hAnsi="Courier New" w:ascii="Courier New" w:hint="default"/>
      </w:rPr>
    </w:lvl>
    <w:lvl w:tplc="041A0005" w:ilvl="8">
      <w:start w:val="1"/>
      <w:numFmt w:val="bullet"/>
      <w:lvlText w:val=""/>
      <w:lvlJc w:val="left"/>
      <w:pPr>
        <w:ind w:hanging="360" w:left="6120"/>
      </w:pPr>
      <w:rPr>
        <w:rFonts w:hAnsi="Wingdings" w:ascii="Wingdings" w:hint="default"/>
      </w:rPr>
    </w:lvl>
  </w:abstractNum>
  <w:abstractNum w:abstractNumId="10">
    <w:nsid w:val="6C0016E9"/>
    <w:multiLevelType w:val="hybridMultilevel"/>
    <w:tmpl w:val="5C6AA1B0"/>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1">
    <w:nsid w:val="769C0EC0"/>
    <w:multiLevelType w:val="hybridMultilevel"/>
    <w:tmpl w:val="37CAD13E"/>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5"/>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7"/>
  </w:num>
  <w:num w:numId="5">
    <w:abstractNumId w:val="8"/>
  </w:num>
  <w:num w:numId="6">
    <w:abstractNumId w:val="8"/>
  </w:num>
  <w:num w:numId="7">
    <w:abstractNumId w:val="11"/>
  </w:num>
  <w:num w:numId="8">
    <w:abstractNumId w:val="11"/>
  </w:num>
  <w:num w:numId="9">
    <w:abstractNumId w:val="6"/>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0"/>
  </w:num>
  <w:num w:numId="13">
    <w:abstractNumId w:val="4"/>
  </w:num>
  <w:num w:numId="14">
    <w:abstractNumId w:val="4"/>
  </w:num>
  <w:num w:numId="15">
    <w:abstractNumId w:val="3"/>
  </w:num>
  <w:num w:numId="16">
    <w:abstractNumId w:val="3"/>
  </w:num>
  <w:num w:numId="17">
    <w:abstractNumId w:val="2"/>
  </w:num>
  <w:num w:numId="18">
    <w:abstractNumId w:val="2"/>
  </w:num>
  <w:num w:numId="19">
    <w:abstractNumId w:val="1"/>
  </w:num>
  <w:num w:numId="20">
    <w:abstractNumId w:val="1"/>
  </w:num>
  <w:num w:numId="21">
    <w:abstractNumId w:val="0"/>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9"/>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E3364"/>
    <w:rsid w:val="0009048E"/>
    <w:rsid w:val="001403B6"/>
    <w:rsid w:val="001E3364"/>
    <w:rsid w:val="001F087F"/>
    <w:rsid w:val="00301F07"/>
    <w:rsid w:val="003625C7"/>
    <w:rsid w:val="005F4A7A"/>
    <w:rsid w:val="00645E48"/>
    <w:rsid w:val="0067336B"/>
    <w:rsid w:val="00676C72"/>
    <w:rsid w:val="00702EE0"/>
    <w:rsid w:val="00786A29"/>
    <w:rsid w:val="00954F3A"/>
    <w:rsid w:val="009F16E5"/>
    <w:rsid w:val="00A20CCF"/>
    <w:rsid w:val="00CB4950"/>
    <w:rsid w:val="00E33DDA"/>
    <w:rsid w:val="00F15017"/>
    <w:rsid w:val="00F652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E3364"/>
    <w:rPr>
      <w:rFonts w:hAnsiTheme="minorHAnsi" w:asciiTheme="minorHAnsi"/>
      <w:sz w:val="22"/>
    </w:rPr>
  </w:style>
  <w:style w:styleId="Naslov1" w:type="paragraph">
    <w:name w:val="heading 1"/>
    <w:basedOn w:val="Normal"/>
    <w:next w:val="Normal"/>
    <w:link w:val="Naslov1Char"/>
    <w:uiPriority w:val="9"/>
    <w:qFormat/>
    <w:rsid w:val="001E3364"/>
    <w:pPr>
      <w:keepNext/>
      <w:keepLines/>
      <w:pageBreakBefore/>
      <w:numPr>
        <w:numId w:val="1"/>
      </w:numPr>
      <w:spacing w:after="240" w:before="480"/>
      <w:jc w:val="both"/>
      <w:outlineLvl w:val="0"/>
    </w:pPr>
    <w:rPr>
      <w:rFonts w:cstheme="majorBidi" w:eastAsiaTheme="majorEastAsia" w:hAnsiTheme="majorHAnsi" w:asciiTheme="majorHAnsi"/>
      <w:b/>
      <w:bCs/>
      <w:color w:themeShade="BF" w:themeColor="accent1" w:val="365F91"/>
      <w:sz w:val="28"/>
      <w:szCs w:val="28"/>
    </w:rPr>
  </w:style>
  <w:style w:styleId="Naslov2" w:type="paragraph">
    <w:name w:val="heading 2"/>
    <w:basedOn w:val="Normal"/>
    <w:next w:val="Normal"/>
    <w:link w:val="Naslov2Char"/>
    <w:uiPriority w:val="9"/>
    <w:semiHidden/>
    <w:unhideWhenUsed/>
    <w:qFormat/>
    <w:rsid w:val="001E3364"/>
    <w:pPr>
      <w:keepNext/>
      <w:keepLines/>
      <w:spacing w:after="240" w:before="200"/>
      <w:outlineLvl w:val="1"/>
    </w:pPr>
    <w:rPr>
      <w:rFonts w:cstheme="majorBidi" w:eastAsiaTheme="majorEastAsia" w:hAnsiTheme="majorHAnsi" w:asciiTheme="majorHAnsi"/>
      <w:b/>
      <w:bCs/>
      <w:color w:themeColor="accent1" w:val="4F81BD"/>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E3364"/>
    <w:rPr>
      <w:rFonts w:cstheme="majorBidi" w:eastAsiaTheme="majorEastAsia" w:hAnsiTheme="majorHAnsi" w:asciiTheme="majorHAnsi"/>
      <w:b/>
      <w:bCs/>
      <w:color w:themeShade="BF" w:themeColor="accent1" w:val="365F91"/>
      <w:sz w:val="28"/>
      <w:szCs w:val="28"/>
    </w:rPr>
  </w:style>
  <w:style w:customStyle="true" w:styleId="Naslov2Char" w:type="character">
    <w:name w:val="Naslov 2 Char"/>
    <w:basedOn w:val="Zadanifontodlomka"/>
    <w:link w:val="Naslov2"/>
    <w:uiPriority w:val="9"/>
    <w:semiHidden/>
    <w:rsid w:val="001E3364"/>
    <w:rPr>
      <w:rFonts w:cstheme="majorBidi" w:eastAsiaTheme="majorEastAsia" w:hAnsiTheme="majorHAnsi" w:asciiTheme="majorHAnsi"/>
      <w:b/>
      <w:bCs/>
      <w:color w:themeColor="accent1" w:val="4F81BD"/>
      <w:szCs w:val="24"/>
    </w:rPr>
  </w:style>
  <w:style w:styleId="Hiperveza" w:type="character">
    <w:name w:val="Hyperlink"/>
    <w:basedOn w:val="Zadanifontodlomka"/>
    <w:uiPriority w:val="99"/>
    <w:semiHidden/>
    <w:unhideWhenUsed/>
    <w:rsid w:val="001E3364"/>
    <w:rPr>
      <w:color w:themeColor="hyperlink" w:val="0000FF"/>
      <w:u w:val="single"/>
    </w:rPr>
  </w:style>
  <w:style w:styleId="SlijeenaHiperveza" w:type="character">
    <w:name w:val="FollowedHyperlink"/>
    <w:basedOn w:val="Zadanifontodlomka"/>
    <w:uiPriority w:val="99"/>
    <w:semiHidden/>
    <w:unhideWhenUsed/>
    <w:rsid w:val="001E3364"/>
    <w:rPr>
      <w:color w:val="800080"/>
      <w:u w:val="single"/>
    </w:rPr>
  </w:style>
  <w:style w:styleId="Sadraj1" w:type="paragraph">
    <w:name w:val="toc 1"/>
    <w:basedOn w:val="Normal"/>
    <w:next w:val="Normal"/>
    <w:autoRedefine/>
    <w:uiPriority w:val="39"/>
    <w:semiHidden/>
    <w:unhideWhenUsed/>
    <w:rsid w:val="001E3364"/>
    <w:pPr>
      <w:spacing w:after="100"/>
    </w:pPr>
  </w:style>
  <w:style w:styleId="Sadraj2" w:type="paragraph">
    <w:name w:val="toc 2"/>
    <w:basedOn w:val="Normal"/>
    <w:next w:val="Normal"/>
    <w:autoRedefine/>
    <w:uiPriority w:val="39"/>
    <w:semiHidden/>
    <w:unhideWhenUsed/>
    <w:rsid w:val="001E3364"/>
    <w:pPr>
      <w:spacing w:after="100"/>
      <w:ind w:left="220"/>
    </w:pPr>
  </w:style>
  <w:style w:styleId="Tekstkomentara" w:type="paragraph">
    <w:name w:val="annotation text"/>
    <w:basedOn w:val="Normal"/>
    <w:link w:val="TekstkomentaraChar"/>
    <w:uiPriority w:val="99"/>
    <w:semiHidden/>
    <w:unhideWhenUsed/>
    <w:rsid w:val="001E3364"/>
    <w:pPr>
      <w:spacing w:lineRule="auto" w:line="240"/>
    </w:pPr>
    <w:rPr>
      <w:sz w:val="20"/>
      <w:szCs w:val="20"/>
    </w:rPr>
  </w:style>
  <w:style w:customStyle="true" w:styleId="TekstkomentaraChar" w:type="character">
    <w:name w:val="Tekst komentara Char"/>
    <w:basedOn w:val="Zadanifontodlomka"/>
    <w:link w:val="Tekstkomentara"/>
    <w:uiPriority w:val="99"/>
    <w:semiHidden/>
    <w:rsid w:val="001E3364"/>
    <w:rPr>
      <w:rFonts w:hAnsiTheme="minorHAnsi" w:asciiTheme="minorHAnsi"/>
      <w:sz w:val="20"/>
      <w:szCs w:val="20"/>
    </w:rPr>
  </w:style>
  <w:style w:styleId="Zaglavlje" w:type="paragraph">
    <w:name w:val="header"/>
    <w:basedOn w:val="Normal"/>
    <w:link w:val="ZaglavljeChar"/>
    <w:uiPriority w:val="99"/>
    <w:semiHidden/>
    <w:unhideWhenUsed/>
    <w:rsid w:val="001E3364"/>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1E3364"/>
    <w:rPr>
      <w:rFonts w:hAnsiTheme="minorHAnsi" w:asciiTheme="minorHAnsi"/>
      <w:sz w:val="22"/>
    </w:rPr>
  </w:style>
  <w:style w:styleId="Podnoje" w:type="paragraph">
    <w:name w:val="footer"/>
    <w:basedOn w:val="Normal"/>
    <w:link w:val="PodnojeChar"/>
    <w:uiPriority w:val="99"/>
    <w:semiHidden/>
    <w:unhideWhenUsed/>
    <w:rsid w:val="001E3364"/>
    <w:pPr>
      <w:tabs>
        <w:tab w:pos="4536" w:val="center"/>
        <w:tab w:pos="9072" w:val="right"/>
      </w:tabs>
      <w:spacing w:lineRule="auto" w:line="240" w:after="0"/>
    </w:pPr>
  </w:style>
  <w:style w:customStyle="true" w:styleId="PodnojeChar" w:type="character">
    <w:name w:val="Podnožje Char"/>
    <w:basedOn w:val="Zadanifontodlomka"/>
    <w:link w:val="Podnoje"/>
    <w:uiPriority w:val="99"/>
    <w:semiHidden/>
    <w:rsid w:val="001E3364"/>
    <w:rPr>
      <w:rFonts w:hAnsiTheme="minorHAnsi" w:asciiTheme="minorHAnsi"/>
      <w:sz w:val="22"/>
    </w:rPr>
  </w:style>
  <w:style w:styleId="Predmetkomentara" w:type="paragraph">
    <w:name w:val="annotation subject"/>
    <w:basedOn w:val="Tekstkomentara"/>
    <w:next w:val="Tekstkomentara"/>
    <w:link w:val="PredmetkomentaraChar"/>
    <w:uiPriority w:val="99"/>
    <w:semiHidden/>
    <w:unhideWhenUsed/>
    <w:rsid w:val="001E3364"/>
    <w:rPr>
      <w:b/>
      <w:bCs/>
    </w:rPr>
  </w:style>
  <w:style w:customStyle="true" w:styleId="PredmetkomentaraChar" w:type="character">
    <w:name w:val="Predmet komentara Char"/>
    <w:basedOn w:val="TekstkomentaraChar"/>
    <w:link w:val="Predmetkomentara"/>
    <w:uiPriority w:val="99"/>
    <w:semiHidden/>
    <w:rsid w:val="001E3364"/>
    <w:rPr>
      <w:rFonts w:hAnsiTheme="minorHAnsi" w:asciiTheme="minorHAnsi"/>
      <w:b/>
      <w:bCs/>
      <w:sz w:val="20"/>
      <w:szCs w:val="20"/>
    </w:rPr>
  </w:style>
  <w:style w:styleId="Tekstbalonia" w:type="paragraph">
    <w:name w:val="Balloon Text"/>
    <w:basedOn w:val="Normal"/>
    <w:link w:val="TekstbaloniaChar"/>
    <w:uiPriority w:val="99"/>
    <w:semiHidden/>
    <w:unhideWhenUsed/>
    <w:rsid w:val="001E3364"/>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E3364"/>
    <w:rPr>
      <w:rFonts w:cs="Tahoma" w:hAnsi="Tahoma" w:ascii="Tahoma"/>
      <w:sz w:val="16"/>
      <w:szCs w:val="16"/>
    </w:rPr>
  </w:style>
  <w:style w:styleId="Bezproreda" w:type="paragraph">
    <w:name w:val="No Spacing"/>
    <w:uiPriority w:val="1"/>
    <w:qFormat/>
    <w:rsid w:val="001E3364"/>
    <w:pPr>
      <w:spacing w:lineRule="auto" w:line="240" w:after="0"/>
    </w:pPr>
    <w:rPr>
      <w:rFonts w:hAnsiTheme="minorHAnsi" w:asciiTheme="minorHAnsi"/>
      <w:sz w:val="22"/>
    </w:rPr>
  </w:style>
  <w:style w:styleId="Revizija" w:type="paragraph">
    <w:name w:val="Revision"/>
    <w:uiPriority w:val="99"/>
    <w:semiHidden/>
    <w:rsid w:val="001E3364"/>
    <w:pPr>
      <w:spacing w:lineRule="auto" w:line="240" w:after="0"/>
    </w:pPr>
    <w:rPr>
      <w:rFonts w:hAnsiTheme="minorHAnsi" w:asciiTheme="minorHAnsi"/>
      <w:sz w:val="22"/>
    </w:rPr>
  </w:style>
  <w:style w:styleId="Odlomakpopisa" w:type="paragraph">
    <w:name w:val="List Paragraph"/>
    <w:basedOn w:val="Normal"/>
    <w:uiPriority w:val="34"/>
    <w:qFormat/>
    <w:rsid w:val="001E3364"/>
    <w:pPr>
      <w:ind w:left="720"/>
      <w:contextualSpacing/>
    </w:pPr>
  </w:style>
  <w:style w:styleId="TOCNaslov" w:type="paragraph">
    <w:name w:val="TOC Heading"/>
    <w:basedOn w:val="Naslov1"/>
    <w:next w:val="Normal"/>
    <w:uiPriority w:val="39"/>
    <w:semiHidden/>
    <w:unhideWhenUsed/>
    <w:qFormat/>
    <w:rsid w:val="001E3364"/>
    <w:pPr>
      <w:outlineLvl w:val="9"/>
    </w:pPr>
    <w:rPr>
      <w:lang w:eastAsia="ja-JP" w:val="en-US"/>
    </w:rPr>
  </w:style>
  <w:style w:customStyle="true" w:styleId="Style4" w:type="paragraph">
    <w:name w:val="Style 4"/>
    <w:uiPriority w:val="99"/>
    <w:rsid w:val="001E3364"/>
    <w:pPr>
      <w:widowControl w:val="false"/>
      <w:autoSpaceDE w:val="false"/>
      <w:autoSpaceDN w:val="false"/>
      <w:spacing w:lineRule="auto" w:line="240" w:after="0" w:before="180"/>
      <w:jc w:val="both"/>
    </w:pPr>
    <w:rPr>
      <w:rFonts w:eastAsiaTheme="minorEastAsia" w:cs="Arial" w:hAnsi="Arial" w:ascii="Arial"/>
      <w:sz w:val="22"/>
      <w:lang w:eastAsia="hr-HR" w:val="en-US"/>
    </w:rPr>
  </w:style>
  <w:style w:customStyle="true" w:styleId="Style1" w:type="paragraph">
    <w:name w:val="Style 1"/>
    <w:uiPriority w:val="99"/>
    <w:rsid w:val="001E3364"/>
    <w:pPr>
      <w:widowControl w:val="false"/>
      <w:autoSpaceDE w:val="false"/>
      <w:autoSpaceDN w:val="false"/>
      <w:adjustRightInd w:val="false"/>
      <w:spacing w:lineRule="auto" w:line="240" w:after="0"/>
    </w:pPr>
    <w:rPr>
      <w:rFonts w:eastAsiaTheme="minorEastAsia" w:cs="Times New Roman"/>
      <w:sz w:val="20"/>
      <w:szCs w:val="20"/>
      <w:lang w:eastAsia="hr-HR" w:val="en-US"/>
    </w:rPr>
  </w:style>
  <w:style w:customStyle="true" w:styleId="Style12" w:type="paragraph">
    <w:name w:val="Style 12"/>
    <w:uiPriority w:val="99"/>
    <w:rsid w:val="001E3364"/>
    <w:pPr>
      <w:widowControl w:val="false"/>
      <w:autoSpaceDE w:val="false"/>
      <w:autoSpaceDN w:val="false"/>
      <w:spacing w:lineRule="auto" w:line="240" w:after="0" w:before="72"/>
    </w:pPr>
    <w:rPr>
      <w:rFonts w:eastAsiaTheme="minorEastAsia" w:cs="Arial" w:hAnsi="Arial" w:ascii="Arial"/>
      <w:sz w:val="22"/>
      <w:lang w:eastAsia="hr-HR" w:val="en-US"/>
    </w:rPr>
  </w:style>
  <w:style w:customStyle="true" w:styleId="Style14" w:type="paragraph">
    <w:name w:val="Style 14"/>
    <w:uiPriority w:val="99"/>
    <w:rsid w:val="001E3364"/>
    <w:pPr>
      <w:widowControl w:val="false"/>
      <w:autoSpaceDE w:val="false"/>
      <w:autoSpaceDN w:val="false"/>
      <w:spacing w:lineRule="auto" w:line="240" w:after="0" w:before="324"/>
      <w:jc w:val="both"/>
    </w:pPr>
    <w:rPr>
      <w:rFonts w:eastAsiaTheme="minorEastAsia" w:cs="Arial" w:hAnsi="Arial" w:ascii="Arial"/>
      <w:sz w:val="22"/>
      <w:lang w:eastAsia="hr-HR" w:val="en-US"/>
    </w:rPr>
  </w:style>
  <w:style w:customStyle="true" w:styleId="Style11" w:type="paragraph">
    <w:name w:val="Style 11"/>
    <w:uiPriority w:val="99"/>
    <w:rsid w:val="001E3364"/>
    <w:pPr>
      <w:widowControl w:val="false"/>
      <w:autoSpaceDE w:val="false"/>
      <w:autoSpaceDN w:val="false"/>
      <w:spacing w:lineRule="auto" w:line="280" w:after="0"/>
    </w:pPr>
    <w:rPr>
      <w:rFonts w:eastAsiaTheme="minorEastAsia" w:cs="Arial" w:hAnsi="Arial" w:ascii="Arial"/>
      <w:sz w:val="18"/>
      <w:szCs w:val="18"/>
      <w:lang w:eastAsia="hr-HR" w:val="en-US"/>
    </w:rPr>
  </w:style>
  <w:style w:customStyle="true" w:styleId="Default" w:type="paragraph">
    <w:name w:val="Default"/>
    <w:rsid w:val="001E3364"/>
    <w:pPr>
      <w:autoSpaceDE w:val="false"/>
      <w:autoSpaceDN w:val="false"/>
      <w:adjustRightInd w:val="false"/>
      <w:spacing w:lineRule="auto" w:line="240" w:after="0"/>
    </w:pPr>
    <w:rPr>
      <w:rFonts w:cs="Calibri" w:hAnsi="Calibri" w:ascii="Calibri"/>
      <w:color w:val="000000"/>
      <w:szCs w:val="24"/>
    </w:rPr>
  </w:style>
  <w:style w:customStyle="true" w:styleId="font5" w:type="paragraph">
    <w:name w:val="font5"/>
    <w:basedOn w:val="Normal"/>
    <w:rsid w:val="001E3364"/>
    <w:pPr>
      <w:spacing w:lineRule="auto" w:line="240" w:afterAutospacing="true" w:after="100" w:beforeAutospacing="true" w:before="100"/>
    </w:pPr>
    <w:rPr>
      <w:rFonts w:cs="Arial" w:eastAsia="Times New Roman" w:hAnsi="Arial" w:ascii="Arial"/>
      <w:sz w:val="16"/>
      <w:szCs w:val="16"/>
      <w:lang w:eastAsia="hr-HR"/>
    </w:rPr>
  </w:style>
  <w:style w:customStyle="true" w:styleId="xl131" w:type="paragraph">
    <w:name w:val="xl131"/>
    <w:basedOn w:val="Normal"/>
    <w:rsid w:val="001E3364"/>
    <w:pPr>
      <w:spacing w:lineRule="auto" w:line="240" w:afterAutospacing="true" w:after="100" w:beforeAutospacing="true" w:before="100"/>
    </w:pPr>
    <w:rPr>
      <w:rFonts w:cs="Times New Roman" w:eastAsia="Times New Roman" w:hAnsi="Times New Roman" w:ascii="Times New Roman"/>
      <w:sz w:val="16"/>
      <w:szCs w:val="16"/>
      <w:lang w:eastAsia="hr-HR"/>
    </w:rPr>
  </w:style>
  <w:style w:customStyle="true" w:styleId="xl132" w:type="paragraph">
    <w:name w:val="xl132"/>
    <w:basedOn w:val="Normal"/>
    <w:rsid w:val="001E3364"/>
    <w:pPr>
      <w:pBdr>
        <w:top w:space="0" w:sz="4" w:color="auto" w:val="single"/>
        <w:left w:space="0" w:sz="4" w:color="auto" w:val="single"/>
        <w:bottom w:space="0" w:sz="4" w:color="auto" w:val="single"/>
        <w:right w:space="0" w:sz="4" w:color="auto" w:val="single"/>
      </w:pBdr>
      <w:shd w:fill="auto" w:color="C0C0C0" w:val="pct25"/>
      <w:spacing w:lineRule="auto" w:line="240" w:afterAutospacing="true" w:after="100" w:beforeAutospacing="true" w:before="100"/>
    </w:pPr>
    <w:rPr>
      <w:rFonts w:cs="Arial" w:eastAsia="Times New Roman" w:hAnsi="Arial" w:ascii="Arial"/>
      <w:sz w:val="16"/>
      <w:szCs w:val="16"/>
      <w:lang w:eastAsia="hr-HR"/>
    </w:rPr>
  </w:style>
  <w:style w:customStyle="true" w:styleId="xl133" w:type="paragraph">
    <w:name w:val="xl133"/>
    <w:basedOn w:val="Normal"/>
    <w:rsid w:val="001E3364"/>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cs="Arial" w:eastAsia="Times New Roman" w:hAnsi="Arial" w:ascii="Arial"/>
      <w:sz w:val="16"/>
      <w:szCs w:val="16"/>
      <w:lang w:eastAsia="hr-HR"/>
    </w:rPr>
  </w:style>
  <w:style w:customStyle="true" w:styleId="xl134" w:type="paragraph">
    <w:name w:val="xl134"/>
    <w:basedOn w:val="Normal"/>
    <w:rsid w:val="001E3364"/>
    <w:pPr>
      <w:pBdr>
        <w:top w:space="0" w:sz="4" w:color="auto" w:val="single"/>
        <w:left w:space="0" w:sz="4" w:color="auto" w:val="single"/>
        <w:bottom w:space="0" w:sz="4" w:color="auto" w:val="single"/>
        <w:right w:space="0" w:sz="4" w:color="auto" w:val="single"/>
      </w:pBdr>
      <w:shd w:fill="auto" w:color="C0C0C0" w:val="pct25"/>
      <w:spacing w:lineRule="auto" w:line="240" w:afterAutospacing="true" w:after="100" w:beforeAutospacing="true" w:before="100"/>
    </w:pPr>
    <w:rPr>
      <w:rFonts w:cs="Arial" w:eastAsia="Times New Roman" w:hAnsi="Arial" w:ascii="Arial"/>
      <w:sz w:val="16"/>
      <w:szCs w:val="16"/>
      <w:lang w:eastAsia="hr-HR"/>
    </w:rPr>
  </w:style>
  <w:style w:customStyle="true" w:styleId="xl135" w:type="paragraph">
    <w:name w:val="xl135"/>
    <w:basedOn w:val="Normal"/>
    <w:rsid w:val="001E3364"/>
    <w:pPr>
      <w:pBdr>
        <w:top w:space="0" w:sz="4" w:color="auto" w:val="single"/>
        <w:left w:space="0" w:sz="4" w:color="auto" w:val="single"/>
        <w:bottom w:space="0" w:sz="4" w:color="auto" w:val="single"/>
      </w:pBdr>
      <w:spacing w:lineRule="auto" w:line="240" w:afterAutospacing="true" w:after="100" w:beforeAutospacing="true" w:before="100"/>
    </w:pPr>
    <w:rPr>
      <w:rFonts w:cs="Arial" w:eastAsia="Times New Roman" w:hAnsi="Arial" w:ascii="Arial"/>
      <w:sz w:val="16"/>
      <w:szCs w:val="16"/>
      <w:lang w:eastAsia="hr-HR"/>
    </w:rPr>
  </w:style>
  <w:style w:customStyle="true" w:styleId="xl136" w:type="paragraph">
    <w:name w:val="xl136"/>
    <w:basedOn w:val="Normal"/>
    <w:rsid w:val="001E3364"/>
    <w:pPr>
      <w:pBdr>
        <w:top w:space="0" w:sz="4" w:color="auto" w:val="single"/>
        <w:left w:space="0" w:sz="4" w:color="auto" w:val="single"/>
        <w:bottom w:space="0" w:sz="4" w:color="auto" w:val="single"/>
      </w:pBdr>
      <w:shd w:fill="auto" w:color="C0C0C0" w:val="pct25"/>
      <w:spacing w:lineRule="auto" w:line="240" w:afterAutospacing="true" w:after="100" w:beforeAutospacing="true" w:before="100"/>
    </w:pPr>
    <w:rPr>
      <w:rFonts w:cs="Arial" w:eastAsia="Times New Roman" w:hAnsi="Arial" w:ascii="Arial"/>
      <w:sz w:val="16"/>
      <w:szCs w:val="16"/>
      <w:lang w:eastAsia="hr-HR"/>
    </w:rPr>
  </w:style>
  <w:style w:customStyle="true" w:styleId="xl137" w:type="paragraph">
    <w:name w:val="xl137"/>
    <w:basedOn w:val="Normal"/>
    <w:rsid w:val="001E3364"/>
    <w:pPr>
      <w:pBdr>
        <w:top w:space="0" w:sz="4" w:color="auto" w:val="single"/>
        <w:left w:space="0" w:sz="4" w:color="auto" w:val="single"/>
        <w:bottom w:space="0" w:sz="4" w:color="auto" w:val="single"/>
      </w:pBdr>
      <w:shd w:fill="auto" w:color="C0C0C0" w:val="pct25"/>
      <w:spacing w:lineRule="auto" w:line="240" w:afterAutospacing="true" w:after="100" w:beforeAutospacing="true" w:before="100"/>
    </w:pPr>
    <w:rPr>
      <w:rFonts w:cs="Arial" w:eastAsia="Times New Roman" w:hAnsi="Arial" w:ascii="Arial"/>
      <w:sz w:val="16"/>
      <w:szCs w:val="16"/>
      <w:lang w:eastAsia="hr-HR"/>
    </w:rPr>
  </w:style>
  <w:style w:customStyle="true" w:styleId="xl138" w:type="paragraph">
    <w:name w:val="xl138"/>
    <w:basedOn w:val="Normal"/>
    <w:rsid w:val="001E3364"/>
    <w:pPr>
      <w:pBdr>
        <w:top w:space="0" w:sz="4" w:color="auto" w:val="single"/>
        <w:left w:space="0" w:sz="4" w:color="auto" w:val="single"/>
        <w:bottom w:space="0" w:sz="4" w:color="auto" w:val="single"/>
        <w:right w:space="0" w:sz="4" w:color="auto" w:val="single"/>
      </w:pBdr>
      <w:shd w:fill="auto" w:color="C0C0C0" w:val="pct25"/>
      <w:spacing w:lineRule="auto" w:line="240" w:afterAutospacing="true" w:after="100" w:beforeAutospacing="true" w:before="100"/>
    </w:pPr>
    <w:rPr>
      <w:rFonts w:cs="Arial" w:eastAsia="Times New Roman" w:hAnsi="Arial" w:ascii="Arial"/>
      <w:sz w:val="16"/>
      <w:szCs w:val="16"/>
      <w:lang w:eastAsia="hr-HR"/>
    </w:rPr>
  </w:style>
  <w:style w:customStyle="true" w:styleId="xl139" w:type="paragraph">
    <w:name w:val="xl139"/>
    <w:basedOn w:val="Normal"/>
    <w:rsid w:val="001E3364"/>
    <w:pPr>
      <w:pBdr>
        <w:top w:space="0" w:sz="4" w:color="auto" w:val="single"/>
        <w:left w:space="0" w:sz="4" w:color="auto" w:val="single"/>
        <w:bottom w:space="0" w:sz="4" w:color="auto" w:val="single"/>
      </w:pBdr>
      <w:spacing w:lineRule="auto" w:line="240" w:afterAutospacing="true" w:after="100" w:beforeAutospacing="true" w:before="100"/>
    </w:pPr>
    <w:rPr>
      <w:rFonts w:cs="Arial" w:eastAsia="Times New Roman" w:hAnsi="Arial" w:ascii="Arial"/>
      <w:b/>
      <w:bCs/>
      <w:color w:val="000080"/>
      <w:sz w:val="16"/>
      <w:szCs w:val="16"/>
      <w:lang w:eastAsia="hr-HR"/>
    </w:rPr>
  </w:style>
  <w:style w:customStyle="true" w:styleId="xl140" w:type="paragraph">
    <w:name w:val="xl140"/>
    <w:basedOn w:val="Normal"/>
    <w:rsid w:val="001E3364"/>
    <w:pPr>
      <w:pBdr>
        <w:top w:space="0" w:sz="4" w:color="auto" w:val="single"/>
        <w:left w:space="0" w:sz="4" w:color="auto" w:val="single"/>
        <w:bottom w:space="0" w:sz="4" w:color="auto" w:val="single"/>
      </w:pBdr>
      <w:spacing w:lineRule="auto" w:line="240" w:afterAutospacing="true" w:after="100" w:beforeAutospacing="true" w:before="100"/>
    </w:pPr>
    <w:rPr>
      <w:rFonts w:cs="Arial" w:eastAsia="Times New Roman" w:hAnsi="Arial" w:ascii="Arial"/>
      <w:b/>
      <w:bCs/>
      <w:sz w:val="16"/>
      <w:szCs w:val="16"/>
      <w:lang w:eastAsia="hr-HR"/>
    </w:rPr>
  </w:style>
  <w:style w:customStyle="true" w:styleId="xl141" w:type="paragraph">
    <w:name w:val="xl141"/>
    <w:basedOn w:val="Normal"/>
    <w:rsid w:val="001E3364"/>
    <w:pPr>
      <w:pBdr>
        <w:top w:space="0" w:sz="4" w:color="auto" w:val="single"/>
        <w:left w:space="0" w:sz="4" w:color="auto" w:val="single"/>
        <w:bottom w:space="0" w:sz="4" w:color="auto" w:val="single"/>
      </w:pBdr>
      <w:spacing w:lineRule="auto" w:line="240" w:afterAutospacing="true" w:after="100" w:beforeAutospacing="true" w:before="100"/>
    </w:pPr>
    <w:rPr>
      <w:rFonts w:cs="Arial" w:eastAsia="Times New Roman" w:hAnsi="Arial" w:ascii="Arial"/>
      <w:b/>
      <w:bCs/>
      <w:sz w:val="16"/>
      <w:szCs w:val="16"/>
      <w:lang w:eastAsia="hr-HR"/>
    </w:rPr>
  </w:style>
  <w:style w:customStyle="true" w:styleId="xl142" w:type="paragraph">
    <w:name w:val="xl142"/>
    <w:basedOn w:val="Normal"/>
    <w:rsid w:val="001E3364"/>
    <w:pPr>
      <w:pBdr>
        <w:top w:space="0" w:sz="4" w:color="auto" w:val="single"/>
        <w:left w:space="0" w:sz="4" w:color="auto" w:val="single"/>
        <w:bottom w:space="0" w:sz="4" w:color="auto" w:val="single"/>
      </w:pBdr>
      <w:spacing w:lineRule="auto" w:line="240" w:afterAutospacing="true" w:after="100" w:beforeAutospacing="true" w:before="100"/>
    </w:pPr>
    <w:rPr>
      <w:rFonts w:cs="Arial" w:eastAsia="Times New Roman" w:hAnsi="Arial" w:ascii="Arial"/>
      <w:color w:val="0000FF"/>
      <w:sz w:val="16"/>
      <w:szCs w:val="16"/>
      <w:lang w:eastAsia="hr-HR"/>
    </w:rPr>
  </w:style>
  <w:style w:customStyle="true" w:styleId="xl143" w:type="paragraph">
    <w:name w:val="xl143"/>
    <w:basedOn w:val="Normal"/>
    <w:rsid w:val="001E3364"/>
    <w:pPr>
      <w:pBdr>
        <w:top w:space="0" w:sz="4" w:color="auto" w:val="single"/>
        <w:left w:space="0" w:sz="4" w:color="auto" w:val="single"/>
        <w:bottom w:space="0" w:sz="4" w:color="auto" w:val="single"/>
      </w:pBdr>
      <w:spacing w:lineRule="auto" w:line="240" w:afterAutospacing="true" w:after="100" w:beforeAutospacing="true" w:before="100"/>
    </w:pPr>
    <w:rPr>
      <w:rFonts w:cs="Arial" w:eastAsia="Times New Roman" w:hAnsi="Arial" w:ascii="Arial"/>
      <w:sz w:val="16"/>
      <w:szCs w:val="16"/>
      <w:lang w:eastAsia="hr-HR"/>
    </w:rPr>
  </w:style>
  <w:style w:customStyle="true" w:styleId="xl144" w:type="paragraph">
    <w:name w:val="xl144"/>
    <w:basedOn w:val="Normal"/>
    <w:rsid w:val="001E3364"/>
    <w:pPr>
      <w:pBdr>
        <w:top w:space="0" w:sz="4" w:color="auto" w:val="single"/>
        <w:left w:space="0" w:sz="4" w:color="auto" w:val="single"/>
        <w:bottom w:space="0" w:sz="4" w:color="auto" w:val="single"/>
      </w:pBdr>
      <w:spacing w:lineRule="auto" w:line="240" w:afterAutospacing="true" w:after="100" w:beforeAutospacing="true" w:before="100"/>
    </w:pPr>
    <w:rPr>
      <w:rFonts w:cs="Arial" w:eastAsia="Times New Roman" w:hAnsi="Arial" w:ascii="Arial"/>
      <w:b/>
      <w:bCs/>
      <w:sz w:val="16"/>
      <w:szCs w:val="16"/>
      <w:lang w:eastAsia="hr-HR"/>
    </w:rPr>
  </w:style>
  <w:style w:customStyle="true" w:styleId="xl145" w:type="paragraph">
    <w:name w:val="xl145"/>
    <w:basedOn w:val="Normal"/>
    <w:rsid w:val="001E3364"/>
    <w:pPr>
      <w:spacing w:lineRule="auto" w:line="240" w:afterAutospacing="true" w:after="100" w:beforeAutospacing="true" w:before="100"/>
    </w:pPr>
    <w:rPr>
      <w:rFonts w:cs="Arial" w:eastAsia="Times New Roman" w:hAnsi="Arial" w:ascii="Arial"/>
      <w:sz w:val="16"/>
      <w:szCs w:val="16"/>
      <w:lang w:eastAsia="hr-HR"/>
    </w:rPr>
  </w:style>
  <w:style w:customStyle="true" w:styleId="xl146" w:type="paragraph">
    <w:name w:val="xl146"/>
    <w:basedOn w:val="Normal"/>
    <w:rsid w:val="001E3364"/>
    <w:pPr>
      <w:spacing w:lineRule="auto" w:line="240" w:afterAutospacing="true" w:after="100" w:beforeAutospacing="true" w:before="100"/>
    </w:pPr>
    <w:rPr>
      <w:rFonts w:cs="Arial" w:eastAsia="Times New Roman" w:hAnsi="Arial" w:ascii="Arial"/>
      <w:sz w:val="16"/>
      <w:szCs w:val="16"/>
      <w:lang w:eastAsia="hr-HR"/>
    </w:rPr>
  </w:style>
  <w:style w:customStyle="true" w:styleId="xl147" w:type="paragraph">
    <w:name w:val="xl147"/>
    <w:basedOn w:val="Normal"/>
    <w:rsid w:val="001E3364"/>
    <w:pPr>
      <w:spacing w:lineRule="auto" w:line="240" w:afterAutospacing="true" w:after="100" w:beforeAutospacing="true" w:before="100"/>
    </w:pPr>
    <w:rPr>
      <w:rFonts w:cs="Arial" w:eastAsia="Times New Roman" w:hAnsi="Arial" w:ascii="Arial"/>
      <w:sz w:val="16"/>
      <w:szCs w:val="16"/>
      <w:lang w:eastAsia="hr-HR"/>
    </w:rPr>
  </w:style>
  <w:style w:customStyle="true" w:styleId="xl148" w:type="paragraph">
    <w:name w:val="xl148"/>
    <w:basedOn w:val="Normal"/>
    <w:rsid w:val="001E3364"/>
    <w:pPr>
      <w:pBdr>
        <w:top w:space="0" w:sz="4" w:color="auto" w:val="single"/>
        <w:left w:space="0" w:sz="4" w:color="auto" w:val="single"/>
        <w:bottom w:space="0" w:sz="4" w:color="auto" w:val="single"/>
      </w:pBdr>
      <w:shd w:fill="C0C0C0" w:color="C0C0C0" w:val="pct12"/>
      <w:spacing w:lineRule="auto" w:line="240" w:afterAutospacing="true" w:after="100" w:beforeAutospacing="true" w:before="100"/>
    </w:pPr>
    <w:rPr>
      <w:rFonts w:cs="Arial" w:eastAsia="Times New Roman" w:hAnsi="Arial" w:ascii="Arial"/>
      <w:b/>
      <w:bCs/>
      <w:color w:val="000080"/>
      <w:sz w:val="16"/>
      <w:szCs w:val="16"/>
      <w:lang w:eastAsia="hr-HR"/>
    </w:rPr>
  </w:style>
  <w:style w:customStyle="true" w:styleId="xl149" w:type="paragraph">
    <w:name w:val="xl149"/>
    <w:basedOn w:val="Normal"/>
    <w:rsid w:val="001E3364"/>
    <w:pPr>
      <w:pBdr>
        <w:top w:space="0" w:sz="4" w:color="auto" w:val="single"/>
        <w:bottom w:space="0" w:sz="4" w:color="auto" w:val="single"/>
      </w:pBdr>
      <w:shd w:fill="C0C0C0" w:color="C0C0C0" w:val="pct12"/>
      <w:spacing w:lineRule="auto" w:line="240" w:afterAutospacing="true" w:after="100" w:beforeAutospacing="true" w:before="100"/>
    </w:pPr>
    <w:rPr>
      <w:rFonts w:cs="Arial" w:eastAsia="Times New Roman" w:hAnsi="Arial" w:ascii="Arial"/>
      <w:color w:val="000080"/>
      <w:sz w:val="16"/>
      <w:szCs w:val="16"/>
      <w:lang w:eastAsia="hr-HR"/>
    </w:rPr>
  </w:style>
  <w:style w:customStyle="true" w:styleId="xl150" w:type="paragraph">
    <w:name w:val="xl150"/>
    <w:basedOn w:val="Normal"/>
    <w:rsid w:val="001E3364"/>
    <w:pPr>
      <w:pBdr>
        <w:top w:space="0" w:sz="4" w:color="auto" w:val="single"/>
        <w:bottom w:space="0" w:sz="4" w:color="auto" w:val="single"/>
        <w:right w:space="0" w:sz="4" w:color="auto" w:val="single"/>
      </w:pBdr>
      <w:shd w:fill="C0C0C0" w:color="C0C0C0" w:val="pct12"/>
      <w:spacing w:lineRule="auto" w:line="240" w:afterAutospacing="true" w:after="100" w:beforeAutospacing="true" w:before="100"/>
    </w:pPr>
    <w:rPr>
      <w:rFonts w:cs="Arial" w:eastAsia="Times New Roman" w:hAnsi="Arial" w:ascii="Arial"/>
      <w:color w:val="000080"/>
      <w:sz w:val="16"/>
      <w:szCs w:val="16"/>
      <w:lang w:eastAsia="hr-HR"/>
    </w:rPr>
  </w:style>
  <w:style w:customStyle="true" w:styleId="xl151" w:type="paragraph">
    <w:name w:val="xl151"/>
    <w:basedOn w:val="Normal"/>
    <w:rsid w:val="001E3364"/>
    <w:pPr>
      <w:pBdr>
        <w:top w:space="0" w:sz="4" w:color="auto" w:val="single"/>
        <w:left w:space="0" w:sz="4" w:color="auto" w:val="single"/>
        <w:bottom w:space="0" w:sz="4" w:color="auto" w:val="single"/>
      </w:pBdr>
      <w:spacing w:lineRule="auto" w:line="240" w:afterAutospacing="true" w:after="100" w:beforeAutospacing="true" w:before="100"/>
    </w:pPr>
    <w:rPr>
      <w:rFonts w:cs="Arial" w:eastAsia="Times New Roman" w:hAnsi="Arial" w:ascii="Arial"/>
      <w:sz w:val="16"/>
      <w:szCs w:val="16"/>
      <w:lang w:eastAsia="hr-HR"/>
    </w:rPr>
  </w:style>
  <w:style w:customStyle="true" w:styleId="xl152" w:type="paragraph">
    <w:name w:val="xl152"/>
    <w:basedOn w:val="Normal"/>
    <w:rsid w:val="001E3364"/>
    <w:pPr>
      <w:pBdr>
        <w:top w:space="0" w:sz="4" w:color="auto" w:val="single"/>
        <w:left w:space="0" w:sz="4" w:color="auto" w:val="single"/>
        <w:bottom w:space="0" w:sz="4" w:color="auto" w:val="single"/>
      </w:pBdr>
      <w:spacing w:lineRule="auto" w:line="240" w:afterAutospacing="true" w:after="100" w:beforeAutospacing="true" w:before="100"/>
    </w:pPr>
    <w:rPr>
      <w:rFonts w:cs="Arial" w:eastAsia="Times New Roman" w:hAnsi="Arial" w:ascii="Arial"/>
      <w:sz w:val="16"/>
      <w:szCs w:val="16"/>
      <w:lang w:eastAsia="hr-HR"/>
    </w:rPr>
  </w:style>
  <w:style w:customStyle="true" w:styleId="xl153" w:type="paragraph">
    <w:name w:val="xl153"/>
    <w:basedOn w:val="Normal"/>
    <w:rsid w:val="001E3364"/>
    <w:pPr>
      <w:pBdr>
        <w:top w:space="0" w:sz="4" w:color="auto" w:val="single"/>
        <w:left w:space="0" w:sz="4" w:color="auto" w:val="single"/>
        <w:bottom w:space="0" w:sz="4" w:color="auto" w:val="single"/>
        <w:right w:space="0" w:sz="4" w:color="auto" w:val="single"/>
      </w:pBdr>
      <w:shd w:fill="FDE9D9" w:color="auto" w:val="clear"/>
      <w:spacing w:lineRule="auto" w:line="240" w:afterAutospacing="true" w:after="100" w:beforeAutospacing="true" w:before="100"/>
    </w:pPr>
    <w:rPr>
      <w:rFonts w:cs="Arial" w:eastAsia="Times New Roman" w:hAnsi="Arial" w:ascii="Arial"/>
      <w:sz w:val="16"/>
      <w:szCs w:val="16"/>
      <w:lang w:eastAsia="hr-HR"/>
    </w:rPr>
  </w:style>
  <w:style w:customStyle="true" w:styleId="xl154" w:type="paragraph">
    <w:name w:val="xl154"/>
    <w:basedOn w:val="Normal"/>
    <w:rsid w:val="001E3364"/>
    <w:pPr>
      <w:pBdr>
        <w:right w:space="0" w:sz="4" w:color="auto" w:val="single"/>
      </w:pBdr>
      <w:spacing w:lineRule="auto" w:line="240" w:afterAutospacing="true" w:after="100" w:beforeAutospacing="true" w:before="100"/>
    </w:pPr>
    <w:rPr>
      <w:rFonts w:cs="Arial" w:eastAsia="Times New Roman" w:hAnsi="Arial" w:ascii="Arial"/>
      <w:sz w:val="16"/>
      <w:szCs w:val="16"/>
      <w:lang w:eastAsia="hr-HR"/>
    </w:rPr>
  </w:style>
  <w:style w:customStyle="true" w:styleId="xl155" w:type="paragraph">
    <w:name w:val="xl155"/>
    <w:basedOn w:val="Normal"/>
    <w:rsid w:val="001E3364"/>
    <w:pPr>
      <w:pBdr>
        <w:left w:space="0" w:sz="4" w:color="auto" w:val="single"/>
      </w:pBdr>
      <w:spacing w:lineRule="auto" w:line="240" w:afterAutospacing="true" w:after="100" w:beforeAutospacing="true" w:before="100"/>
    </w:pPr>
    <w:rPr>
      <w:rFonts w:cs="Arial" w:eastAsia="Times New Roman" w:hAnsi="Arial" w:ascii="Arial"/>
      <w:sz w:val="16"/>
      <w:szCs w:val="16"/>
      <w:lang w:eastAsia="hr-HR"/>
    </w:rPr>
  </w:style>
  <w:style w:customStyle="true" w:styleId="xl156" w:type="paragraph">
    <w:name w:val="xl156"/>
    <w:basedOn w:val="Normal"/>
    <w:rsid w:val="001E3364"/>
    <w:pPr>
      <w:pBdr>
        <w:right w:space="0" w:sz="4" w:color="auto" w:val="single"/>
      </w:pBdr>
      <w:spacing w:lineRule="auto" w:line="240" w:afterAutospacing="true" w:after="100" w:beforeAutospacing="true" w:before="100"/>
    </w:pPr>
    <w:rPr>
      <w:rFonts w:cs="Arial" w:eastAsia="Times New Roman" w:hAnsi="Arial" w:ascii="Arial"/>
      <w:sz w:val="16"/>
      <w:szCs w:val="16"/>
      <w:lang w:eastAsia="hr-HR"/>
    </w:rPr>
  </w:style>
  <w:style w:customStyle="true" w:styleId="xl157" w:type="paragraph">
    <w:name w:val="xl157"/>
    <w:basedOn w:val="Normal"/>
    <w:rsid w:val="001E3364"/>
    <w:pPr>
      <w:pBdr>
        <w:left w:space="0" w:sz="4" w:color="auto" w:val="single"/>
        <w:bottom w:space="0" w:sz="4" w:color="auto" w:val="single"/>
      </w:pBdr>
      <w:spacing w:lineRule="auto" w:line="240" w:afterAutospacing="true" w:after="100" w:beforeAutospacing="true" w:before="100"/>
    </w:pPr>
    <w:rPr>
      <w:rFonts w:cs="Arial" w:eastAsia="Times New Roman" w:hAnsi="Arial" w:ascii="Arial"/>
      <w:sz w:val="16"/>
      <w:szCs w:val="16"/>
      <w:lang w:eastAsia="hr-HR"/>
    </w:rPr>
  </w:style>
  <w:style w:customStyle="true" w:styleId="xl158" w:type="paragraph">
    <w:name w:val="xl158"/>
    <w:basedOn w:val="Normal"/>
    <w:rsid w:val="001E3364"/>
    <w:pPr>
      <w:pBdr>
        <w:bottom w:space="0" w:sz="4" w:color="auto" w:val="single"/>
      </w:pBdr>
      <w:spacing w:lineRule="auto" w:line="240" w:afterAutospacing="true" w:after="100" w:beforeAutospacing="true" w:before="100"/>
    </w:pPr>
    <w:rPr>
      <w:rFonts w:cs="Arial" w:eastAsia="Times New Roman" w:hAnsi="Arial" w:ascii="Arial"/>
      <w:sz w:val="16"/>
      <w:szCs w:val="16"/>
      <w:lang w:eastAsia="hr-HR"/>
    </w:rPr>
  </w:style>
  <w:style w:customStyle="true" w:styleId="xl159" w:type="paragraph">
    <w:name w:val="xl159"/>
    <w:basedOn w:val="Normal"/>
    <w:rsid w:val="001E3364"/>
    <w:pPr>
      <w:pBdr>
        <w:bottom w:space="0" w:sz="4" w:color="auto" w:val="single"/>
        <w:right w:space="0" w:sz="4" w:color="auto" w:val="single"/>
      </w:pBdr>
      <w:spacing w:lineRule="auto" w:line="240" w:afterAutospacing="true" w:after="100" w:beforeAutospacing="true" w:before="100"/>
    </w:pPr>
    <w:rPr>
      <w:rFonts w:cs="Arial" w:eastAsia="Times New Roman" w:hAnsi="Arial" w:ascii="Arial"/>
      <w:sz w:val="16"/>
      <w:szCs w:val="16"/>
      <w:lang w:eastAsia="hr-HR"/>
    </w:rPr>
  </w:style>
  <w:style w:customStyle="true" w:styleId="xl160" w:type="paragraph">
    <w:name w:val="xl160"/>
    <w:basedOn w:val="Normal"/>
    <w:rsid w:val="001E3364"/>
    <w:pPr>
      <w:pBdr>
        <w:left w:space="0" w:sz="4" w:color="auto" w:val="single"/>
        <w:bottom w:space="0" w:sz="4" w:color="auto" w:val="single"/>
      </w:pBdr>
      <w:spacing w:lineRule="auto" w:line="240" w:afterAutospacing="true" w:after="100" w:beforeAutospacing="true" w:before="100"/>
    </w:pPr>
    <w:rPr>
      <w:rFonts w:cs="Arial" w:eastAsia="Times New Roman" w:hAnsi="Arial" w:ascii="Arial"/>
      <w:b/>
      <w:bCs/>
      <w:sz w:val="16"/>
      <w:szCs w:val="16"/>
      <w:lang w:eastAsia="hr-HR"/>
    </w:rPr>
  </w:style>
  <w:style w:customStyle="true" w:styleId="xl161" w:type="paragraph">
    <w:name w:val="xl161"/>
    <w:basedOn w:val="Normal"/>
    <w:rsid w:val="001E3364"/>
    <w:pPr>
      <w:pBdr>
        <w:top w:space="0" w:sz="4" w:color="auto" w:val="single"/>
        <w:left w:space="0" w:sz="4" w:color="auto" w:val="single"/>
      </w:pBdr>
      <w:shd w:fill="969696" w:color="auto" w:val="clear"/>
      <w:spacing w:lineRule="auto" w:line="240" w:afterAutospacing="true" w:after="100" w:beforeAutospacing="true" w:before="100"/>
      <w:jc w:val="center"/>
    </w:pPr>
    <w:rPr>
      <w:rFonts w:cs="Arial" w:eastAsia="Times New Roman" w:hAnsi="Arial" w:ascii="Arial"/>
      <w:b/>
      <w:bCs/>
      <w:color w:val="FFFFFF"/>
      <w:sz w:val="16"/>
      <w:szCs w:val="16"/>
      <w:lang w:eastAsia="hr-HR"/>
    </w:rPr>
  </w:style>
  <w:style w:customStyle="true" w:styleId="xl162" w:type="paragraph">
    <w:name w:val="xl162"/>
    <w:basedOn w:val="Normal"/>
    <w:rsid w:val="001E3364"/>
    <w:pPr>
      <w:pBdr>
        <w:top w:space="0" w:sz="4" w:color="auto" w:val="single"/>
        <w:left w:space="0" w:sz="4" w:color="auto" w:val="single"/>
        <w:right w:space="0" w:sz="4" w:color="auto" w:val="single"/>
      </w:pBdr>
      <w:shd w:fill="969696" w:color="auto" w:val="clear"/>
      <w:spacing w:lineRule="auto" w:line="240" w:afterAutospacing="true" w:after="100" w:beforeAutospacing="true" w:before="100"/>
      <w:jc w:val="center"/>
    </w:pPr>
    <w:rPr>
      <w:rFonts w:cs="Arial" w:eastAsia="Times New Roman" w:hAnsi="Arial" w:ascii="Arial"/>
      <w:b/>
      <w:bCs/>
      <w:color w:val="FFFFFF"/>
      <w:sz w:val="16"/>
      <w:szCs w:val="16"/>
      <w:lang w:eastAsia="hr-HR"/>
    </w:rPr>
  </w:style>
  <w:style w:customStyle="true" w:styleId="xl163" w:type="paragraph">
    <w:name w:val="xl163"/>
    <w:basedOn w:val="Normal"/>
    <w:rsid w:val="001E3364"/>
    <w:pPr>
      <w:pBdr>
        <w:top w:space="0" w:sz="4" w:color="auto" w:val="single"/>
        <w:bottom w:space="0" w:sz="4" w:color="auto" w:val="single"/>
      </w:pBdr>
      <w:spacing w:lineRule="auto" w:line="240" w:afterAutospacing="true" w:after="100" w:beforeAutospacing="true" w:before="100"/>
    </w:pPr>
    <w:rPr>
      <w:rFonts w:cs="Arial" w:eastAsia="Times New Roman" w:hAnsi="Arial" w:ascii="Arial"/>
      <w:sz w:val="16"/>
      <w:szCs w:val="16"/>
      <w:lang w:eastAsia="hr-HR"/>
    </w:rPr>
  </w:style>
  <w:style w:customStyle="true" w:styleId="xl164" w:type="paragraph">
    <w:name w:val="xl164"/>
    <w:basedOn w:val="Normal"/>
    <w:rsid w:val="001E3364"/>
    <w:pPr>
      <w:pBdr>
        <w:top w:space="0" w:sz="4" w:color="auto" w:val="single"/>
        <w:bottom w:space="0" w:sz="4" w:color="auto" w:val="single"/>
        <w:right w:space="0" w:sz="4" w:color="auto" w:val="single"/>
      </w:pBdr>
      <w:spacing w:lineRule="auto" w:line="240" w:afterAutospacing="true" w:after="100" w:beforeAutospacing="true" w:before="100"/>
    </w:pPr>
    <w:rPr>
      <w:rFonts w:cs="Arial" w:eastAsia="Times New Roman" w:hAnsi="Arial" w:ascii="Arial"/>
      <w:sz w:val="16"/>
      <w:szCs w:val="16"/>
      <w:lang w:eastAsia="hr-HR"/>
    </w:rPr>
  </w:style>
  <w:style w:customStyle="true" w:styleId="xl165" w:type="paragraph">
    <w:name w:val="xl165"/>
    <w:basedOn w:val="Normal"/>
    <w:rsid w:val="001E3364"/>
    <w:pPr>
      <w:pBdr>
        <w:top w:space="0" w:sz="4" w:color="auto" w:val="single"/>
        <w:left w:space="0" w:sz="4" w:color="auto" w:val="single"/>
        <w:bottom w:space="0" w:sz="4" w:color="auto" w:val="single"/>
      </w:pBdr>
      <w:shd w:fill="DCE6F1" w:color="auto" w:val="clear"/>
      <w:spacing w:lineRule="auto" w:line="240" w:afterAutospacing="true" w:after="100" w:beforeAutospacing="true" w:before="100"/>
    </w:pPr>
    <w:rPr>
      <w:rFonts w:cs="Arial" w:eastAsia="Times New Roman" w:hAnsi="Arial" w:ascii="Arial"/>
      <w:b/>
      <w:bCs/>
      <w:color w:val="000080"/>
      <w:sz w:val="20"/>
      <w:szCs w:val="20"/>
      <w:lang w:eastAsia="hr-HR"/>
    </w:rPr>
  </w:style>
  <w:style w:customStyle="true" w:styleId="xl166" w:type="paragraph">
    <w:name w:val="xl166"/>
    <w:basedOn w:val="Normal"/>
    <w:rsid w:val="001E3364"/>
    <w:pPr>
      <w:pBdr>
        <w:top w:space="0" w:sz="4" w:color="auto" w:val="single"/>
        <w:bottom w:space="0" w:sz="4" w:color="auto" w:val="single"/>
      </w:pBdr>
      <w:shd w:fill="DCE6F1" w:color="auto" w:val="clear"/>
      <w:spacing w:lineRule="auto" w:line="240" w:afterAutospacing="true" w:after="100" w:beforeAutospacing="true" w:before="100"/>
    </w:pPr>
    <w:rPr>
      <w:rFonts w:cs="Arial" w:eastAsia="Times New Roman" w:hAnsi="Arial" w:ascii="Arial"/>
      <w:sz w:val="16"/>
      <w:szCs w:val="16"/>
      <w:lang w:eastAsia="hr-HR"/>
    </w:rPr>
  </w:style>
  <w:style w:customStyle="true" w:styleId="xl167" w:type="paragraph">
    <w:name w:val="xl167"/>
    <w:basedOn w:val="Normal"/>
    <w:rsid w:val="001E3364"/>
    <w:pPr>
      <w:pBdr>
        <w:top w:space="0" w:sz="4" w:color="auto" w:val="single"/>
        <w:bottom w:space="0" w:sz="4" w:color="auto" w:val="single"/>
        <w:right w:space="0" w:sz="4" w:color="auto" w:val="single"/>
      </w:pBdr>
      <w:shd w:fill="DCE6F1" w:color="auto" w:val="clear"/>
      <w:spacing w:lineRule="auto" w:line="240" w:afterAutospacing="true" w:after="100" w:beforeAutospacing="true" w:before="100"/>
    </w:pPr>
    <w:rPr>
      <w:rFonts w:cs="Arial" w:eastAsia="Times New Roman" w:hAnsi="Arial" w:ascii="Arial"/>
      <w:sz w:val="16"/>
      <w:szCs w:val="16"/>
      <w:lang w:eastAsia="hr-HR"/>
    </w:rPr>
  </w:style>
  <w:style w:customStyle="true" w:styleId="xl168" w:type="paragraph">
    <w:name w:val="xl168"/>
    <w:basedOn w:val="Normal"/>
    <w:rsid w:val="001E3364"/>
    <w:pPr>
      <w:pBdr>
        <w:top w:space="0" w:sz="4" w:color="auto" w:val="single"/>
        <w:bottom w:space="0" w:sz="4" w:color="auto" w:val="single"/>
      </w:pBdr>
      <w:shd w:fill="DCE6F1" w:color="auto" w:val="clear"/>
      <w:spacing w:lineRule="auto" w:line="240" w:afterAutospacing="true" w:after="100" w:beforeAutospacing="true" w:before="100"/>
    </w:pPr>
    <w:rPr>
      <w:rFonts w:cs="Arial" w:eastAsia="Times New Roman" w:hAnsi="Arial" w:ascii="Arial"/>
      <w:color w:val="000080"/>
      <w:sz w:val="16"/>
      <w:szCs w:val="16"/>
      <w:lang w:eastAsia="hr-HR"/>
    </w:rPr>
  </w:style>
  <w:style w:customStyle="true" w:styleId="xl169" w:type="paragraph">
    <w:name w:val="xl169"/>
    <w:basedOn w:val="Normal"/>
    <w:rsid w:val="001E3364"/>
    <w:pPr>
      <w:pBdr>
        <w:left w:space="0" w:sz="4" w:color="auto" w:val="single"/>
        <w:bottom w:space="0" w:sz="4" w:color="auto" w:val="single"/>
      </w:pBdr>
      <w:spacing w:lineRule="auto" w:line="240" w:afterAutospacing="true" w:after="100" w:beforeAutospacing="true" w:before="100"/>
      <w:jc w:val="center"/>
    </w:pPr>
    <w:rPr>
      <w:rFonts w:cs="Arial" w:eastAsia="Times New Roman" w:hAnsi="Arial" w:ascii="Arial"/>
      <w:b/>
      <w:bCs/>
      <w:sz w:val="16"/>
      <w:szCs w:val="16"/>
      <w:lang w:eastAsia="hr-HR"/>
    </w:rPr>
  </w:style>
  <w:style w:customStyle="true" w:styleId="xl170" w:type="paragraph">
    <w:name w:val="xl170"/>
    <w:basedOn w:val="Normal"/>
    <w:rsid w:val="001E3364"/>
    <w:pPr>
      <w:pBdr>
        <w:top w:space="0" w:sz="4" w:color="auto" w:val="single"/>
        <w:left w:space="0" w:sz="4" w:color="auto" w:val="single"/>
        <w:bottom w:space="0" w:sz="4" w:color="auto" w:val="single"/>
      </w:pBdr>
      <w:spacing w:lineRule="auto" w:line="240" w:afterAutospacing="true" w:after="100" w:beforeAutospacing="true" w:before="100"/>
      <w:jc w:val="center"/>
    </w:pPr>
    <w:rPr>
      <w:rFonts w:cs="Arial" w:eastAsia="Times New Roman" w:hAnsi="Arial" w:ascii="Arial"/>
      <w:b/>
      <w:bCs/>
      <w:sz w:val="16"/>
      <w:szCs w:val="16"/>
      <w:lang w:eastAsia="hr-HR"/>
    </w:rPr>
  </w:style>
  <w:style w:customStyle="true" w:styleId="xl171" w:type="paragraph">
    <w:name w:val="xl171"/>
    <w:basedOn w:val="Normal"/>
    <w:rsid w:val="001E3364"/>
    <w:pPr>
      <w:pBdr>
        <w:top w:space="0" w:sz="4" w:color="auto" w:val="single"/>
        <w:left w:space="0" w:sz="4" w:color="auto" w:val="single"/>
        <w:bottom w:space="0" w:sz="4" w:color="auto" w:val="single"/>
      </w:pBdr>
      <w:spacing w:lineRule="auto" w:line="240" w:afterAutospacing="true" w:after="100" w:beforeAutospacing="true" w:before="100"/>
      <w:jc w:val="center"/>
    </w:pPr>
    <w:rPr>
      <w:rFonts w:cs="Arial" w:eastAsia="Times New Roman" w:hAnsi="Arial" w:ascii="Arial"/>
      <w:b/>
      <w:bCs/>
      <w:sz w:val="16"/>
      <w:szCs w:val="16"/>
      <w:lang w:eastAsia="hr-HR"/>
    </w:rPr>
  </w:style>
  <w:style w:customStyle="true" w:styleId="xl172" w:type="paragraph">
    <w:name w:val="xl172"/>
    <w:basedOn w:val="Normal"/>
    <w:rsid w:val="001E3364"/>
    <w:pPr>
      <w:pBdr>
        <w:top w:space="0" w:sz="4" w:color="auto" w:val="single"/>
        <w:bottom w:space="0" w:sz="4" w:color="auto" w:val="single"/>
      </w:pBdr>
      <w:spacing w:lineRule="auto" w:line="240" w:afterAutospacing="true" w:after="100" w:beforeAutospacing="true" w:before="100"/>
    </w:pPr>
    <w:rPr>
      <w:rFonts w:cs="Arial" w:eastAsia="Times New Roman" w:hAnsi="Arial" w:ascii="Arial"/>
      <w:color w:val="000080"/>
      <w:sz w:val="16"/>
      <w:szCs w:val="16"/>
      <w:lang w:eastAsia="hr-HR"/>
    </w:rPr>
  </w:style>
  <w:style w:customStyle="true" w:styleId="xl173" w:type="paragraph">
    <w:name w:val="xl173"/>
    <w:basedOn w:val="Normal"/>
    <w:rsid w:val="001E3364"/>
    <w:pPr>
      <w:pBdr>
        <w:top w:space="0" w:sz="4" w:color="auto" w:val="single"/>
        <w:left w:space="0" w:sz="4" w:color="auto" w:val="single"/>
        <w:bottom w:space="0" w:sz="4" w:color="auto" w:val="single"/>
      </w:pBdr>
      <w:spacing w:lineRule="auto" w:line="240" w:afterAutospacing="true" w:after="100" w:beforeAutospacing="true" w:before="100"/>
      <w:jc w:val="center"/>
    </w:pPr>
    <w:rPr>
      <w:rFonts w:cs="Arial" w:eastAsia="Times New Roman" w:hAnsi="Arial" w:ascii="Arial"/>
      <w:b/>
      <w:bCs/>
      <w:sz w:val="16"/>
      <w:szCs w:val="16"/>
      <w:lang w:eastAsia="hr-HR"/>
    </w:rPr>
  </w:style>
  <w:style w:customStyle="true" w:styleId="xl174" w:type="paragraph">
    <w:name w:val="xl174"/>
    <w:basedOn w:val="Normal"/>
    <w:rsid w:val="001E3364"/>
    <w:pPr>
      <w:pBdr>
        <w:top w:space="0" w:sz="4" w:color="auto" w:val="single"/>
        <w:left w:space="0" w:sz="4" w:color="auto" w:val="single"/>
        <w:bottom w:space="0" w:sz="4" w:color="auto" w:val="single"/>
      </w:pBdr>
      <w:shd w:fill="DCE6F1" w:color="auto" w:val="clear"/>
      <w:spacing w:lineRule="auto" w:line="240" w:afterAutospacing="true" w:after="100" w:beforeAutospacing="true" w:before="100"/>
    </w:pPr>
    <w:rPr>
      <w:rFonts w:cs="Arial" w:eastAsia="Times New Roman" w:hAnsi="Arial" w:ascii="Arial"/>
      <w:sz w:val="16"/>
      <w:szCs w:val="16"/>
      <w:lang w:eastAsia="hr-HR"/>
    </w:rPr>
  </w:style>
  <w:style w:customStyle="true" w:styleId="xl175" w:type="paragraph">
    <w:name w:val="xl175"/>
    <w:basedOn w:val="Normal"/>
    <w:rsid w:val="001E3364"/>
    <w:pPr>
      <w:pBdr>
        <w:left w:space="0" w:sz="4" w:color="auto" w:val="single"/>
      </w:pBdr>
      <w:spacing w:lineRule="auto" w:line="240" w:afterAutospacing="true" w:after="100" w:beforeAutospacing="true" w:before="100"/>
    </w:pPr>
    <w:rPr>
      <w:rFonts w:cs="Arial" w:eastAsia="Times New Roman" w:hAnsi="Arial" w:ascii="Arial"/>
      <w:sz w:val="16"/>
      <w:szCs w:val="16"/>
      <w:lang w:eastAsia="hr-HR"/>
    </w:rPr>
  </w:style>
  <w:style w:customStyle="true" w:styleId="xl176" w:type="paragraph">
    <w:name w:val="xl176"/>
    <w:basedOn w:val="Normal"/>
    <w:rsid w:val="001E3364"/>
    <w:pPr>
      <w:pBdr>
        <w:left w:space="0" w:sz="4" w:color="auto" w:val="single"/>
        <w:bottom w:space="0" w:sz="4" w:color="auto" w:val="single"/>
      </w:pBdr>
      <w:spacing w:lineRule="auto" w:line="240" w:afterAutospacing="true" w:after="100" w:beforeAutospacing="true" w:before="100"/>
    </w:pPr>
    <w:rPr>
      <w:rFonts w:cs="Arial" w:eastAsia="Times New Roman" w:hAnsi="Arial" w:ascii="Arial"/>
      <w:sz w:val="16"/>
      <w:szCs w:val="16"/>
      <w:lang w:eastAsia="hr-HR"/>
    </w:rPr>
  </w:style>
  <w:style w:customStyle="true" w:styleId="xl177" w:type="paragraph">
    <w:name w:val="xl177"/>
    <w:basedOn w:val="Normal"/>
    <w:rsid w:val="001E3364"/>
    <w:pPr>
      <w:pBdr>
        <w:left w:space="0" w:sz="4" w:color="auto" w:val="single"/>
      </w:pBdr>
      <w:spacing w:lineRule="auto" w:line="240" w:afterAutospacing="true" w:after="100" w:beforeAutospacing="true" w:before="100"/>
    </w:pPr>
    <w:rPr>
      <w:rFonts w:cs="Arial" w:eastAsia="Times New Roman" w:hAnsi="Arial" w:ascii="Arial"/>
      <w:sz w:val="16"/>
      <w:szCs w:val="16"/>
      <w:lang w:eastAsia="hr-HR"/>
    </w:rPr>
  </w:style>
  <w:style w:customStyle="true" w:styleId="xl178" w:type="paragraph">
    <w:name w:val="xl178"/>
    <w:basedOn w:val="Normal"/>
    <w:rsid w:val="001E3364"/>
    <w:pPr>
      <w:pBdr>
        <w:top w:space="0" w:sz="4" w:color="auto" w:val="single"/>
        <w:left w:space="0" w:sz="4" w:color="auto" w:val="single"/>
        <w:bottom w:space="0" w:sz="4" w:color="auto" w:val="single"/>
      </w:pBdr>
      <w:shd w:fill="C0C0C0" w:color="C0C0C0" w:val="pct12"/>
      <w:spacing w:lineRule="auto" w:line="240" w:afterAutospacing="true" w:after="100" w:beforeAutospacing="true" w:before="100"/>
    </w:pPr>
    <w:rPr>
      <w:rFonts w:cs="Arial" w:eastAsia="Times New Roman" w:hAnsi="Arial" w:ascii="Arial"/>
      <w:color w:val="000080"/>
      <w:sz w:val="16"/>
      <w:szCs w:val="16"/>
      <w:lang w:eastAsia="hr-HR"/>
    </w:rPr>
  </w:style>
  <w:style w:customStyle="true" w:styleId="xl179" w:type="paragraph">
    <w:name w:val="xl179"/>
    <w:basedOn w:val="Normal"/>
    <w:rsid w:val="001E3364"/>
    <w:pPr>
      <w:pBdr>
        <w:top w:space="0" w:sz="4" w:color="auto" w:val="single"/>
        <w:left w:space="0" w:sz="4" w:color="auto" w:val="single"/>
        <w:bottom w:space="0" w:sz="4" w:color="auto" w:val="single"/>
        <w:right w:space="0" w:sz="4" w:color="auto" w:val="single"/>
      </w:pBdr>
      <w:shd w:fill="C0C0C0" w:color="C0C0C0" w:val="pct12"/>
      <w:spacing w:lineRule="auto" w:line="240" w:afterAutospacing="true" w:after="100" w:beforeAutospacing="true" w:before="100"/>
    </w:pPr>
    <w:rPr>
      <w:rFonts w:cs="Arial" w:eastAsia="Times New Roman" w:hAnsi="Arial" w:ascii="Arial"/>
      <w:color w:val="000080"/>
      <w:sz w:val="16"/>
      <w:szCs w:val="16"/>
      <w:lang w:eastAsia="hr-HR"/>
    </w:rPr>
  </w:style>
  <w:style w:customStyle="true" w:styleId="xl180" w:type="paragraph">
    <w:name w:val="xl180"/>
    <w:basedOn w:val="Normal"/>
    <w:rsid w:val="001E3364"/>
    <w:pPr>
      <w:pBdr>
        <w:top w:space="0" w:sz="4" w:color="auto" w:val="single"/>
        <w:bottom w:space="0" w:sz="4" w:color="auto" w:val="single"/>
      </w:pBdr>
      <w:spacing w:lineRule="auto" w:line="240" w:afterAutospacing="true" w:after="100" w:beforeAutospacing="true" w:before="100"/>
    </w:pPr>
    <w:rPr>
      <w:rFonts w:cs="Arial" w:eastAsia="Times New Roman" w:hAnsi="Arial" w:ascii="Arial"/>
      <w:color w:val="000080"/>
      <w:sz w:val="16"/>
      <w:szCs w:val="16"/>
      <w:lang w:eastAsia="hr-HR"/>
    </w:rPr>
  </w:style>
  <w:style w:customStyle="true" w:styleId="xl181" w:type="paragraph">
    <w:name w:val="xl181"/>
    <w:basedOn w:val="Normal"/>
    <w:rsid w:val="001E3364"/>
    <w:pPr>
      <w:pBdr>
        <w:top w:space="0" w:sz="4" w:color="auto" w:val="single"/>
        <w:left w:space="0" w:sz="4" w:color="auto" w:val="single"/>
        <w:bottom w:space="0" w:sz="4" w:color="auto" w:val="single"/>
      </w:pBdr>
      <w:spacing w:lineRule="auto" w:line="240" w:afterAutospacing="true" w:after="100" w:beforeAutospacing="true" w:before="100"/>
    </w:pPr>
    <w:rPr>
      <w:rFonts w:cs="Arial" w:eastAsia="Times New Roman" w:hAnsi="Arial" w:ascii="Arial"/>
      <w:sz w:val="16"/>
      <w:szCs w:val="16"/>
      <w:lang w:eastAsia="hr-HR"/>
    </w:rPr>
  </w:style>
  <w:style w:customStyle="true" w:styleId="font6" w:type="paragraph">
    <w:name w:val="font6"/>
    <w:basedOn w:val="Normal"/>
    <w:rsid w:val="001E3364"/>
    <w:pPr>
      <w:spacing w:lineRule="auto" w:line="240" w:afterAutospacing="true" w:after="100" w:beforeAutospacing="true" w:before="100"/>
    </w:pPr>
    <w:rPr>
      <w:rFonts w:cs="Tahoma" w:eastAsia="Times New Roman" w:hAnsi="Tahoma" w:ascii="Tahoma"/>
      <w:color w:val="000000"/>
      <w:sz w:val="18"/>
      <w:szCs w:val="18"/>
      <w:lang w:eastAsia="hr-HR"/>
    </w:rPr>
  </w:style>
  <w:style w:customStyle="true" w:styleId="xl182" w:type="paragraph">
    <w:name w:val="xl182"/>
    <w:basedOn w:val="Normal"/>
    <w:rsid w:val="001E3364"/>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cs="Times New Roman" w:eastAsia="Times New Roman" w:hAnsi="Times New Roman" w:ascii="Times New Roman"/>
      <w:b/>
      <w:bCs/>
      <w:sz w:val="16"/>
      <w:szCs w:val="16"/>
      <w:lang w:eastAsia="hr-HR"/>
    </w:rPr>
  </w:style>
  <w:style w:customStyle="true" w:styleId="xl183" w:type="paragraph">
    <w:name w:val="xl183"/>
    <w:basedOn w:val="Normal"/>
    <w:rsid w:val="001E3364"/>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pPr>
    <w:rPr>
      <w:rFonts w:cs="Times New Roman" w:eastAsia="Times New Roman" w:hAnsi="Times New Roman" w:ascii="Times New Roman"/>
      <w:b/>
      <w:bCs/>
      <w:sz w:val="16"/>
      <w:szCs w:val="16"/>
      <w:lang w:eastAsia="hr-HR"/>
    </w:rPr>
  </w:style>
  <w:style w:customStyle="true" w:styleId="xl184" w:type="paragraph">
    <w:name w:val="xl184"/>
    <w:basedOn w:val="Normal"/>
    <w:rsid w:val="001E3364"/>
    <w:pPr>
      <w:spacing w:lineRule="auto" w:line="240" w:afterAutospacing="true" w:after="100" w:beforeAutospacing="true" w:before="100"/>
      <w:jc w:val="right"/>
    </w:pPr>
    <w:rPr>
      <w:rFonts w:cs="Times New Roman" w:eastAsia="Times New Roman" w:hAnsi="Times New Roman" w:ascii="Times New Roman"/>
      <w:sz w:val="16"/>
      <w:szCs w:val="16"/>
      <w:lang w:eastAsia="hr-HR"/>
    </w:rPr>
  </w:style>
  <w:style w:customStyle="true" w:styleId="xl185" w:type="paragraph">
    <w:name w:val="xl185"/>
    <w:basedOn w:val="Normal"/>
    <w:rsid w:val="001E3364"/>
    <w:pPr>
      <w:spacing w:lineRule="auto" w:line="240" w:afterAutospacing="true" w:after="100" w:beforeAutospacing="true" w:before="100"/>
      <w:jc w:val="right"/>
    </w:pPr>
    <w:rPr>
      <w:rFonts w:cs="Times New Roman" w:eastAsia="Times New Roman" w:hAnsi="Times New Roman" w:ascii="Times New Roman"/>
      <w:sz w:val="16"/>
      <w:szCs w:val="16"/>
      <w:lang w:eastAsia="hr-HR"/>
    </w:rPr>
  </w:style>
  <w:style w:customStyle="true" w:styleId="xl186" w:type="paragraph">
    <w:name w:val="xl186"/>
    <w:basedOn w:val="Normal"/>
    <w:rsid w:val="001E3364"/>
    <w:pPr>
      <w:spacing w:lineRule="auto" w:line="240" w:afterAutospacing="true" w:after="100" w:beforeAutospacing="true" w:before="100"/>
      <w:jc w:val="right"/>
    </w:pPr>
    <w:rPr>
      <w:rFonts w:cs="Times New Roman" w:eastAsia="Times New Roman" w:hAnsi="Times New Roman" w:ascii="Times New Roman"/>
      <w:b/>
      <w:bCs/>
      <w:sz w:val="16"/>
      <w:szCs w:val="16"/>
      <w:lang w:eastAsia="hr-HR"/>
    </w:rPr>
  </w:style>
  <w:style w:customStyle="true" w:styleId="xl187" w:type="paragraph">
    <w:name w:val="xl187"/>
    <w:basedOn w:val="Normal"/>
    <w:rsid w:val="001E3364"/>
    <w:pPr>
      <w:spacing w:lineRule="auto" w:line="240" w:afterAutospacing="true" w:after="100" w:beforeAutospacing="true" w:before="100"/>
      <w:jc w:val="center"/>
    </w:pPr>
    <w:rPr>
      <w:rFonts w:cs="Times New Roman" w:eastAsia="Times New Roman" w:hAnsi="Times New Roman" w:ascii="Times New Roman"/>
      <w:sz w:val="16"/>
      <w:szCs w:val="16"/>
      <w:lang w:eastAsia="hr-HR"/>
    </w:rPr>
  </w:style>
  <w:style w:customStyle="true" w:styleId="xl188" w:type="paragraph">
    <w:name w:val="xl188"/>
    <w:basedOn w:val="Normal"/>
    <w:rsid w:val="001E3364"/>
    <w:pPr>
      <w:spacing w:lineRule="auto" w:line="240" w:afterAutospacing="true" w:after="100" w:beforeAutospacing="true" w:before="100"/>
      <w:jc w:val="center"/>
    </w:pPr>
    <w:rPr>
      <w:rFonts w:cs="Times New Roman" w:eastAsia="Times New Roman" w:hAnsi="Times New Roman" w:ascii="Times New Roman"/>
      <w:sz w:val="16"/>
      <w:szCs w:val="16"/>
      <w:lang w:eastAsia="hr-HR"/>
    </w:rPr>
  </w:style>
  <w:style w:customStyle="true" w:styleId="xl189" w:type="paragraph">
    <w:name w:val="xl189"/>
    <w:basedOn w:val="Normal"/>
    <w:rsid w:val="001E3364"/>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right"/>
    </w:pPr>
    <w:rPr>
      <w:rFonts w:cs="Times New Roman" w:eastAsia="Times New Roman" w:hAnsi="Times New Roman" w:ascii="Times New Roman"/>
      <w:b/>
      <w:bCs/>
      <w:sz w:val="16"/>
      <w:szCs w:val="16"/>
      <w:lang w:eastAsia="hr-HR"/>
    </w:rPr>
  </w:style>
  <w:style w:customStyle="true" w:styleId="xl190" w:type="paragraph">
    <w:name w:val="xl190"/>
    <w:basedOn w:val="Normal"/>
    <w:rsid w:val="001E3364"/>
    <w:pPr>
      <w:pBdr>
        <w:top w:space="0" w:sz="4" w:color="auto" w:val="single"/>
        <w:left w:space="0" w:sz="4" w:color="auto" w:val="single"/>
        <w:right w:space="0" w:sz="4" w:color="auto" w:val="single"/>
      </w:pBdr>
      <w:spacing w:lineRule="auto" w:line="240" w:afterAutospacing="true" w:after="100" w:beforeAutospacing="true" w:before="100"/>
      <w:jc w:val="center"/>
    </w:pPr>
    <w:rPr>
      <w:rFonts w:cs="Times New Roman" w:eastAsia="Times New Roman" w:hAnsi="Times New Roman" w:ascii="Times New Roman"/>
      <w:sz w:val="16"/>
      <w:szCs w:val="16"/>
      <w:lang w:eastAsia="hr-HR"/>
    </w:rPr>
  </w:style>
  <w:style w:customStyle="true" w:styleId="xl191" w:type="paragraph">
    <w:name w:val="xl191"/>
    <w:basedOn w:val="Normal"/>
    <w:rsid w:val="001E3364"/>
    <w:pPr>
      <w:pBdr>
        <w:left w:space="0" w:sz="4" w:color="auto" w:val="single"/>
        <w:bottom w:space="0" w:sz="4" w:color="auto" w:val="single"/>
        <w:right w:space="0" w:sz="4" w:color="auto" w:val="single"/>
      </w:pBdr>
      <w:spacing w:lineRule="auto" w:line="240" w:afterAutospacing="true" w:after="100" w:beforeAutospacing="true" w:before="100"/>
      <w:jc w:val="center"/>
    </w:pPr>
    <w:rPr>
      <w:rFonts w:cs="Times New Roman" w:eastAsia="Times New Roman" w:hAnsi="Times New Roman" w:ascii="Times New Roman"/>
      <w:sz w:val="16"/>
      <w:szCs w:val="16"/>
      <w:lang w:eastAsia="hr-HR"/>
    </w:rPr>
  </w:style>
  <w:style w:customStyle="true" w:styleId="xl192" w:type="paragraph">
    <w:name w:val="xl192"/>
    <w:basedOn w:val="Normal"/>
    <w:rsid w:val="001E3364"/>
    <w:pPr>
      <w:pBdr>
        <w:top w:space="0" w:sz="4" w:color="auto" w:val="single"/>
        <w:left w:space="0" w:sz="4" w:color="auto" w:val="single"/>
        <w:right w:space="0" w:sz="4" w:color="auto" w:val="single"/>
      </w:pBdr>
      <w:spacing w:lineRule="auto" w:line="240" w:afterAutospacing="true" w:after="100" w:beforeAutospacing="true" w:before="100"/>
    </w:pPr>
    <w:rPr>
      <w:rFonts w:cs="Times New Roman" w:eastAsia="Times New Roman" w:hAnsi="Times New Roman" w:ascii="Times New Roman"/>
      <w:sz w:val="16"/>
      <w:szCs w:val="16"/>
      <w:lang w:eastAsia="hr-HR"/>
    </w:rPr>
  </w:style>
  <w:style w:customStyle="true" w:styleId="xl193" w:type="paragraph">
    <w:name w:val="xl193"/>
    <w:basedOn w:val="Normal"/>
    <w:rsid w:val="001E3364"/>
    <w:pPr>
      <w:pBdr>
        <w:left w:space="0" w:sz="4" w:color="auto" w:val="single"/>
        <w:bottom w:space="0" w:sz="4" w:color="auto" w:val="single"/>
        <w:right w:space="0" w:sz="4" w:color="auto" w:val="single"/>
      </w:pBdr>
      <w:spacing w:lineRule="auto" w:line="240" w:afterAutospacing="true" w:after="100" w:beforeAutospacing="true" w:before="100"/>
    </w:pPr>
    <w:rPr>
      <w:rFonts w:cs="Times New Roman" w:eastAsia="Times New Roman" w:hAnsi="Times New Roman" w:ascii="Times New Roman"/>
      <w:sz w:val="16"/>
      <w:szCs w:val="16"/>
      <w:lang w:eastAsia="hr-HR"/>
    </w:rPr>
  </w:style>
  <w:style w:customStyle="true" w:styleId="xl194" w:type="paragraph">
    <w:name w:val="xl194"/>
    <w:basedOn w:val="Normal"/>
    <w:rsid w:val="001E3364"/>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cs="Times New Roman" w:eastAsia="Times New Roman" w:hAnsi="Times New Roman" w:ascii="Times New Roman"/>
      <w:sz w:val="16"/>
      <w:szCs w:val="16"/>
      <w:lang w:eastAsia="hr-HR"/>
    </w:rPr>
  </w:style>
  <w:style w:customStyle="true" w:styleId="xl195" w:type="paragraph">
    <w:name w:val="xl195"/>
    <w:basedOn w:val="Normal"/>
    <w:rsid w:val="001E3364"/>
    <w:pPr>
      <w:pBdr>
        <w:top w:space="0" w:sz="4" w:color="auto" w:val="single"/>
        <w:left w:space="0" w:sz="4" w:color="auto" w:val="single"/>
        <w:right w:space="0" w:sz="4" w:color="auto" w:val="single"/>
      </w:pBdr>
      <w:spacing w:lineRule="auto" w:line="240" w:afterAutospacing="true" w:after="100" w:beforeAutospacing="true" w:before="100"/>
      <w:jc w:val="center"/>
    </w:pPr>
    <w:rPr>
      <w:rFonts w:cs="Times New Roman" w:eastAsia="Times New Roman" w:hAnsi="Times New Roman" w:ascii="Times New Roman"/>
      <w:sz w:val="16"/>
      <w:szCs w:val="16"/>
      <w:lang w:eastAsia="hr-HR"/>
    </w:rPr>
  </w:style>
  <w:style w:customStyle="true" w:styleId="xl196" w:type="paragraph">
    <w:name w:val="xl196"/>
    <w:basedOn w:val="Normal"/>
    <w:rsid w:val="001E3364"/>
    <w:pPr>
      <w:pBdr>
        <w:left w:space="0" w:sz="4" w:color="auto" w:val="single"/>
        <w:bottom w:space="0" w:sz="4" w:color="auto" w:val="single"/>
        <w:right w:space="0" w:sz="4" w:color="auto" w:val="single"/>
      </w:pBdr>
      <w:spacing w:lineRule="auto" w:line="240" w:afterAutospacing="true" w:after="100" w:beforeAutospacing="true" w:before="100"/>
      <w:jc w:val="center"/>
    </w:pPr>
    <w:rPr>
      <w:rFonts w:cs="Times New Roman" w:eastAsia="Times New Roman" w:hAnsi="Times New Roman" w:ascii="Times New Roman"/>
      <w:sz w:val="16"/>
      <w:szCs w:val="16"/>
      <w:lang w:eastAsia="hr-HR"/>
    </w:rPr>
  </w:style>
  <w:style w:styleId="Referencakomentara" w:type="character">
    <w:name w:val="annotation reference"/>
    <w:basedOn w:val="Zadanifontodlomka"/>
    <w:uiPriority w:val="99"/>
    <w:semiHidden/>
    <w:unhideWhenUsed/>
    <w:rsid w:val="001E3364"/>
    <w:rPr>
      <w:sz w:val="16"/>
      <w:szCs w:val="16"/>
    </w:rPr>
  </w:style>
  <w:style w:customStyle="true" w:styleId="CharacterStyle3" w:type="character">
    <w:name w:val="Character Style 3"/>
    <w:uiPriority w:val="99"/>
    <w:rsid w:val="001E3364"/>
    <w:rPr>
      <w:rFonts w:cs="Arial" w:hAnsi="Arial" w:ascii="Arial" w:hint="default"/>
      <w:sz w:val="22"/>
      <w:szCs w:val="22"/>
    </w:rPr>
  </w:style>
  <w:style w:customStyle="true" w:styleId="CharacterStyle2" w:type="character">
    <w:name w:val="Character Style 2"/>
    <w:uiPriority w:val="99"/>
    <w:rsid w:val="001E3364"/>
    <w:rPr>
      <w:rFonts w:cs="Arial" w:hAnsi="Arial" w:ascii="Arial" w:hint="default"/>
      <w:sz w:val="18"/>
      <w:szCs w:val="18"/>
    </w:rPr>
  </w:style>
  <w:style w:styleId="Reetkatablice" w:type="table">
    <w:name w:val="Table Grid"/>
    <w:basedOn w:val="Obinatablica"/>
    <w:uiPriority w:val="59"/>
    <w:rsid w:val="001E3364"/>
    <w:pPr>
      <w:spacing w:lineRule="auto" w:line="240" w:after="0"/>
    </w:pPr>
    <w:rPr>
      <w:rFonts w:hAnsiTheme="minorHAnsi" w:asciiTheme="minorHAnsi"/>
      <w:sz w:val="22"/>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Svijetlosjenanje" w:type="table">
    <w:name w:val="Light Shading"/>
    <w:basedOn w:val="Obinatablica"/>
    <w:uiPriority w:val="60"/>
    <w:rsid w:val="001E3364"/>
    <w:pPr>
      <w:spacing w:lineRule="auto" w:line="240" w:after="0"/>
    </w:pPr>
    <w:rPr>
      <w:rFonts w:hAnsiTheme="minorHAnsi" w:asciiTheme="minorHAnsi"/>
      <w:color w:themeShade="BF" w:themeColor="text1" w:val="000000"/>
      <w:sz w:val="22"/>
    </w:rPr>
    <w:tblPr>
      <w:tblStyleRowBandSize w:val="1"/>
      <w:tblStyleColBandSize w:val="1"/>
      <w:tblInd w:type="nil" w:w="0"/>
      <w:tblBorders>
        <w:top w:space="0" w:sz="8" w:themeColor="text1" w:color="000000" w:val="single"/>
        <w:bottom w:space="0" w:sz="8" w:themeColor="text1" w:color="000000" w:val="single"/>
      </w:tblBorders>
    </w:tblPr>
    <w:tblStylePr w:type="firstRow">
      <w:pPr>
        <w:spacing w:lineRule="auto" w:line="240" w:afterAutospacing="false" w:afterLines="0" w:after="0" w:beforeAutospacing="false" w:beforeLines="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Autospacing="false" w:afterLines="0" w:after="0" w:beforeAutospacing="false" w:beforeLines="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60"/>
    <w:rsid w:val="001E3364"/>
    <w:pPr>
      <w:spacing w:lineRule="auto" w:line="240" w:after="0"/>
    </w:pPr>
    <w:rPr>
      <w:rFonts w:hAnsiTheme="minorHAnsi" w:asciiTheme="minorHAnsi"/>
      <w:color w:themeShade="BF" w:themeColor="accent1" w:val="365F91"/>
      <w:sz w:val="22"/>
    </w:rPr>
    <w:tblPr>
      <w:tblStyleRowBandSize w:val="1"/>
      <w:tblStyleColBandSize w:val="1"/>
      <w:tblInd w:type="nil" w:w="0"/>
      <w:tblBorders>
        <w:top w:space="0" w:sz="8" w:themeColor="accent1" w:color="4F81BD" w:val="single"/>
        <w:bottom w:space="0" w:sz="8" w:themeColor="accent1" w:color="4F81BD" w:val="single"/>
      </w:tblBorders>
    </w:tblPr>
    <w:tblStylePr w:type="firstRow">
      <w:pPr>
        <w:spacing w:lineRule="auto" w:line="240" w:afterAutospacing="false" w:afterLines="0" w:after="0" w:beforeAutospacing="false" w:beforeLines="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Autospacing="false" w:afterLines="0" w:after="0" w:beforeAutospacing="false" w:beforeLines="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ipopis-Isticanje1" w:type="table">
    <w:name w:val="Light List Accent 1"/>
    <w:basedOn w:val="Obinatablica"/>
    <w:uiPriority w:val="61"/>
    <w:rsid w:val="001E3364"/>
    <w:pPr>
      <w:spacing w:lineRule="auto" w:line="240" w:after="0"/>
    </w:pPr>
    <w:rPr>
      <w:rFonts w:hAnsiTheme="minorHAnsi" w:asciiTheme="minorHAnsi"/>
      <w:sz w:val="22"/>
    </w:rPr>
    <w:tblPr>
      <w:tblStyleRowBandSize w:val="1"/>
      <w:tblStyleColBandSize w:val="1"/>
      <w:tblInd w:type="nil"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Autospacing="false" w:afterLines="0" w:after="0" w:beforeAutospacing="false" w:beforeLines="0" w:before="0"/>
      </w:pPr>
      <w:rPr>
        <w:b/>
        <w:bCs/>
        <w:color w:themeColor="background1" w:val="FFFFFF"/>
      </w:rPr>
      <w:tblPr/>
      <w:tcPr>
        <w:shd w:themeFill="accent1" w:fill="4F81BD" w:color="auto" w:val="clear"/>
      </w:tcPr>
    </w:tblStylePr>
    <w:tblStylePr w:type="lastRow">
      <w:pPr>
        <w:spacing w:lineRule="auto" w:line="240" w:afterAutospacing="false" w:afterLines="0" w:after="0" w:beforeAutospacing="false" w:beforeLines="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5" w:type="table">
    <w:name w:val="Light List Accent 5"/>
    <w:basedOn w:val="Obinatablica"/>
    <w:uiPriority w:val="61"/>
    <w:rsid w:val="001E3364"/>
    <w:pPr>
      <w:spacing w:lineRule="auto" w:line="240" w:after="0"/>
    </w:pPr>
    <w:rPr>
      <w:rFonts w:hAnsiTheme="minorHAnsi" w:asciiTheme="minorHAnsi"/>
      <w:sz w:val="22"/>
    </w:rPr>
    <w:tblPr>
      <w:tblStyleRowBandSize w:val="1"/>
      <w:tblStyleColBandSize w:val="1"/>
      <w:tblInd w:type="nil"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Autospacing="false" w:afterLines="0" w:after="0" w:beforeAutospacing="false" w:beforeLines="0" w:before="0"/>
      </w:pPr>
      <w:rPr>
        <w:b/>
        <w:bCs/>
        <w:color w:themeColor="background1" w:val="FFFFFF"/>
      </w:rPr>
      <w:tblPr/>
      <w:tcPr>
        <w:shd w:themeFill="accent5" w:fill="4BACC6" w:color="auto" w:val="clear"/>
      </w:tcPr>
    </w:tblStylePr>
    <w:tblStylePr w:type="lastRow">
      <w:pPr>
        <w:spacing w:lineRule="auto" w:line="240" w:afterAutospacing="false" w:afterLines="0" w:after="0" w:beforeAutospacing="false" w:beforeLines="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Tekstrezerviranogmjesta" w:type="character">
    <w:name w:val="Placeholder Text"/>
    <w:basedOn w:val="Zadanifontodlomka"/>
    <w:uiPriority w:val="99"/>
    <w:semiHidden/>
    <w:rsid w:val="001403B6"/>
    <w:rPr>
      <w:color w:val="808080"/>
      <w:bdr w:space="0" w:sz="0" w:color="auto" w:val="none"/>
      <w:shd w:fill="auto" w:color="auto" w:val="clear"/>
    </w:rPr>
  </w:style>
  <w:style w:customStyle="true" w:styleId="eSPISCCParagraphDefaultFont" w:type="character">
    <w:name w:val="eSPIS_CC_Paragraph Default Font"/>
    <w:basedOn w:val="Zadanifontodlomka"/>
    <w:rsid w:val="001403B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403B6"/>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403B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403B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E3364"/>
    <w:rPr>
      <w:rFonts w:asciiTheme="minorHAnsi" w:hAnsiTheme="minorHAnsi"/>
      <w:sz w:val="22"/>
    </w:rPr>
  </w:style>
  <w:style w:styleId="Naslov1" w:type="paragraph">
    <w:name w:val="heading 1"/>
    <w:basedOn w:val="Normal"/>
    <w:next w:val="Normal"/>
    <w:link w:val="Naslov1Char"/>
    <w:uiPriority w:val="9"/>
    <w:qFormat/>
    <w:rsid w:val="001E3364"/>
    <w:pPr>
      <w:keepNext/>
      <w:keepLines/>
      <w:pageBreakBefore/>
      <w:numPr>
        <w:numId w:val="1"/>
      </w:numPr>
      <w:spacing w:after="240" w:before="480"/>
      <w:jc w:val="both"/>
      <w:outlineLvl w:val="0"/>
    </w:pPr>
    <w:rPr>
      <w:rFonts w:asciiTheme="majorHAnsi" w:cstheme="majorBidi" w:eastAsiaTheme="majorEastAsia" w:hAnsiTheme="majorHAnsi"/>
      <w:b/>
      <w:bCs/>
      <w:color w:themeColor="accent1" w:themeShade="BF" w:val="365F91"/>
      <w:sz w:val="28"/>
      <w:szCs w:val="28"/>
    </w:rPr>
  </w:style>
  <w:style w:styleId="Naslov2" w:type="paragraph">
    <w:name w:val="heading 2"/>
    <w:basedOn w:val="Normal"/>
    <w:next w:val="Normal"/>
    <w:link w:val="Naslov2Char"/>
    <w:uiPriority w:val="9"/>
    <w:semiHidden/>
    <w:unhideWhenUsed/>
    <w:qFormat/>
    <w:rsid w:val="001E3364"/>
    <w:pPr>
      <w:keepNext/>
      <w:keepLines/>
      <w:spacing w:after="240" w:before="200"/>
      <w:outlineLvl w:val="1"/>
    </w:pPr>
    <w:rPr>
      <w:rFonts w:asciiTheme="majorHAnsi" w:cstheme="majorBidi" w:eastAsiaTheme="majorEastAsia" w:hAnsiTheme="majorHAnsi"/>
      <w:b/>
      <w:bCs/>
      <w:color w:themeColor="accent1" w:val="4F81BD"/>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E3364"/>
    <w:rPr>
      <w:rFonts w:asciiTheme="majorHAnsi" w:cstheme="majorBidi" w:eastAsiaTheme="majorEastAsia" w:hAnsiTheme="majorHAnsi"/>
      <w:b/>
      <w:bCs/>
      <w:color w:themeColor="accent1" w:themeShade="BF" w:val="365F91"/>
      <w:sz w:val="28"/>
      <w:szCs w:val="28"/>
    </w:rPr>
  </w:style>
  <w:style w:customStyle="1" w:styleId="Naslov2Char" w:type="character">
    <w:name w:val="Naslov 2 Char"/>
    <w:basedOn w:val="Zadanifontodlomka"/>
    <w:link w:val="Naslov2"/>
    <w:uiPriority w:val="9"/>
    <w:semiHidden/>
    <w:rsid w:val="001E3364"/>
    <w:rPr>
      <w:rFonts w:asciiTheme="majorHAnsi" w:cstheme="majorBidi" w:eastAsiaTheme="majorEastAsia" w:hAnsiTheme="majorHAnsi"/>
      <w:b/>
      <w:bCs/>
      <w:color w:themeColor="accent1" w:val="4F81BD"/>
      <w:szCs w:val="24"/>
    </w:rPr>
  </w:style>
  <w:style w:styleId="Hiperveza" w:type="character">
    <w:name w:val="Hyperlink"/>
    <w:basedOn w:val="Zadanifontodlomka"/>
    <w:uiPriority w:val="99"/>
    <w:semiHidden/>
    <w:unhideWhenUsed/>
    <w:rsid w:val="001E3364"/>
    <w:rPr>
      <w:color w:themeColor="hyperlink" w:val="0000FF"/>
      <w:u w:val="single"/>
    </w:rPr>
  </w:style>
  <w:style w:styleId="SlijeenaHiperveza" w:type="character">
    <w:name w:val="FollowedHyperlink"/>
    <w:basedOn w:val="Zadanifontodlomka"/>
    <w:uiPriority w:val="99"/>
    <w:semiHidden/>
    <w:unhideWhenUsed/>
    <w:rsid w:val="001E3364"/>
    <w:rPr>
      <w:color w:val="800080"/>
      <w:u w:val="single"/>
    </w:rPr>
  </w:style>
  <w:style w:styleId="Sadraj1" w:type="paragraph">
    <w:name w:val="toc 1"/>
    <w:basedOn w:val="Normal"/>
    <w:next w:val="Normal"/>
    <w:autoRedefine/>
    <w:uiPriority w:val="39"/>
    <w:semiHidden/>
    <w:unhideWhenUsed/>
    <w:rsid w:val="001E3364"/>
    <w:pPr>
      <w:spacing w:after="100"/>
    </w:pPr>
  </w:style>
  <w:style w:styleId="Sadraj2" w:type="paragraph">
    <w:name w:val="toc 2"/>
    <w:basedOn w:val="Normal"/>
    <w:next w:val="Normal"/>
    <w:autoRedefine/>
    <w:uiPriority w:val="39"/>
    <w:semiHidden/>
    <w:unhideWhenUsed/>
    <w:rsid w:val="001E3364"/>
    <w:pPr>
      <w:spacing w:after="100"/>
      <w:ind w:left="220"/>
    </w:pPr>
  </w:style>
  <w:style w:styleId="Tekstkomentara" w:type="paragraph">
    <w:name w:val="annotation text"/>
    <w:basedOn w:val="Normal"/>
    <w:link w:val="TekstkomentaraChar"/>
    <w:uiPriority w:val="99"/>
    <w:semiHidden/>
    <w:unhideWhenUsed/>
    <w:rsid w:val="001E3364"/>
    <w:pPr>
      <w:spacing w:line="240" w:lineRule="auto"/>
    </w:pPr>
    <w:rPr>
      <w:sz w:val="20"/>
      <w:szCs w:val="20"/>
    </w:rPr>
  </w:style>
  <w:style w:customStyle="1" w:styleId="TekstkomentaraChar" w:type="character">
    <w:name w:val="Tekst komentara Char"/>
    <w:basedOn w:val="Zadanifontodlomka"/>
    <w:link w:val="Tekstkomentara"/>
    <w:uiPriority w:val="99"/>
    <w:semiHidden/>
    <w:rsid w:val="001E3364"/>
    <w:rPr>
      <w:rFonts w:asciiTheme="minorHAnsi" w:hAnsiTheme="minorHAnsi"/>
      <w:sz w:val="20"/>
      <w:szCs w:val="20"/>
    </w:rPr>
  </w:style>
  <w:style w:styleId="Zaglavlje" w:type="paragraph">
    <w:name w:val="header"/>
    <w:basedOn w:val="Normal"/>
    <w:link w:val="ZaglavljeChar"/>
    <w:uiPriority w:val="99"/>
    <w:semiHidden/>
    <w:unhideWhenUsed/>
    <w:rsid w:val="001E3364"/>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1E3364"/>
    <w:rPr>
      <w:rFonts w:asciiTheme="minorHAnsi" w:hAnsiTheme="minorHAnsi"/>
      <w:sz w:val="22"/>
    </w:rPr>
  </w:style>
  <w:style w:styleId="Podnoje" w:type="paragraph">
    <w:name w:val="footer"/>
    <w:basedOn w:val="Normal"/>
    <w:link w:val="PodnojeChar"/>
    <w:uiPriority w:val="99"/>
    <w:semiHidden/>
    <w:unhideWhenUsed/>
    <w:rsid w:val="001E3364"/>
    <w:pPr>
      <w:tabs>
        <w:tab w:pos="4536" w:val="center"/>
        <w:tab w:pos="9072" w:val="right"/>
      </w:tabs>
      <w:spacing w:after="0" w:line="240" w:lineRule="auto"/>
    </w:pPr>
  </w:style>
  <w:style w:customStyle="1" w:styleId="PodnojeChar" w:type="character">
    <w:name w:val="Podnožje Char"/>
    <w:basedOn w:val="Zadanifontodlomka"/>
    <w:link w:val="Podnoje"/>
    <w:uiPriority w:val="99"/>
    <w:semiHidden/>
    <w:rsid w:val="001E3364"/>
    <w:rPr>
      <w:rFonts w:asciiTheme="minorHAnsi" w:hAnsiTheme="minorHAnsi"/>
      <w:sz w:val="22"/>
    </w:rPr>
  </w:style>
  <w:style w:styleId="Predmetkomentara" w:type="paragraph">
    <w:name w:val="annotation subject"/>
    <w:basedOn w:val="Tekstkomentara"/>
    <w:next w:val="Tekstkomentara"/>
    <w:link w:val="PredmetkomentaraChar"/>
    <w:uiPriority w:val="99"/>
    <w:semiHidden/>
    <w:unhideWhenUsed/>
    <w:rsid w:val="001E3364"/>
    <w:rPr>
      <w:b/>
      <w:bCs/>
    </w:rPr>
  </w:style>
  <w:style w:customStyle="1" w:styleId="PredmetkomentaraChar" w:type="character">
    <w:name w:val="Predmet komentara Char"/>
    <w:basedOn w:val="TekstkomentaraChar"/>
    <w:link w:val="Predmetkomentara"/>
    <w:uiPriority w:val="99"/>
    <w:semiHidden/>
    <w:rsid w:val="001E3364"/>
    <w:rPr>
      <w:rFonts w:asciiTheme="minorHAnsi" w:hAnsiTheme="minorHAnsi"/>
      <w:b/>
      <w:bCs/>
      <w:sz w:val="20"/>
      <w:szCs w:val="20"/>
    </w:rPr>
  </w:style>
  <w:style w:styleId="Tekstbalonia" w:type="paragraph">
    <w:name w:val="Balloon Text"/>
    <w:basedOn w:val="Normal"/>
    <w:link w:val="TekstbaloniaChar"/>
    <w:uiPriority w:val="99"/>
    <w:semiHidden/>
    <w:unhideWhenUsed/>
    <w:rsid w:val="001E3364"/>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E3364"/>
    <w:rPr>
      <w:rFonts w:ascii="Tahoma" w:cs="Tahoma" w:hAnsi="Tahoma"/>
      <w:sz w:val="16"/>
      <w:szCs w:val="16"/>
    </w:rPr>
  </w:style>
  <w:style w:styleId="Bezproreda" w:type="paragraph">
    <w:name w:val="No Spacing"/>
    <w:uiPriority w:val="1"/>
    <w:qFormat/>
    <w:rsid w:val="001E3364"/>
    <w:pPr>
      <w:spacing w:after="0" w:line="240" w:lineRule="auto"/>
    </w:pPr>
    <w:rPr>
      <w:rFonts w:asciiTheme="minorHAnsi" w:hAnsiTheme="minorHAnsi"/>
      <w:sz w:val="22"/>
    </w:rPr>
  </w:style>
  <w:style w:styleId="Revizija" w:type="paragraph">
    <w:name w:val="Revision"/>
    <w:uiPriority w:val="99"/>
    <w:semiHidden/>
    <w:rsid w:val="001E3364"/>
    <w:pPr>
      <w:spacing w:after="0" w:line="240" w:lineRule="auto"/>
    </w:pPr>
    <w:rPr>
      <w:rFonts w:asciiTheme="minorHAnsi" w:hAnsiTheme="minorHAnsi"/>
      <w:sz w:val="22"/>
    </w:rPr>
  </w:style>
  <w:style w:styleId="Odlomakpopisa" w:type="paragraph">
    <w:name w:val="List Paragraph"/>
    <w:basedOn w:val="Normal"/>
    <w:uiPriority w:val="34"/>
    <w:qFormat/>
    <w:rsid w:val="001E3364"/>
    <w:pPr>
      <w:ind w:left="720"/>
      <w:contextualSpacing/>
    </w:pPr>
  </w:style>
  <w:style w:styleId="TOCNaslov" w:type="paragraph">
    <w:name w:val="TOC Heading"/>
    <w:basedOn w:val="Naslov1"/>
    <w:next w:val="Normal"/>
    <w:uiPriority w:val="39"/>
    <w:semiHidden/>
    <w:unhideWhenUsed/>
    <w:qFormat/>
    <w:rsid w:val="001E3364"/>
    <w:pPr>
      <w:outlineLvl w:val="9"/>
    </w:pPr>
    <w:rPr>
      <w:lang w:eastAsia="ja-JP" w:val="en-US"/>
    </w:rPr>
  </w:style>
  <w:style w:customStyle="1" w:styleId="Style4" w:type="paragraph">
    <w:name w:val="Style 4"/>
    <w:uiPriority w:val="99"/>
    <w:rsid w:val="001E3364"/>
    <w:pPr>
      <w:widowControl w:val="0"/>
      <w:autoSpaceDE w:val="0"/>
      <w:autoSpaceDN w:val="0"/>
      <w:spacing w:after="0" w:before="180" w:line="240" w:lineRule="auto"/>
      <w:jc w:val="both"/>
    </w:pPr>
    <w:rPr>
      <w:rFonts w:ascii="Arial" w:cs="Arial" w:eastAsiaTheme="minorEastAsia" w:hAnsi="Arial"/>
      <w:sz w:val="22"/>
      <w:lang w:eastAsia="hr-HR" w:val="en-US"/>
    </w:rPr>
  </w:style>
  <w:style w:customStyle="1" w:styleId="Style1" w:type="paragraph">
    <w:name w:val="Style 1"/>
    <w:uiPriority w:val="99"/>
    <w:rsid w:val="001E3364"/>
    <w:pPr>
      <w:widowControl w:val="0"/>
      <w:autoSpaceDE w:val="0"/>
      <w:autoSpaceDN w:val="0"/>
      <w:adjustRightInd w:val="0"/>
      <w:spacing w:after="0" w:line="240" w:lineRule="auto"/>
    </w:pPr>
    <w:rPr>
      <w:rFonts w:cs="Times New Roman" w:eastAsiaTheme="minorEastAsia"/>
      <w:sz w:val="20"/>
      <w:szCs w:val="20"/>
      <w:lang w:eastAsia="hr-HR" w:val="en-US"/>
    </w:rPr>
  </w:style>
  <w:style w:customStyle="1" w:styleId="Style12" w:type="paragraph">
    <w:name w:val="Style 12"/>
    <w:uiPriority w:val="99"/>
    <w:rsid w:val="001E3364"/>
    <w:pPr>
      <w:widowControl w:val="0"/>
      <w:autoSpaceDE w:val="0"/>
      <w:autoSpaceDN w:val="0"/>
      <w:spacing w:after="0" w:before="72" w:line="240" w:lineRule="auto"/>
    </w:pPr>
    <w:rPr>
      <w:rFonts w:ascii="Arial" w:cs="Arial" w:eastAsiaTheme="minorEastAsia" w:hAnsi="Arial"/>
      <w:sz w:val="22"/>
      <w:lang w:eastAsia="hr-HR" w:val="en-US"/>
    </w:rPr>
  </w:style>
  <w:style w:customStyle="1" w:styleId="Style14" w:type="paragraph">
    <w:name w:val="Style 14"/>
    <w:uiPriority w:val="99"/>
    <w:rsid w:val="001E3364"/>
    <w:pPr>
      <w:widowControl w:val="0"/>
      <w:autoSpaceDE w:val="0"/>
      <w:autoSpaceDN w:val="0"/>
      <w:spacing w:after="0" w:before="324" w:line="240" w:lineRule="auto"/>
      <w:jc w:val="both"/>
    </w:pPr>
    <w:rPr>
      <w:rFonts w:ascii="Arial" w:cs="Arial" w:eastAsiaTheme="minorEastAsia" w:hAnsi="Arial"/>
      <w:sz w:val="22"/>
      <w:lang w:eastAsia="hr-HR" w:val="en-US"/>
    </w:rPr>
  </w:style>
  <w:style w:customStyle="1" w:styleId="Style11" w:type="paragraph">
    <w:name w:val="Style 11"/>
    <w:uiPriority w:val="99"/>
    <w:rsid w:val="001E3364"/>
    <w:pPr>
      <w:widowControl w:val="0"/>
      <w:autoSpaceDE w:val="0"/>
      <w:autoSpaceDN w:val="0"/>
      <w:spacing w:after="0" w:line="280" w:lineRule="auto"/>
    </w:pPr>
    <w:rPr>
      <w:rFonts w:ascii="Arial" w:cs="Arial" w:eastAsiaTheme="minorEastAsia" w:hAnsi="Arial"/>
      <w:sz w:val="18"/>
      <w:szCs w:val="18"/>
      <w:lang w:eastAsia="hr-HR" w:val="en-US"/>
    </w:rPr>
  </w:style>
  <w:style w:customStyle="1" w:styleId="Default" w:type="paragraph">
    <w:name w:val="Default"/>
    <w:rsid w:val="001E3364"/>
    <w:pPr>
      <w:autoSpaceDE w:val="0"/>
      <w:autoSpaceDN w:val="0"/>
      <w:adjustRightInd w:val="0"/>
      <w:spacing w:after="0" w:line="240" w:lineRule="auto"/>
    </w:pPr>
    <w:rPr>
      <w:rFonts w:ascii="Calibri" w:cs="Calibri" w:hAnsi="Calibri"/>
      <w:color w:val="000000"/>
      <w:szCs w:val="24"/>
    </w:rPr>
  </w:style>
  <w:style w:customStyle="1" w:styleId="font5" w:type="paragraph">
    <w:name w:val="font5"/>
    <w:basedOn w:val="Normal"/>
    <w:rsid w:val="001E3364"/>
    <w:pPr>
      <w:spacing w:after="100" w:afterAutospacing="1" w:before="100" w:beforeAutospacing="1" w:line="240" w:lineRule="auto"/>
    </w:pPr>
    <w:rPr>
      <w:rFonts w:ascii="Arial" w:cs="Arial" w:eastAsia="Times New Roman" w:hAnsi="Arial"/>
      <w:sz w:val="16"/>
      <w:szCs w:val="16"/>
      <w:lang w:eastAsia="hr-HR"/>
    </w:rPr>
  </w:style>
  <w:style w:customStyle="1" w:styleId="xl131" w:type="paragraph">
    <w:name w:val="xl131"/>
    <w:basedOn w:val="Normal"/>
    <w:rsid w:val="001E3364"/>
    <w:pPr>
      <w:spacing w:after="100" w:afterAutospacing="1" w:before="100" w:beforeAutospacing="1" w:line="240" w:lineRule="auto"/>
    </w:pPr>
    <w:rPr>
      <w:rFonts w:ascii="Times New Roman" w:cs="Times New Roman" w:eastAsia="Times New Roman" w:hAnsi="Times New Roman"/>
      <w:sz w:val="16"/>
      <w:szCs w:val="16"/>
      <w:lang w:eastAsia="hr-HR"/>
    </w:rPr>
  </w:style>
  <w:style w:customStyle="1" w:styleId="xl132" w:type="paragraph">
    <w:name w:val="xl132"/>
    <w:basedOn w:val="Normal"/>
    <w:rsid w:val="001E3364"/>
    <w:pPr>
      <w:pBdr>
        <w:top w:color="auto" w:space="0" w:sz="4" w:val="single"/>
        <w:left w:color="auto" w:space="0" w:sz="4" w:val="single"/>
        <w:bottom w:color="auto" w:space="0" w:sz="4" w:val="single"/>
        <w:right w:color="auto" w:space="0" w:sz="4" w:val="single"/>
      </w:pBdr>
      <w:shd w:color="C0C0C0" w:fill="auto" w:val="pct25"/>
      <w:spacing w:after="100" w:afterAutospacing="1" w:before="100" w:beforeAutospacing="1" w:line="240" w:lineRule="auto"/>
    </w:pPr>
    <w:rPr>
      <w:rFonts w:ascii="Arial" w:cs="Arial" w:eastAsia="Times New Roman" w:hAnsi="Arial"/>
      <w:sz w:val="16"/>
      <w:szCs w:val="16"/>
      <w:lang w:eastAsia="hr-HR"/>
    </w:rPr>
  </w:style>
  <w:style w:customStyle="1" w:styleId="xl133" w:type="paragraph">
    <w:name w:val="xl133"/>
    <w:basedOn w:val="Normal"/>
    <w:rsid w:val="001E3364"/>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Arial" w:cs="Arial" w:eastAsia="Times New Roman" w:hAnsi="Arial"/>
      <w:sz w:val="16"/>
      <w:szCs w:val="16"/>
      <w:lang w:eastAsia="hr-HR"/>
    </w:rPr>
  </w:style>
  <w:style w:customStyle="1" w:styleId="xl134" w:type="paragraph">
    <w:name w:val="xl134"/>
    <w:basedOn w:val="Normal"/>
    <w:rsid w:val="001E3364"/>
    <w:pPr>
      <w:pBdr>
        <w:top w:color="auto" w:space="0" w:sz="4" w:val="single"/>
        <w:left w:color="auto" w:space="0" w:sz="4" w:val="single"/>
        <w:bottom w:color="auto" w:space="0" w:sz="4" w:val="single"/>
        <w:right w:color="auto" w:space="0" w:sz="4" w:val="single"/>
      </w:pBdr>
      <w:shd w:color="C0C0C0" w:fill="auto" w:val="pct25"/>
      <w:spacing w:after="100" w:afterAutospacing="1" w:before="100" w:beforeAutospacing="1" w:line="240" w:lineRule="auto"/>
    </w:pPr>
    <w:rPr>
      <w:rFonts w:ascii="Arial" w:cs="Arial" w:eastAsia="Times New Roman" w:hAnsi="Arial"/>
      <w:sz w:val="16"/>
      <w:szCs w:val="16"/>
      <w:lang w:eastAsia="hr-HR"/>
    </w:rPr>
  </w:style>
  <w:style w:customStyle="1" w:styleId="xl135" w:type="paragraph">
    <w:name w:val="xl135"/>
    <w:basedOn w:val="Normal"/>
    <w:rsid w:val="001E3364"/>
    <w:pPr>
      <w:pBdr>
        <w:top w:color="auto" w:space="0" w:sz="4" w:val="single"/>
        <w:left w:color="auto" w:space="0" w:sz="4" w:val="single"/>
        <w:bottom w:color="auto" w:space="0" w:sz="4" w:val="single"/>
      </w:pBdr>
      <w:spacing w:after="100" w:afterAutospacing="1" w:before="100" w:beforeAutospacing="1" w:line="240" w:lineRule="auto"/>
    </w:pPr>
    <w:rPr>
      <w:rFonts w:ascii="Arial" w:cs="Arial" w:eastAsia="Times New Roman" w:hAnsi="Arial"/>
      <w:sz w:val="16"/>
      <w:szCs w:val="16"/>
      <w:lang w:eastAsia="hr-HR"/>
    </w:rPr>
  </w:style>
  <w:style w:customStyle="1" w:styleId="xl136" w:type="paragraph">
    <w:name w:val="xl136"/>
    <w:basedOn w:val="Normal"/>
    <w:rsid w:val="001E3364"/>
    <w:pPr>
      <w:pBdr>
        <w:top w:color="auto" w:space="0" w:sz="4" w:val="single"/>
        <w:left w:color="auto" w:space="0" w:sz="4" w:val="single"/>
        <w:bottom w:color="auto" w:space="0" w:sz="4" w:val="single"/>
      </w:pBdr>
      <w:shd w:color="C0C0C0" w:fill="auto" w:val="pct25"/>
      <w:spacing w:after="100" w:afterAutospacing="1" w:before="100" w:beforeAutospacing="1" w:line="240" w:lineRule="auto"/>
    </w:pPr>
    <w:rPr>
      <w:rFonts w:ascii="Arial" w:cs="Arial" w:eastAsia="Times New Roman" w:hAnsi="Arial"/>
      <w:sz w:val="16"/>
      <w:szCs w:val="16"/>
      <w:lang w:eastAsia="hr-HR"/>
    </w:rPr>
  </w:style>
  <w:style w:customStyle="1" w:styleId="xl137" w:type="paragraph">
    <w:name w:val="xl137"/>
    <w:basedOn w:val="Normal"/>
    <w:rsid w:val="001E3364"/>
    <w:pPr>
      <w:pBdr>
        <w:top w:color="auto" w:space="0" w:sz="4" w:val="single"/>
        <w:left w:color="auto" w:space="0" w:sz="4" w:val="single"/>
        <w:bottom w:color="auto" w:space="0" w:sz="4" w:val="single"/>
      </w:pBdr>
      <w:shd w:color="C0C0C0" w:fill="auto" w:val="pct25"/>
      <w:spacing w:after="100" w:afterAutospacing="1" w:before="100" w:beforeAutospacing="1" w:line="240" w:lineRule="auto"/>
    </w:pPr>
    <w:rPr>
      <w:rFonts w:ascii="Arial" w:cs="Arial" w:eastAsia="Times New Roman" w:hAnsi="Arial"/>
      <w:sz w:val="16"/>
      <w:szCs w:val="16"/>
      <w:lang w:eastAsia="hr-HR"/>
    </w:rPr>
  </w:style>
  <w:style w:customStyle="1" w:styleId="xl138" w:type="paragraph">
    <w:name w:val="xl138"/>
    <w:basedOn w:val="Normal"/>
    <w:rsid w:val="001E3364"/>
    <w:pPr>
      <w:pBdr>
        <w:top w:color="auto" w:space="0" w:sz="4" w:val="single"/>
        <w:left w:color="auto" w:space="0" w:sz="4" w:val="single"/>
        <w:bottom w:color="auto" w:space="0" w:sz="4" w:val="single"/>
        <w:right w:color="auto" w:space="0" w:sz="4" w:val="single"/>
      </w:pBdr>
      <w:shd w:color="C0C0C0" w:fill="auto" w:val="pct25"/>
      <w:spacing w:after="100" w:afterAutospacing="1" w:before="100" w:beforeAutospacing="1" w:line="240" w:lineRule="auto"/>
    </w:pPr>
    <w:rPr>
      <w:rFonts w:ascii="Arial" w:cs="Arial" w:eastAsia="Times New Roman" w:hAnsi="Arial"/>
      <w:sz w:val="16"/>
      <w:szCs w:val="16"/>
      <w:lang w:eastAsia="hr-HR"/>
    </w:rPr>
  </w:style>
  <w:style w:customStyle="1" w:styleId="xl139" w:type="paragraph">
    <w:name w:val="xl139"/>
    <w:basedOn w:val="Normal"/>
    <w:rsid w:val="001E3364"/>
    <w:pPr>
      <w:pBdr>
        <w:top w:color="auto" w:space="0" w:sz="4" w:val="single"/>
        <w:left w:color="auto" w:space="0" w:sz="4" w:val="single"/>
        <w:bottom w:color="auto" w:space="0" w:sz="4" w:val="single"/>
      </w:pBdr>
      <w:spacing w:after="100" w:afterAutospacing="1" w:before="100" w:beforeAutospacing="1" w:line="240" w:lineRule="auto"/>
    </w:pPr>
    <w:rPr>
      <w:rFonts w:ascii="Arial" w:cs="Arial" w:eastAsia="Times New Roman" w:hAnsi="Arial"/>
      <w:b/>
      <w:bCs/>
      <w:color w:val="000080"/>
      <w:sz w:val="16"/>
      <w:szCs w:val="16"/>
      <w:lang w:eastAsia="hr-HR"/>
    </w:rPr>
  </w:style>
  <w:style w:customStyle="1" w:styleId="xl140" w:type="paragraph">
    <w:name w:val="xl140"/>
    <w:basedOn w:val="Normal"/>
    <w:rsid w:val="001E3364"/>
    <w:pPr>
      <w:pBdr>
        <w:top w:color="auto" w:space="0" w:sz="4" w:val="single"/>
        <w:left w:color="auto" w:space="0" w:sz="4" w:val="single"/>
        <w:bottom w:color="auto" w:space="0" w:sz="4" w:val="single"/>
      </w:pBdr>
      <w:spacing w:after="100" w:afterAutospacing="1" w:before="100" w:beforeAutospacing="1" w:line="240" w:lineRule="auto"/>
    </w:pPr>
    <w:rPr>
      <w:rFonts w:ascii="Arial" w:cs="Arial" w:eastAsia="Times New Roman" w:hAnsi="Arial"/>
      <w:b/>
      <w:bCs/>
      <w:sz w:val="16"/>
      <w:szCs w:val="16"/>
      <w:lang w:eastAsia="hr-HR"/>
    </w:rPr>
  </w:style>
  <w:style w:customStyle="1" w:styleId="xl141" w:type="paragraph">
    <w:name w:val="xl141"/>
    <w:basedOn w:val="Normal"/>
    <w:rsid w:val="001E3364"/>
    <w:pPr>
      <w:pBdr>
        <w:top w:color="auto" w:space="0" w:sz="4" w:val="single"/>
        <w:left w:color="auto" w:space="0" w:sz="4" w:val="single"/>
        <w:bottom w:color="auto" w:space="0" w:sz="4" w:val="single"/>
      </w:pBdr>
      <w:spacing w:after="100" w:afterAutospacing="1" w:before="100" w:beforeAutospacing="1" w:line="240" w:lineRule="auto"/>
    </w:pPr>
    <w:rPr>
      <w:rFonts w:ascii="Arial" w:cs="Arial" w:eastAsia="Times New Roman" w:hAnsi="Arial"/>
      <w:b/>
      <w:bCs/>
      <w:sz w:val="16"/>
      <w:szCs w:val="16"/>
      <w:lang w:eastAsia="hr-HR"/>
    </w:rPr>
  </w:style>
  <w:style w:customStyle="1" w:styleId="xl142" w:type="paragraph">
    <w:name w:val="xl142"/>
    <w:basedOn w:val="Normal"/>
    <w:rsid w:val="001E3364"/>
    <w:pPr>
      <w:pBdr>
        <w:top w:color="auto" w:space="0" w:sz="4" w:val="single"/>
        <w:left w:color="auto" w:space="0" w:sz="4" w:val="single"/>
        <w:bottom w:color="auto" w:space="0" w:sz="4" w:val="single"/>
      </w:pBdr>
      <w:spacing w:after="100" w:afterAutospacing="1" w:before="100" w:beforeAutospacing="1" w:line="240" w:lineRule="auto"/>
    </w:pPr>
    <w:rPr>
      <w:rFonts w:ascii="Arial" w:cs="Arial" w:eastAsia="Times New Roman" w:hAnsi="Arial"/>
      <w:color w:val="0000FF"/>
      <w:sz w:val="16"/>
      <w:szCs w:val="16"/>
      <w:lang w:eastAsia="hr-HR"/>
    </w:rPr>
  </w:style>
  <w:style w:customStyle="1" w:styleId="xl143" w:type="paragraph">
    <w:name w:val="xl143"/>
    <w:basedOn w:val="Normal"/>
    <w:rsid w:val="001E3364"/>
    <w:pPr>
      <w:pBdr>
        <w:top w:color="auto" w:space="0" w:sz="4" w:val="single"/>
        <w:left w:color="auto" w:space="0" w:sz="4" w:val="single"/>
        <w:bottom w:color="auto" w:space="0" w:sz="4" w:val="single"/>
      </w:pBdr>
      <w:spacing w:after="100" w:afterAutospacing="1" w:before="100" w:beforeAutospacing="1" w:line="240" w:lineRule="auto"/>
    </w:pPr>
    <w:rPr>
      <w:rFonts w:ascii="Arial" w:cs="Arial" w:eastAsia="Times New Roman" w:hAnsi="Arial"/>
      <w:sz w:val="16"/>
      <w:szCs w:val="16"/>
      <w:lang w:eastAsia="hr-HR"/>
    </w:rPr>
  </w:style>
  <w:style w:customStyle="1" w:styleId="xl144" w:type="paragraph">
    <w:name w:val="xl144"/>
    <w:basedOn w:val="Normal"/>
    <w:rsid w:val="001E3364"/>
    <w:pPr>
      <w:pBdr>
        <w:top w:color="auto" w:space="0" w:sz="4" w:val="single"/>
        <w:left w:color="auto" w:space="0" w:sz="4" w:val="single"/>
        <w:bottom w:color="auto" w:space="0" w:sz="4" w:val="single"/>
      </w:pBdr>
      <w:spacing w:after="100" w:afterAutospacing="1" w:before="100" w:beforeAutospacing="1" w:line="240" w:lineRule="auto"/>
    </w:pPr>
    <w:rPr>
      <w:rFonts w:ascii="Arial" w:cs="Arial" w:eastAsia="Times New Roman" w:hAnsi="Arial"/>
      <w:b/>
      <w:bCs/>
      <w:sz w:val="16"/>
      <w:szCs w:val="16"/>
      <w:lang w:eastAsia="hr-HR"/>
    </w:rPr>
  </w:style>
  <w:style w:customStyle="1" w:styleId="xl145" w:type="paragraph">
    <w:name w:val="xl145"/>
    <w:basedOn w:val="Normal"/>
    <w:rsid w:val="001E3364"/>
    <w:pPr>
      <w:spacing w:after="100" w:afterAutospacing="1" w:before="100" w:beforeAutospacing="1" w:line="240" w:lineRule="auto"/>
    </w:pPr>
    <w:rPr>
      <w:rFonts w:ascii="Arial" w:cs="Arial" w:eastAsia="Times New Roman" w:hAnsi="Arial"/>
      <w:sz w:val="16"/>
      <w:szCs w:val="16"/>
      <w:lang w:eastAsia="hr-HR"/>
    </w:rPr>
  </w:style>
  <w:style w:customStyle="1" w:styleId="xl146" w:type="paragraph">
    <w:name w:val="xl146"/>
    <w:basedOn w:val="Normal"/>
    <w:rsid w:val="001E3364"/>
    <w:pPr>
      <w:spacing w:after="100" w:afterAutospacing="1" w:before="100" w:beforeAutospacing="1" w:line="240" w:lineRule="auto"/>
    </w:pPr>
    <w:rPr>
      <w:rFonts w:ascii="Arial" w:cs="Arial" w:eastAsia="Times New Roman" w:hAnsi="Arial"/>
      <w:sz w:val="16"/>
      <w:szCs w:val="16"/>
      <w:lang w:eastAsia="hr-HR"/>
    </w:rPr>
  </w:style>
  <w:style w:customStyle="1" w:styleId="xl147" w:type="paragraph">
    <w:name w:val="xl147"/>
    <w:basedOn w:val="Normal"/>
    <w:rsid w:val="001E3364"/>
    <w:pPr>
      <w:spacing w:after="100" w:afterAutospacing="1" w:before="100" w:beforeAutospacing="1" w:line="240" w:lineRule="auto"/>
    </w:pPr>
    <w:rPr>
      <w:rFonts w:ascii="Arial" w:cs="Arial" w:eastAsia="Times New Roman" w:hAnsi="Arial"/>
      <w:sz w:val="16"/>
      <w:szCs w:val="16"/>
      <w:lang w:eastAsia="hr-HR"/>
    </w:rPr>
  </w:style>
  <w:style w:customStyle="1" w:styleId="xl148" w:type="paragraph">
    <w:name w:val="xl148"/>
    <w:basedOn w:val="Normal"/>
    <w:rsid w:val="001E3364"/>
    <w:pPr>
      <w:pBdr>
        <w:top w:color="auto" w:space="0" w:sz="4" w:val="single"/>
        <w:left w:color="auto" w:space="0" w:sz="4" w:val="single"/>
        <w:bottom w:color="auto" w:space="0" w:sz="4" w:val="single"/>
      </w:pBdr>
      <w:shd w:color="C0C0C0" w:fill="C0C0C0" w:val="pct12"/>
      <w:spacing w:after="100" w:afterAutospacing="1" w:before="100" w:beforeAutospacing="1" w:line="240" w:lineRule="auto"/>
    </w:pPr>
    <w:rPr>
      <w:rFonts w:ascii="Arial" w:cs="Arial" w:eastAsia="Times New Roman" w:hAnsi="Arial"/>
      <w:b/>
      <w:bCs/>
      <w:color w:val="000080"/>
      <w:sz w:val="16"/>
      <w:szCs w:val="16"/>
      <w:lang w:eastAsia="hr-HR"/>
    </w:rPr>
  </w:style>
  <w:style w:customStyle="1" w:styleId="xl149" w:type="paragraph">
    <w:name w:val="xl149"/>
    <w:basedOn w:val="Normal"/>
    <w:rsid w:val="001E3364"/>
    <w:pPr>
      <w:pBdr>
        <w:top w:color="auto" w:space="0" w:sz="4" w:val="single"/>
        <w:bottom w:color="auto" w:space="0" w:sz="4" w:val="single"/>
      </w:pBdr>
      <w:shd w:color="C0C0C0" w:fill="C0C0C0" w:val="pct12"/>
      <w:spacing w:after="100" w:afterAutospacing="1" w:before="100" w:beforeAutospacing="1" w:line="240" w:lineRule="auto"/>
    </w:pPr>
    <w:rPr>
      <w:rFonts w:ascii="Arial" w:cs="Arial" w:eastAsia="Times New Roman" w:hAnsi="Arial"/>
      <w:color w:val="000080"/>
      <w:sz w:val="16"/>
      <w:szCs w:val="16"/>
      <w:lang w:eastAsia="hr-HR"/>
    </w:rPr>
  </w:style>
  <w:style w:customStyle="1" w:styleId="xl150" w:type="paragraph">
    <w:name w:val="xl150"/>
    <w:basedOn w:val="Normal"/>
    <w:rsid w:val="001E3364"/>
    <w:pPr>
      <w:pBdr>
        <w:top w:color="auto" w:space="0" w:sz="4" w:val="single"/>
        <w:bottom w:color="auto" w:space="0" w:sz="4" w:val="single"/>
        <w:right w:color="auto" w:space="0" w:sz="4" w:val="single"/>
      </w:pBdr>
      <w:shd w:color="C0C0C0" w:fill="C0C0C0" w:val="pct12"/>
      <w:spacing w:after="100" w:afterAutospacing="1" w:before="100" w:beforeAutospacing="1" w:line="240" w:lineRule="auto"/>
    </w:pPr>
    <w:rPr>
      <w:rFonts w:ascii="Arial" w:cs="Arial" w:eastAsia="Times New Roman" w:hAnsi="Arial"/>
      <w:color w:val="000080"/>
      <w:sz w:val="16"/>
      <w:szCs w:val="16"/>
      <w:lang w:eastAsia="hr-HR"/>
    </w:rPr>
  </w:style>
  <w:style w:customStyle="1" w:styleId="xl151" w:type="paragraph">
    <w:name w:val="xl151"/>
    <w:basedOn w:val="Normal"/>
    <w:rsid w:val="001E3364"/>
    <w:pPr>
      <w:pBdr>
        <w:top w:color="auto" w:space="0" w:sz="4" w:val="single"/>
        <w:left w:color="auto" w:space="0" w:sz="4" w:val="single"/>
        <w:bottom w:color="auto" w:space="0" w:sz="4" w:val="single"/>
      </w:pBdr>
      <w:spacing w:after="100" w:afterAutospacing="1" w:before="100" w:beforeAutospacing="1" w:line="240" w:lineRule="auto"/>
    </w:pPr>
    <w:rPr>
      <w:rFonts w:ascii="Arial" w:cs="Arial" w:eastAsia="Times New Roman" w:hAnsi="Arial"/>
      <w:sz w:val="16"/>
      <w:szCs w:val="16"/>
      <w:lang w:eastAsia="hr-HR"/>
    </w:rPr>
  </w:style>
  <w:style w:customStyle="1" w:styleId="xl152" w:type="paragraph">
    <w:name w:val="xl152"/>
    <w:basedOn w:val="Normal"/>
    <w:rsid w:val="001E3364"/>
    <w:pPr>
      <w:pBdr>
        <w:top w:color="auto" w:space="0" w:sz="4" w:val="single"/>
        <w:left w:color="auto" w:space="0" w:sz="4" w:val="single"/>
        <w:bottom w:color="auto" w:space="0" w:sz="4" w:val="single"/>
      </w:pBdr>
      <w:spacing w:after="100" w:afterAutospacing="1" w:before="100" w:beforeAutospacing="1" w:line="240" w:lineRule="auto"/>
    </w:pPr>
    <w:rPr>
      <w:rFonts w:ascii="Arial" w:cs="Arial" w:eastAsia="Times New Roman" w:hAnsi="Arial"/>
      <w:sz w:val="16"/>
      <w:szCs w:val="16"/>
      <w:lang w:eastAsia="hr-HR"/>
    </w:rPr>
  </w:style>
  <w:style w:customStyle="1" w:styleId="xl153" w:type="paragraph">
    <w:name w:val="xl153"/>
    <w:basedOn w:val="Normal"/>
    <w:rsid w:val="001E3364"/>
    <w:pPr>
      <w:pBdr>
        <w:top w:color="auto" w:space="0" w:sz="4" w:val="single"/>
        <w:left w:color="auto" w:space="0" w:sz="4" w:val="single"/>
        <w:bottom w:color="auto" w:space="0" w:sz="4" w:val="single"/>
        <w:right w:color="auto" w:space="0" w:sz="4" w:val="single"/>
      </w:pBdr>
      <w:shd w:color="auto" w:fill="FDE9D9" w:val="clear"/>
      <w:spacing w:after="100" w:afterAutospacing="1" w:before="100" w:beforeAutospacing="1" w:line="240" w:lineRule="auto"/>
    </w:pPr>
    <w:rPr>
      <w:rFonts w:ascii="Arial" w:cs="Arial" w:eastAsia="Times New Roman" w:hAnsi="Arial"/>
      <w:sz w:val="16"/>
      <w:szCs w:val="16"/>
      <w:lang w:eastAsia="hr-HR"/>
    </w:rPr>
  </w:style>
  <w:style w:customStyle="1" w:styleId="xl154" w:type="paragraph">
    <w:name w:val="xl154"/>
    <w:basedOn w:val="Normal"/>
    <w:rsid w:val="001E3364"/>
    <w:pPr>
      <w:pBdr>
        <w:right w:color="auto" w:space="0" w:sz="4" w:val="single"/>
      </w:pBdr>
      <w:spacing w:after="100" w:afterAutospacing="1" w:before="100" w:beforeAutospacing="1" w:line="240" w:lineRule="auto"/>
    </w:pPr>
    <w:rPr>
      <w:rFonts w:ascii="Arial" w:cs="Arial" w:eastAsia="Times New Roman" w:hAnsi="Arial"/>
      <w:sz w:val="16"/>
      <w:szCs w:val="16"/>
      <w:lang w:eastAsia="hr-HR"/>
    </w:rPr>
  </w:style>
  <w:style w:customStyle="1" w:styleId="xl155" w:type="paragraph">
    <w:name w:val="xl155"/>
    <w:basedOn w:val="Normal"/>
    <w:rsid w:val="001E3364"/>
    <w:pPr>
      <w:pBdr>
        <w:left w:color="auto" w:space="0" w:sz="4" w:val="single"/>
      </w:pBdr>
      <w:spacing w:after="100" w:afterAutospacing="1" w:before="100" w:beforeAutospacing="1" w:line="240" w:lineRule="auto"/>
    </w:pPr>
    <w:rPr>
      <w:rFonts w:ascii="Arial" w:cs="Arial" w:eastAsia="Times New Roman" w:hAnsi="Arial"/>
      <w:sz w:val="16"/>
      <w:szCs w:val="16"/>
      <w:lang w:eastAsia="hr-HR"/>
    </w:rPr>
  </w:style>
  <w:style w:customStyle="1" w:styleId="xl156" w:type="paragraph">
    <w:name w:val="xl156"/>
    <w:basedOn w:val="Normal"/>
    <w:rsid w:val="001E3364"/>
    <w:pPr>
      <w:pBdr>
        <w:right w:color="auto" w:space="0" w:sz="4" w:val="single"/>
      </w:pBdr>
      <w:spacing w:after="100" w:afterAutospacing="1" w:before="100" w:beforeAutospacing="1" w:line="240" w:lineRule="auto"/>
    </w:pPr>
    <w:rPr>
      <w:rFonts w:ascii="Arial" w:cs="Arial" w:eastAsia="Times New Roman" w:hAnsi="Arial"/>
      <w:sz w:val="16"/>
      <w:szCs w:val="16"/>
      <w:lang w:eastAsia="hr-HR"/>
    </w:rPr>
  </w:style>
  <w:style w:customStyle="1" w:styleId="xl157" w:type="paragraph">
    <w:name w:val="xl157"/>
    <w:basedOn w:val="Normal"/>
    <w:rsid w:val="001E3364"/>
    <w:pPr>
      <w:pBdr>
        <w:left w:color="auto" w:space="0" w:sz="4" w:val="single"/>
        <w:bottom w:color="auto" w:space="0" w:sz="4" w:val="single"/>
      </w:pBdr>
      <w:spacing w:after="100" w:afterAutospacing="1" w:before="100" w:beforeAutospacing="1" w:line="240" w:lineRule="auto"/>
    </w:pPr>
    <w:rPr>
      <w:rFonts w:ascii="Arial" w:cs="Arial" w:eastAsia="Times New Roman" w:hAnsi="Arial"/>
      <w:sz w:val="16"/>
      <w:szCs w:val="16"/>
      <w:lang w:eastAsia="hr-HR"/>
    </w:rPr>
  </w:style>
  <w:style w:customStyle="1" w:styleId="xl158" w:type="paragraph">
    <w:name w:val="xl158"/>
    <w:basedOn w:val="Normal"/>
    <w:rsid w:val="001E3364"/>
    <w:pPr>
      <w:pBdr>
        <w:bottom w:color="auto" w:space="0" w:sz="4" w:val="single"/>
      </w:pBdr>
      <w:spacing w:after="100" w:afterAutospacing="1" w:before="100" w:beforeAutospacing="1" w:line="240" w:lineRule="auto"/>
    </w:pPr>
    <w:rPr>
      <w:rFonts w:ascii="Arial" w:cs="Arial" w:eastAsia="Times New Roman" w:hAnsi="Arial"/>
      <w:sz w:val="16"/>
      <w:szCs w:val="16"/>
      <w:lang w:eastAsia="hr-HR"/>
    </w:rPr>
  </w:style>
  <w:style w:customStyle="1" w:styleId="xl159" w:type="paragraph">
    <w:name w:val="xl159"/>
    <w:basedOn w:val="Normal"/>
    <w:rsid w:val="001E3364"/>
    <w:pPr>
      <w:pBdr>
        <w:bottom w:color="auto" w:space="0" w:sz="4" w:val="single"/>
        <w:right w:color="auto" w:space="0" w:sz="4" w:val="single"/>
      </w:pBdr>
      <w:spacing w:after="100" w:afterAutospacing="1" w:before="100" w:beforeAutospacing="1" w:line="240" w:lineRule="auto"/>
    </w:pPr>
    <w:rPr>
      <w:rFonts w:ascii="Arial" w:cs="Arial" w:eastAsia="Times New Roman" w:hAnsi="Arial"/>
      <w:sz w:val="16"/>
      <w:szCs w:val="16"/>
      <w:lang w:eastAsia="hr-HR"/>
    </w:rPr>
  </w:style>
  <w:style w:customStyle="1" w:styleId="xl160" w:type="paragraph">
    <w:name w:val="xl160"/>
    <w:basedOn w:val="Normal"/>
    <w:rsid w:val="001E3364"/>
    <w:pPr>
      <w:pBdr>
        <w:left w:color="auto" w:space="0" w:sz="4" w:val="single"/>
        <w:bottom w:color="auto" w:space="0" w:sz="4" w:val="single"/>
      </w:pBdr>
      <w:spacing w:after="100" w:afterAutospacing="1" w:before="100" w:beforeAutospacing="1" w:line="240" w:lineRule="auto"/>
    </w:pPr>
    <w:rPr>
      <w:rFonts w:ascii="Arial" w:cs="Arial" w:eastAsia="Times New Roman" w:hAnsi="Arial"/>
      <w:b/>
      <w:bCs/>
      <w:sz w:val="16"/>
      <w:szCs w:val="16"/>
      <w:lang w:eastAsia="hr-HR"/>
    </w:rPr>
  </w:style>
  <w:style w:customStyle="1" w:styleId="xl161" w:type="paragraph">
    <w:name w:val="xl161"/>
    <w:basedOn w:val="Normal"/>
    <w:rsid w:val="001E3364"/>
    <w:pPr>
      <w:pBdr>
        <w:top w:color="auto" w:space="0" w:sz="4" w:val="single"/>
        <w:left w:color="auto" w:space="0" w:sz="4" w:val="single"/>
      </w:pBdr>
      <w:shd w:color="auto" w:fill="969696" w:val="clear"/>
      <w:spacing w:after="100" w:afterAutospacing="1" w:before="100" w:beforeAutospacing="1" w:line="240" w:lineRule="auto"/>
      <w:jc w:val="center"/>
    </w:pPr>
    <w:rPr>
      <w:rFonts w:ascii="Arial" w:cs="Arial" w:eastAsia="Times New Roman" w:hAnsi="Arial"/>
      <w:b/>
      <w:bCs/>
      <w:color w:val="FFFFFF"/>
      <w:sz w:val="16"/>
      <w:szCs w:val="16"/>
      <w:lang w:eastAsia="hr-HR"/>
    </w:rPr>
  </w:style>
  <w:style w:customStyle="1" w:styleId="xl162" w:type="paragraph">
    <w:name w:val="xl162"/>
    <w:basedOn w:val="Normal"/>
    <w:rsid w:val="001E3364"/>
    <w:pPr>
      <w:pBdr>
        <w:top w:color="auto" w:space="0" w:sz="4" w:val="single"/>
        <w:left w:color="auto" w:space="0" w:sz="4" w:val="single"/>
        <w:right w:color="auto" w:space="0" w:sz="4" w:val="single"/>
      </w:pBdr>
      <w:shd w:color="auto" w:fill="969696" w:val="clear"/>
      <w:spacing w:after="100" w:afterAutospacing="1" w:before="100" w:beforeAutospacing="1" w:line="240" w:lineRule="auto"/>
      <w:jc w:val="center"/>
    </w:pPr>
    <w:rPr>
      <w:rFonts w:ascii="Arial" w:cs="Arial" w:eastAsia="Times New Roman" w:hAnsi="Arial"/>
      <w:b/>
      <w:bCs/>
      <w:color w:val="FFFFFF"/>
      <w:sz w:val="16"/>
      <w:szCs w:val="16"/>
      <w:lang w:eastAsia="hr-HR"/>
    </w:rPr>
  </w:style>
  <w:style w:customStyle="1" w:styleId="xl163" w:type="paragraph">
    <w:name w:val="xl163"/>
    <w:basedOn w:val="Normal"/>
    <w:rsid w:val="001E3364"/>
    <w:pPr>
      <w:pBdr>
        <w:top w:color="auto" w:space="0" w:sz="4" w:val="single"/>
        <w:bottom w:color="auto" w:space="0" w:sz="4" w:val="single"/>
      </w:pBdr>
      <w:spacing w:after="100" w:afterAutospacing="1" w:before="100" w:beforeAutospacing="1" w:line="240" w:lineRule="auto"/>
    </w:pPr>
    <w:rPr>
      <w:rFonts w:ascii="Arial" w:cs="Arial" w:eastAsia="Times New Roman" w:hAnsi="Arial"/>
      <w:sz w:val="16"/>
      <w:szCs w:val="16"/>
      <w:lang w:eastAsia="hr-HR"/>
    </w:rPr>
  </w:style>
  <w:style w:customStyle="1" w:styleId="xl164" w:type="paragraph">
    <w:name w:val="xl164"/>
    <w:basedOn w:val="Normal"/>
    <w:rsid w:val="001E3364"/>
    <w:pPr>
      <w:pBdr>
        <w:top w:color="auto" w:space="0" w:sz="4" w:val="single"/>
        <w:bottom w:color="auto" w:space="0" w:sz="4" w:val="single"/>
        <w:right w:color="auto" w:space="0" w:sz="4" w:val="single"/>
      </w:pBdr>
      <w:spacing w:after="100" w:afterAutospacing="1" w:before="100" w:beforeAutospacing="1" w:line="240" w:lineRule="auto"/>
    </w:pPr>
    <w:rPr>
      <w:rFonts w:ascii="Arial" w:cs="Arial" w:eastAsia="Times New Roman" w:hAnsi="Arial"/>
      <w:sz w:val="16"/>
      <w:szCs w:val="16"/>
      <w:lang w:eastAsia="hr-HR"/>
    </w:rPr>
  </w:style>
  <w:style w:customStyle="1" w:styleId="xl165" w:type="paragraph">
    <w:name w:val="xl165"/>
    <w:basedOn w:val="Normal"/>
    <w:rsid w:val="001E3364"/>
    <w:pPr>
      <w:pBdr>
        <w:top w:color="auto" w:space="0" w:sz="4" w:val="single"/>
        <w:left w:color="auto" w:space="0" w:sz="4" w:val="single"/>
        <w:bottom w:color="auto" w:space="0" w:sz="4" w:val="single"/>
      </w:pBdr>
      <w:shd w:color="auto" w:fill="DCE6F1" w:val="clear"/>
      <w:spacing w:after="100" w:afterAutospacing="1" w:before="100" w:beforeAutospacing="1" w:line="240" w:lineRule="auto"/>
    </w:pPr>
    <w:rPr>
      <w:rFonts w:ascii="Arial" w:cs="Arial" w:eastAsia="Times New Roman" w:hAnsi="Arial"/>
      <w:b/>
      <w:bCs/>
      <w:color w:val="000080"/>
      <w:sz w:val="20"/>
      <w:szCs w:val="20"/>
      <w:lang w:eastAsia="hr-HR"/>
    </w:rPr>
  </w:style>
  <w:style w:customStyle="1" w:styleId="xl166" w:type="paragraph">
    <w:name w:val="xl166"/>
    <w:basedOn w:val="Normal"/>
    <w:rsid w:val="001E3364"/>
    <w:pPr>
      <w:pBdr>
        <w:top w:color="auto" w:space="0" w:sz="4" w:val="single"/>
        <w:bottom w:color="auto" w:space="0" w:sz="4" w:val="single"/>
      </w:pBdr>
      <w:shd w:color="auto" w:fill="DCE6F1" w:val="clear"/>
      <w:spacing w:after="100" w:afterAutospacing="1" w:before="100" w:beforeAutospacing="1" w:line="240" w:lineRule="auto"/>
    </w:pPr>
    <w:rPr>
      <w:rFonts w:ascii="Arial" w:cs="Arial" w:eastAsia="Times New Roman" w:hAnsi="Arial"/>
      <w:sz w:val="16"/>
      <w:szCs w:val="16"/>
      <w:lang w:eastAsia="hr-HR"/>
    </w:rPr>
  </w:style>
  <w:style w:customStyle="1" w:styleId="xl167" w:type="paragraph">
    <w:name w:val="xl167"/>
    <w:basedOn w:val="Normal"/>
    <w:rsid w:val="001E3364"/>
    <w:pPr>
      <w:pBdr>
        <w:top w:color="auto" w:space="0" w:sz="4" w:val="single"/>
        <w:bottom w:color="auto" w:space="0" w:sz="4" w:val="single"/>
        <w:right w:color="auto" w:space="0" w:sz="4" w:val="single"/>
      </w:pBdr>
      <w:shd w:color="auto" w:fill="DCE6F1" w:val="clear"/>
      <w:spacing w:after="100" w:afterAutospacing="1" w:before="100" w:beforeAutospacing="1" w:line="240" w:lineRule="auto"/>
    </w:pPr>
    <w:rPr>
      <w:rFonts w:ascii="Arial" w:cs="Arial" w:eastAsia="Times New Roman" w:hAnsi="Arial"/>
      <w:sz w:val="16"/>
      <w:szCs w:val="16"/>
      <w:lang w:eastAsia="hr-HR"/>
    </w:rPr>
  </w:style>
  <w:style w:customStyle="1" w:styleId="xl168" w:type="paragraph">
    <w:name w:val="xl168"/>
    <w:basedOn w:val="Normal"/>
    <w:rsid w:val="001E3364"/>
    <w:pPr>
      <w:pBdr>
        <w:top w:color="auto" w:space="0" w:sz="4" w:val="single"/>
        <w:bottom w:color="auto" w:space="0" w:sz="4" w:val="single"/>
      </w:pBdr>
      <w:shd w:color="auto" w:fill="DCE6F1" w:val="clear"/>
      <w:spacing w:after="100" w:afterAutospacing="1" w:before="100" w:beforeAutospacing="1" w:line="240" w:lineRule="auto"/>
    </w:pPr>
    <w:rPr>
      <w:rFonts w:ascii="Arial" w:cs="Arial" w:eastAsia="Times New Roman" w:hAnsi="Arial"/>
      <w:color w:val="000080"/>
      <w:sz w:val="16"/>
      <w:szCs w:val="16"/>
      <w:lang w:eastAsia="hr-HR"/>
    </w:rPr>
  </w:style>
  <w:style w:customStyle="1" w:styleId="xl169" w:type="paragraph">
    <w:name w:val="xl169"/>
    <w:basedOn w:val="Normal"/>
    <w:rsid w:val="001E3364"/>
    <w:pPr>
      <w:pBdr>
        <w:left w:color="auto" w:space="0" w:sz="4" w:val="single"/>
        <w:bottom w:color="auto" w:space="0" w:sz="4" w:val="single"/>
      </w:pBdr>
      <w:spacing w:after="100" w:afterAutospacing="1" w:before="100" w:beforeAutospacing="1" w:line="240" w:lineRule="auto"/>
      <w:jc w:val="center"/>
    </w:pPr>
    <w:rPr>
      <w:rFonts w:ascii="Arial" w:cs="Arial" w:eastAsia="Times New Roman" w:hAnsi="Arial"/>
      <w:b/>
      <w:bCs/>
      <w:sz w:val="16"/>
      <w:szCs w:val="16"/>
      <w:lang w:eastAsia="hr-HR"/>
    </w:rPr>
  </w:style>
  <w:style w:customStyle="1" w:styleId="xl170" w:type="paragraph">
    <w:name w:val="xl170"/>
    <w:basedOn w:val="Normal"/>
    <w:rsid w:val="001E3364"/>
    <w:pPr>
      <w:pBdr>
        <w:top w:color="auto" w:space="0" w:sz="4" w:val="single"/>
        <w:left w:color="auto" w:space="0" w:sz="4" w:val="single"/>
        <w:bottom w:color="auto" w:space="0" w:sz="4" w:val="single"/>
      </w:pBdr>
      <w:spacing w:after="100" w:afterAutospacing="1" w:before="100" w:beforeAutospacing="1" w:line="240" w:lineRule="auto"/>
      <w:jc w:val="center"/>
    </w:pPr>
    <w:rPr>
      <w:rFonts w:ascii="Arial" w:cs="Arial" w:eastAsia="Times New Roman" w:hAnsi="Arial"/>
      <w:b/>
      <w:bCs/>
      <w:sz w:val="16"/>
      <w:szCs w:val="16"/>
      <w:lang w:eastAsia="hr-HR"/>
    </w:rPr>
  </w:style>
  <w:style w:customStyle="1" w:styleId="xl171" w:type="paragraph">
    <w:name w:val="xl171"/>
    <w:basedOn w:val="Normal"/>
    <w:rsid w:val="001E3364"/>
    <w:pPr>
      <w:pBdr>
        <w:top w:color="auto" w:space="0" w:sz="4" w:val="single"/>
        <w:left w:color="auto" w:space="0" w:sz="4" w:val="single"/>
        <w:bottom w:color="auto" w:space="0" w:sz="4" w:val="single"/>
      </w:pBdr>
      <w:spacing w:after="100" w:afterAutospacing="1" w:before="100" w:beforeAutospacing="1" w:line="240" w:lineRule="auto"/>
      <w:jc w:val="center"/>
    </w:pPr>
    <w:rPr>
      <w:rFonts w:ascii="Arial" w:cs="Arial" w:eastAsia="Times New Roman" w:hAnsi="Arial"/>
      <w:b/>
      <w:bCs/>
      <w:sz w:val="16"/>
      <w:szCs w:val="16"/>
      <w:lang w:eastAsia="hr-HR"/>
    </w:rPr>
  </w:style>
  <w:style w:customStyle="1" w:styleId="xl172" w:type="paragraph">
    <w:name w:val="xl172"/>
    <w:basedOn w:val="Normal"/>
    <w:rsid w:val="001E3364"/>
    <w:pPr>
      <w:pBdr>
        <w:top w:color="auto" w:space="0" w:sz="4" w:val="single"/>
        <w:bottom w:color="auto" w:space="0" w:sz="4" w:val="single"/>
      </w:pBdr>
      <w:spacing w:after="100" w:afterAutospacing="1" w:before="100" w:beforeAutospacing="1" w:line="240" w:lineRule="auto"/>
    </w:pPr>
    <w:rPr>
      <w:rFonts w:ascii="Arial" w:cs="Arial" w:eastAsia="Times New Roman" w:hAnsi="Arial"/>
      <w:color w:val="000080"/>
      <w:sz w:val="16"/>
      <w:szCs w:val="16"/>
      <w:lang w:eastAsia="hr-HR"/>
    </w:rPr>
  </w:style>
  <w:style w:customStyle="1" w:styleId="xl173" w:type="paragraph">
    <w:name w:val="xl173"/>
    <w:basedOn w:val="Normal"/>
    <w:rsid w:val="001E3364"/>
    <w:pPr>
      <w:pBdr>
        <w:top w:color="auto" w:space="0" w:sz="4" w:val="single"/>
        <w:left w:color="auto" w:space="0" w:sz="4" w:val="single"/>
        <w:bottom w:color="auto" w:space="0" w:sz="4" w:val="single"/>
      </w:pBdr>
      <w:spacing w:after="100" w:afterAutospacing="1" w:before="100" w:beforeAutospacing="1" w:line="240" w:lineRule="auto"/>
      <w:jc w:val="center"/>
    </w:pPr>
    <w:rPr>
      <w:rFonts w:ascii="Arial" w:cs="Arial" w:eastAsia="Times New Roman" w:hAnsi="Arial"/>
      <w:b/>
      <w:bCs/>
      <w:sz w:val="16"/>
      <w:szCs w:val="16"/>
      <w:lang w:eastAsia="hr-HR"/>
    </w:rPr>
  </w:style>
  <w:style w:customStyle="1" w:styleId="xl174" w:type="paragraph">
    <w:name w:val="xl174"/>
    <w:basedOn w:val="Normal"/>
    <w:rsid w:val="001E3364"/>
    <w:pPr>
      <w:pBdr>
        <w:top w:color="auto" w:space="0" w:sz="4" w:val="single"/>
        <w:left w:color="auto" w:space="0" w:sz="4" w:val="single"/>
        <w:bottom w:color="auto" w:space="0" w:sz="4" w:val="single"/>
      </w:pBdr>
      <w:shd w:color="auto" w:fill="DCE6F1" w:val="clear"/>
      <w:spacing w:after="100" w:afterAutospacing="1" w:before="100" w:beforeAutospacing="1" w:line="240" w:lineRule="auto"/>
    </w:pPr>
    <w:rPr>
      <w:rFonts w:ascii="Arial" w:cs="Arial" w:eastAsia="Times New Roman" w:hAnsi="Arial"/>
      <w:sz w:val="16"/>
      <w:szCs w:val="16"/>
      <w:lang w:eastAsia="hr-HR"/>
    </w:rPr>
  </w:style>
  <w:style w:customStyle="1" w:styleId="xl175" w:type="paragraph">
    <w:name w:val="xl175"/>
    <w:basedOn w:val="Normal"/>
    <w:rsid w:val="001E3364"/>
    <w:pPr>
      <w:pBdr>
        <w:left w:color="auto" w:space="0" w:sz="4" w:val="single"/>
      </w:pBdr>
      <w:spacing w:after="100" w:afterAutospacing="1" w:before="100" w:beforeAutospacing="1" w:line="240" w:lineRule="auto"/>
    </w:pPr>
    <w:rPr>
      <w:rFonts w:ascii="Arial" w:cs="Arial" w:eastAsia="Times New Roman" w:hAnsi="Arial"/>
      <w:sz w:val="16"/>
      <w:szCs w:val="16"/>
      <w:lang w:eastAsia="hr-HR"/>
    </w:rPr>
  </w:style>
  <w:style w:customStyle="1" w:styleId="xl176" w:type="paragraph">
    <w:name w:val="xl176"/>
    <w:basedOn w:val="Normal"/>
    <w:rsid w:val="001E3364"/>
    <w:pPr>
      <w:pBdr>
        <w:left w:color="auto" w:space="0" w:sz="4" w:val="single"/>
        <w:bottom w:color="auto" w:space="0" w:sz="4" w:val="single"/>
      </w:pBdr>
      <w:spacing w:after="100" w:afterAutospacing="1" w:before="100" w:beforeAutospacing="1" w:line="240" w:lineRule="auto"/>
    </w:pPr>
    <w:rPr>
      <w:rFonts w:ascii="Arial" w:cs="Arial" w:eastAsia="Times New Roman" w:hAnsi="Arial"/>
      <w:sz w:val="16"/>
      <w:szCs w:val="16"/>
      <w:lang w:eastAsia="hr-HR"/>
    </w:rPr>
  </w:style>
  <w:style w:customStyle="1" w:styleId="xl177" w:type="paragraph">
    <w:name w:val="xl177"/>
    <w:basedOn w:val="Normal"/>
    <w:rsid w:val="001E3364"/>
    <w:pPr>
      <w:pBdr>
        <w:left w:color="auto" w:space="0" w:sz="4" w:val="single"/>
      </w:pBdr>
      <w:spacing w:after="100" w:afterAutospacing="1" w:before="100" w:beforeAutospacing="1" w:line="240" w:lineRule="auto"/>
    </w:pPr>
    <w:rPr>
      <w:rFonts w:ascii="Arial" w:cs="Arial" w:eastAsia="Times New Roman" w:hAnsi="Arial"/>
      <w:sz w:val="16"/>
      <w:szCs w:val="16"/>
      <w:lang w:eastAsia="hr-HR"/>
    </w:rPr>
  </w:style>
  <w:style w:customStyle="1" w:styleId="xl178" w:type="paragraph">
    <w:name w:val="xl178"/>
    <w:basedOn w:val="Normal"/>
    <w:rsid w:val="001E3364"/>
    <w:pPr>
      <w:pBdr>
        <w:top w:color="auto" w:space="0" w:sz="4" w:val="single"/>
        <w:left w:color="auto" w:space="0" w:sz="4" w:val="single"/>
        <w:bottom w:color="auto" w:space="0" w:sz="4" w:val="single"/>
      </w:pBdr>
      <w:shd w:color="C0C0C0" w:fill="C0C0C0" w:val="pct12"/>
      <w:spacing w:after="100" w:afterAutospacing="1" w:before="100" w:beforeAutospacing="1" w:line="240" w:lineRule="auto"/>
    </w:pPr>
    <w:rPr>
      <w:rFonts w:ascii="Arial" w:cs="Arial" w:eastAsia="Times New Roman" w:hAnsi="Arial"/>
      <w:color w:val="000080"/>
      <w:sz w:val="16"/>
      <w:szCs w:val="16"/>
      <w:lang w:eastAsia="hr-HR"/>
    </w:rPr>
  </w:style>
  <w:style w:customStyle="1" w:styleId="xl179" w:type="paragraph">
    <w:name w:val="xl179"/>
    <w:basedOn w:val="Normal"/>
    <w:rsid w:val="001E3364"/>
    <w:pPr>
      <w:pBdr>
        <w:top w:color="auto" w:space="0" w:sz="4" w:val="single"/>
        <w:left w:color="auto" w:space="0" w:sz="4" w:val="single"/>
        <w:bottom w:color="auto" w:space="0" w:sz="4" w:val="single"/>
        <w:right w:color="auto" w:space="0" w:sz="4" w:val="single"/>
      </w:pBdr>
      <w:shd w:color="C0C0C0" w:fill="C0C0C0" w:val="pct12"/>
      <w:spacing w:after="100" w:afterAutospacing="1" w:before="100" w:beforeAutospacing="1" w:line="240" w:lineRule="auto"/>
    </w:pPr>
    <w:rPr>
      <w:rFonts w:ascii="Arial" w:cs="Arial" w:eastAsia="Times New Roman" w:hAnsi="Arial"/>
      <w:color w:val="000080"/>
      <w:sz w:val="16"/>
      <w:szCs w:val="16"/>
      <w:lang w:eastAsia="hr-HR"/>
    </w:rPr>
  </w:style>
  <w:style w:customStyle="1" w:styleId="xl180" w:type="paragraph">
    <w:name w:val="xl180"/>
    <w:basedOn w:val="Normal"/>
    <w:rsid w:val="001E3364"/>
    <w:pPr>
      <w:pBdr>
        <w:top w:color="auto" w:space="0" w:sz="4" w:val="single"/>
        <w:bottom w:color="auto" w:space="0" w:sz="4" w:val="single"/>
      </w:pBdr>
      <w:spacing w:after="100" w:afterAutospacing="1" w:before="100" w:beforeAutospacing="1" w:line="240" w:lineRule="auto"/>
    </w:pPr>
    <w:rPr>
      <w:rFonts w:ascii="Arial" w:cs="Arial" w:eastAsia="Times New Roman" w:hAnsi="Arial"/>
      <w:color w:val="000080"/>
      <w:sz w:val="16"/>
      <w:szCs w:val="16"/>
      <w:lang w:eastAsia="hr-HR"/>
    </w:rPr>
  </w:style>
  <w:style w:customStyle="1" w:styleId="xl181" w:type="paragraph">
    <w:name w:val="xl181"/>
    <w:basedOn w:val="Normal"/>
    <w:rsid w:val="001E3364"/>
    <w:pPr>
      <w:pBdr>
        <w:top w:color="auto" w:space="0" w:sz="4" w:val="single"/>
        <w:left w:color="auto" w:space="0" w:sz="4" w:val="single"/>
        <w:bottom w:color="auto" w:space="0" w:sz="4" w:val="single"/>
      </w:pBdr>
      <w:spacing w:after="100" w:afterAutospacing="1" w:before="100" w:beforeAutospacing="1" w:line="240" w:lineRule="auto"/>
    </w:pPr>
    <w:rPr>
      <w:rFonts w:ascii="Arial" w:cs="Arial" w:eastAsia="Times New Roman" w:hAnsi="Arial"/>
      <w:sz w:val="16"/>
      <w:szCs w:val="16"/>
      <w:lang w:eastAsia="hr-HR"/>
    </w:rPr>
  </w:style>
  <w:style w:customStyle="1" w:styleId="font6" w:type="paragraph">
    <w:name w:val="font6"/>
    <w:basedOn w:val="Normal"/>
    <w:rsid w:val="001E3364"/>
    <w:pPr>
      <w:spacing w:after="100" w:afterAutospacing="1" w:before="100" w:beforeAutospacing="1" w:line="240" w:lineRule="auto"/>
    </w:pPr>
    <w:rPr>
      <w:rFonts w:ascii="Tahoma" w:cs="Tahoma" w:eastAsia="Times New Roman" w:hAnsi="Tahoma"/>
      <w:color w:val="000000"/>
      <w:sz w:val="18"/>
      <w:szCs w:val="18"/>
      <w:lang w:eastAsia="hr-HR"/>
    </w:rPr>
  </w:style>
  <w:style w:customStyle="1" w:styleId="xl182" w:type="paragraph">
    <w:name w:val="xl182"/>
    <w:basedOn w:val="Normal"/>
    <w:rsid w:val="001E3364"/>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cs="Times New Roman" w:eastAsia="Times New Roman" w:hAnsi="Times New Roman"/>
      <w:b/>
      <w:bCs/>
      <w:sz w:val="16"/>
      <w:szCs w:val="16"/>
      <w:lang w:eastAsia="hr-HR"/>
    </w:rPr>
  </w:style>
  <w:style w:customStyle="1" w:styleId="xl183" w:type="paragraph">
    <w:name w:val="xl183"/>
    <w:basedOn w:val="Normal"/>
    <w:rsid w:val="001E3364"/>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pPr>
    <w:rPr>
      <w:rFonts w:ascii="Times New Roman" w:cs="Times New Roman" w:eastAsia="Times New Roman" w:hAnsi="Times New Roman"/>
      <w:b/>
      <w:bCs/>
      <w:sz w:val="16"/>
      <w:szCs w:val="16"/>
      <w:lang w:eastAsia="hr-HR"/>
    </w:rPr>
  </w:style>
  <w:style w:customStyle="1" w:styleId="xl184" w:type="paragraph">
    <w:name w:val="xl184"/>
    <w:basedOn w:val="Normal"/>
    <w:rsid w:val="001E3364"/>
    <w:pPr>
      <w:spacing w:after="100" w:afterAutospacing="1" w:before="100" w:beforeAutospacing="1" w:line="240" w:lineRule="auto"/>
      <w:jc w:val="right"/>
    </w:pPr>
    <w:rPr>
      <w:rFonts w:ascii="Times New Roman" w:cs="Times New Roman" w:eastAsia="Times New Roman" w:hAnsi="Times New Roman"/>
      <w:sz w:val="16"/>
      <w:szCs w:val="16"/>
      <w:lang w:eastAsia="hr-HR"/>
    </w:rPr>
  </w:style>
  <w:style w:customStyle="1" w:styleId="xl185" w:type="paragraph">
    <w:name w:val="xl185"/>
    <w:basedOn w:val="Normal"/>
    <w:rsid w:val="001E3364"/>
    <w:pPr>
      <w:spacing w:after="100" w:afterAutospacing="1" w:before="100" w:beforeAutospacing="1" w:line="240" w:lineRule="auto"/>
      <w:jc w:val="right"/>
    </w:pPr>
    <w:rPr>
      <w:rFonts w:ascii="Times New Roman" w:cs="Times New Roman" w:eastAsia="Times New Roman" w:hAnsi="Times New Roman"/>
      <w:sz w:val="16"/>
      <w:szCs w:val="16"/>
      <w:lang w:eastAsia="hr-HR"/>
    </w:rPr>
  </w:style>
  <w:style w:customStyle="1" w:styleId="xl186" w:type="paragraph">
    <w:name w:val="xl186"/>
    <w:basedOn w:val="Normal"/>
    <w:rsid w:val="001E3364"/>
    <w:pPr>
      <w:spacing w:after="100" w:afterAutospacing="1" w:before="100" w:beforeAutospacing="1" w:line="240" w:lineRule="auto"/>
      <w:jc w:val="right"/>
    </w:pPr>
    <w:rPr>
      <w:rFonts w:ascii="Times New Roman" w:cs="Times New Roman" w:eastAsia="Times New Roman" w:hAnsi="Times New Roman"/>
      <w:b/>
      <w:bCs/>
      <w:sz w:val="16"/>
      <w:szCs w:val="16"/>
      <w:lang w:eastAsia="hr-HR"/>
    </w:rPr>
  </w:style>
  <w:style w:customStyle="1" w:styleId="xl187" w:type="paragraph">
    <w:name w:val="xl187"/>
    <w:basedOn w:val="Normal"/>
    <w:rsid w:val="001E3364"/>
    <w:pPr>
      <w:spacing w:after="100" w:afterAutospacing="1" w:before="100" w:beforeAutospacing="1" w:line="240" w:lineRule="auto"/>
      <w:jc w:val="center"/>
    </w:pPr>
    <w:rPr>
      <w:rFonts w:ascii="Times New Roman" w:cs="Times New Roman" w:eastAsia="Times New Roman" w:hAnsi="Times New Roman"/>
      <w:sz w:val="16"/>
      <w:szCs w:val="16"/>
      <w:lang w:eastAsia="hr-HR"/>
    </w:rPr>
  </w:style>
  <w:style w:customStyle="1" w:styleId="xl188" w:type="paragraph">
    <w:name w:val="xl188"/>
    <w:basedOn w:val="Normal"/>
    <w:rsid w:val="001E3364"/>
    <w:pPr>
      <w:spacing w:after="100" w:afterAutospacing="1" w:before="100" w:beforeAutospacing="1" w:line="240" w:lineRule="auto"/>
      <w:jc w:val="center"/>
    </w:pPr>
    <w:rPr>
      <w:rFonts w:ascii="Times New Roman" w:cs="Times New Roman" w:eastAsia="Times New Roman" w:hAnsi="Times New Roman"/>
      <w:sz w:val="16"/>
      <w:szCs w:val="16"/>
      <w:lang w:eastAsia="hr-HR"/>
    </w:rPr>
  </w:style>
  <w:style w:customStyle="1" w:styleId="xl189" w:type="paragraph">
    <w:name w:val="xl189"/>
    <w:basedOn w:val="Normal"/>
    <w:rsid w:val="001E3364"/>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pPr>
    <w:rPr>
      <w:rFonts w:ascii="Times New Roman" w:cs="Times New Roman" w:eastAsia="Times New Roman" w:hAnsi="Times New Roman"/>
      <w:b/>
      <w:bCs/>
      <w:sz w:val="16"/>
      <w:szCs w:val="16"/>
      <w:lang w:eastAsia="hr-HR"/>
    </w:rPr>
  </w:style>
  <w:style w:customStyle="1" w:styleId="xl190" w:type="paragraph">
    <w:name w:val="xl190"/>
    <w:basedOn w:val="Normal"/>
    <w:rsid w:val="001E3364"/>
    <w:pPr>
      <w:pBdr>
        <w:top w:color="auto" w:space="0" w:sz="4" w:val="single"/>
        <w:left w:color="auto" w:space="0" w:sz="4" w:val="single"/>
        <w:right w:color="auto" w:space="0" w:sz="4" w:val="single"/>
      </w:pBdr>
      <w:spacing w:after="100" w:afterAutospacing="1" w:before="100" w:beforeAutospacing="1" w:line="240" w:lineRule="auto"/>
      <w:jc w:val="center"/>
    </w:pPr>
    <w:rPr>
      <w:rFonts w:ascii="Times New Roman" w:cs="Times New Roman" w:eastAsia="Times New Roman" w:hAnsi="Times New Roman"/>
      <w:sz w:val="16"/>
      <w:szCs w:val="16"/>
      <w:lang w:eastAsia="hr-HR"/>
    </w:rPr>
  </w:style>
  <w:style w:customStyle="1" w:styleId="xl191" w:type="paragraph">
    <w:name w:val="xl191"/>
    <w:basedOn w:val="Normal"/>
    <w:rsid w:val="001E3364"/>
    <w:pPr>
      <w:pBdr>
        <w:left w:color="auto" w:space="0" w:sz="4" w:val="single"/>
        <w:bottom w:color="auto" w:space="0" w:sz="4" w:val="single"/>
        <w:right w:color="auto" w:space="0" w:sz="4" w:val="single"/>
      </w:pBdr>
      <w:spacing w:after="100" w:afterAutospacing="1" w:before="100" w:beforeAutospacing="1" w:line="240" w:lineRule="auto"/>
      <w:jc w:val="center"/>
    </w:pPr>
    <w:rPr>
      <w:rFonts w:ascii="Times New Roman" w:cs="Times New Roman" w:eastAsia="Times New Roman" w:hAnsi="Times New Roman"/>
      <w:sz w:val="16"/>
      <w:szCs w:val="16"/>
      <w:lang w:eastAsia="hr-HR"/>
    </w:rPr>
  </w:style>
  <w:style w:customStyle="1" w:styleId="xl192" w:type="paragraph">
    <w:name w:val="xl192"/>
    <w:basedOn w:val="Normal"/>
    <w:rsid w:val="001E3364"/>
    <w:pPr>
      <w:pBdr>
        <w:top w:color="auto" w:space="0" w:sz="4" w:val="single"/>
        <w:left w:color="auto" w:space="0" w:sz="4" w:val="single"/>
        <w:right w:color="auto" w:space="0" w:sz="4" w:val="single"/>
      </w:pBdr>
      <w:spacing w:after="100" w:afterAutospacing="1" w:before="100" w:beforeAutospacing="1" w:line="240" w:lineRule="auto"/>
    </w:pPr>
    <w:rPr>
      <w:rFonts w:ascii="Times New Roman" w:cs="Times New Roman" w:eastAsia="Times New Roman" w:hAnsi="Times New Roman"/>
      <w:sz w:val="16"/>
      <w:szCs w:val="16"/>
      <w:lang w:eastAsia="hr-HR"/>
    </w:rPr>
  </w:style>
  <w:style w:customStyle="1" w:styleId="xl193" w:type="paragraph">
    <w:name w:val="xl193"/>
    <w:basedOn w:val="Normal"/>
    <w:rsid w:val="001E3364"/>
    <w:pPr>
      <w:pBdr>
        <w:left w:color="auto" w:space="0" w:sz="4" w:val="single"/>
        <w:bottom w:color="auto" w:space="0" w:sz="4" w:val="single"/>
        <w:right w:color="auto" w:space="0" w:sz="4" w:val="single"/>
      </w:pBdr>
      <w:spacing w:after="100" w:afterAutospacing="1" w:before="100" w:beforeAutospacing="1" w:line="240" w:lineRule="auto"/>
    </w:pPr>
    <w:rPr>
      <w:rFonts w:ascii="Times New Roman" w:cs="Times New Roman" w:eastAsia="Times New Roman" w:hAnsi="Times New Roman"/>
      <w:sz w:val="16"/>
      <w:szCs w:val="16"/>
      <w:lang w:eastAsia="hr-HR"/>
    </w:rPr>
  </w:style>
  <w:style w:customStyle="1" w:styleId="xl194" w:type="paragraph">
    <w:name w:val="xl194"/>
    <w:basedOn w:val="Normal"/>
    <w:rsid w:val="001E3364"/>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cs="Times New Roman" w:eastAsia="Times New Roman" w:hAnsi="Times New Roman"/>
      <w:sz w:val="16"/>
      <w:szCs w:val="16"/>
      <w:lang w:eastAsia="hr-HR"/>
    </w:rPr>
  </w:style>
  <w:style w:customStyle="1" w:styleId="xl195" w:type="paragraph">
    <w:name w:val="xl195"/>
    <w:basedOn w:val="Normal"/>
    <w:rsid w:val="001E3364"/>
    <w:pPr>
      <w:pBdr>
        <w:top w:color="auto" w:space="0" w:sz="4" w:val="single"/>
        <w:left w:color="auto" w:space="0" w:sz="4" w:val="single"/>
        <w:right w:color="auto" w:space="0" w:sz="4" w:val="single"/>
      </w:pBdr>
      <w:spacing w:after="100" w:afterAutospacing="1" w:before="100" w:beforeAutospacing="1" w:line="240" w:lineRule="auto"/>
      <w:jc w:val="center"/>
    </w:pPr>
    <w:rPr>
      <w:rFonts w:ascii="Times New Roman" w:cs="Times New Roman" w:eastAsia="Times New Roman" w:hAnsi="Times New Roman"/>
      <w:sz w:val="16"/>
      <w:szCs w:val="16"/>
      <w:lang w:eastAsia="hr-HR"/>
    </w:rPr>
  </w:style>
  <w:style w:customStyle="1" w:styleId="xl196" w:type="paragraph">
    <w:name w:val="xl196"/>
    <w:basedOn w:val="Normal"/>
    <w:rsid w:val="001E3364"/>
    <w:pPr>
      <w:pBdr>
        <w:left w:color="auto" w:space="0" w:sz="4" w:val="single"/>
        <w:bottom w:color="auto" w:space="0" w:sz="4" w:val="single"/>
        <w:right w:color="auto" w:space="0" w:sz="4" w:val="single"/>
      </w:pBdr>
      <w:spacing w:after="100" w:afterAutospacing="1" w:before="100" w:beforeAutospacing="1" w:line="240" w:lineRule="auto"/>
      <w:jc w:val="center"/>
    </w:pPr>
    <w:rPr>
      <w:rFonts w:ascii="Times New Roman" w:cs="Times New Roman" w:eastAsia="Times New Roman" w:hAnsi="Times New Roman"/>
      <w:sz w:val="16"/>
      <w:szCs w:val="16"/>
      <w:lang w:eastAsia="hr-HR"/>
    </w:rPr>
  </w:style>
  <w:style w:styleId="Referencakomentara" w:type="character">
    <w:name w:val="annotation reference"/>
    <w:basedOn w:val="Zadanifontodlomka"/>
    <w:uiPriority w:val="99"/>
    <w:semiHidden/>
    <w:unhideWhenUsed/>
    <w:rsid w:val="001E3364"/>
    <w:rPr>
      <w:sz w:val="16"/>
      <w:szCs w:val="16"/>
    </w:rPr>
  </w:style>
  <w:style w:customStyle="1" w:styleId="CharacterStyle3" w:type="character">
    <w:name w:val="Character Style 3"/>
    <w:uiPriority w:val="99"/>
    <w:rsid w:val="001E3364"/>
    <w:rPr>
      <w:rFonts w:ascii="Arial" w:cs="Arial" w:hAnsi="Arial" w:hint="default"/>
      <w:sz w:val="22"/>
      <w:szCs w:val="22"/>
    </w:rPr>
  </w:style>
  <w:style w:customStyle="1" w:styleId="CharacterStyle2" w:type="character">
    <w:name w:val="Character Style 2"/>
    <w:uiPriority w:val="99"/>
    <w:rsid w:val="001E3364"/>
    <w:rPr>
      <w:rFonts w:ascii="Arial" w:cs="Arial" w:hAnsi="Arial" w:hint="default"/>
      <w:sz w:val="18"/>
      <w:szCs w:val="18"/>
    </w:rPr>
  </w:style>
  <w:style w:styleId="Reetkatablice" w:type="table">
    <w:name w:val="Table Grid"/>
    <w:basedOn w:val="Obinatablica"/>
    <w:uiPriority w:val="59"/>
    <w:rsid w:val="001E3364"/>
    <w:pPr>
      <w:spacing w:after="0" w:line="240" w:lineRule="auto"/>
    </w:pPr>
    <w:rPr>
      <w:rFonts w:asciiTheme="minorHAnsi" w:hAnsiTheme="minorHAnsi"/>
      <w:sz w:val="22"/>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Svijetlosjenanje" w:type="table">
    <w:name w:val="Light Shading"/>
    <w:basedOn w:val="Obinatablica"/>
    <w:uiPriority w:val="60"/>
    <w:rsid w:val="001E3364"/>
    <w:pPr>
      <w:spacing w:after="0" w:line="240" w:lineRule="auto"/>
    </w:pPr>
    <w:rPr>
      <w:rFonts w:asciiTheme="minorHAnsi" w:hAnsiTheme="minorHAnsi"/>
      <w:color w:themeColor="text1" w:themeShade="BF" w:val="000000"/>
      <w:sz w:val="22"/>
    </w:rPr>
    <w:tblPr>
      <w:tblStyleRowBandSize w:val="1"/>
      <w:tblStyleColBandSize w:val="1"/>
      <w:tblInd w:type="nil" w:w="0"/>
      <w:tblBorders>
        <w:top w:color="000000" w:space="0" w:sz="8" w:themeColor="text1" w:val="single"/>
        <w:bottom w:color="000000" w:space="0" w:sz="8" w:themeColor="text1" w:val="single"/>
      </w:tblBorders>
    </w:tblPr>
    <w:tblStylePr w:type="firstRow">
      <w:pPr>
        <w:spacing w:after="0" w:afterAutospacing="0" w:afterLines="0" w:before="0" w:beforeAutospacing="0" w:beforeLines="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afterAutospacing="0" w:afterLines="0" w:before="0" w:beforeAutospacing="0" w:beforeLines="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60"/>
    <w:rsid w:val="001E3364"/>
    <w:pPr>
      <w:spacing w:after="0" w:line="240" w:lineRule="auto"/>
    </w:pPr>
    <w:rPr>
      <w:rFonts w:asciiTheme="minorHAnsi" w:hAnsiTheme="minorHAnsi"/>
      <w:color w:themeColor="accent1" w:themeShade="BF" w:val="365F91"/>
      <w:sz w:val="22"/>
    </w:rPr>
    <w:tblPr>
      <w:tblStyleRowBandSize w:val="1"/>
      <w:tblStyleColBandSize w:val="1"/>
      <w:tblInd w:type="nil" w:w="0"/>
      <w:tblBorders>
        <w:top w:color="4F81BD" w:space="0" w:sz="8" w:themeColor="accent1" w:val="single"/>
        <w:bottom w:color="4F81BD" w:space="0" w:sz="8" w:themeColor="accent1" w:val="single"/>
      </w:tblBorders>
    </w:tblPr>
    <w:tblStylePr w:type="firstRow">
      <w:pPr>
        <w:spacing w:after="0" w:afterAutospacing="0" w:afterLines="0" w:before="0" w:beforeAutospacing="0" w:beforeLines="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afterAutospacing="0" w:afterLines="0" w:before="0" w:beforeAutospacing="0" w:beforeLines="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ipopis-Isticanje1" w:type="table">
    <w:name w:val="Light List Accent 1"/>
    <w:basedOn w:val="Obinatablica"/>
    <w:uiPriority w:val="61"/>
    <w:rsid w:val="001E3364"/>
    <w:pPr>
      <w:spacing w:after="0" w:line="240" w:lineRule="auto"/>
    </w:pPr>
    <w:rPr>
      <w:rFonts w:asciiTheme="minorHAnsi" w:hAnsiTheme="minorHAnsi"/>
      <w:sz w:val="22"/>
    </w:rPr>
    <w:tblPr>
      <w:tblStyleRowBandSize w:val="1"/>
      <w:tblStyleColBandSize w:val="1"/>
      <w:tblInd w:type="nil"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afterAutospacing="0" w:afterLines="0" w:before="0" w:beforeAutospacing="0" w:beforeLines="0" w:line="240" w:lineRule="auto"/>
      </w:pPr>
      <w:rPr>
        <w:b/>
        <w:bCs/>
        <w:color w:themeColor="background1" w:val="FFFFFF"/>
      </w:rPr>
      <w:tblPr/>
      <w:tcPr>
        <w:shd w:color="auto" w:fill="4F81BD" w:themeFill="accent1" w:val="clear"/>
      </w:tcPr>
    </w:tblStylePr>
    <w:tblStylePr w:type="lastRow">
      <w:pPr>
        <w:spacing w:after="0" w:afterAutospacing="0" w:afterLines="0" w:before="0" w:beforeAutospacing="0" w:beforeLines="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5" w:type="table">
    <w:name w:val="Light List Accent 5"/>
    <w:basedOn w:val="Obinatablica"/>
    <w:uiPriority w:val="61"/>
    <w:rsid w:val="001E3364"/>
    <w:pPr>
      <w:spacing w:after="0" w:line="240" w:lineRule="auto"/>
    </w:pPr>
    <w:rPr>
      <w:rFonts w:asciiTheme="minorHAnsi" w:hAnsiTheme="minorHAnsi"/>
      <w:sz w:val="22"/>
    </w:rPr>
    <w:tblPr>
      <w:tblStyleRowBandSize w:val="1"/>
      <w:tblStyleColBandSize w:val="1"/>
      <w:tblInd w:type="nil"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afterAutospacing="0" w:afterLines="0" w:before="0" w:beforeAutospacing="0" w:beforeLines="0" w:line="240" w:lineRule="auto"/>
      </w:pPr>
      <w:rPr>
        <w:b/>
        <w:bCs/>
        <w:color w:themeColor="background1" w:val="FFFFFF"/>
      </w:rPr>
      <w:tblPr/>
      <w:tcPr>
        <w:shd w:color="auto" w:fill="4BACC6" w:themeFill="accent5" w:val="clear"/>
      </w:tcPr>
    </w:tblStylePr>
    <w:tblStylePr w:type="lastRow">
      <w:pPr>
        <w:spacing w:after="0" w:afterAutospacing="0" w:afterLines="0" w:before="0" w:beforeAutospacing="0" w:beforeLines="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Tekstrezerviranogmjesta" w:type="character">
    <w:name w:val="Placeholder Text"/>
    <w:basedOn w:val="Zadanifontodlomka"/>
    <w:uiPriority w:val="99"/>
    <w:semiHidden/>
    <w:rsid w:val="001403B6"/>
    <w:rPr>
      <w:color w:val="808080"/>
      <w:bdr w:color="auto" w:space="0" w:sz="0" w:val="none"/>
      <w:shd w:color="auto" w:fill="auto" w:val="clear"/>
    </w:rPr>
  </w:style>
  <w:style w:customStyle="1" w:styleId="eSPISCCParagraphDefaultFont" w:type="character">
    <w:name w:val="eSPIS_CC_Paragraph Default Font"/>
    <w:basedOn w:val="Zadanifontodlomka"/>
    <w:rsid w:val="001403B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403B6"/>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403B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403B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270144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yperlink" Target="file:///C:\Users\mbizjak\AppData\Local\Microsoft\Windows\Temporary%20Internet%20Files\Content.Outlook\9EV5D104\15.%20Plan%20fin%20i%20oper%20restrukturiranja%20Anamil.docx" TargetMode="External"/><Relationship Id="rId13" Type="http://schemas.openxmlformats.org/officeDocument/2006/relationships/hyperlink" Target="file:///C:\Users\mbizjak\AppData\Local\Microsoft\Windows\Temporary%20Internet%20Files\Content.Outlook\9EV5D104\15.%20Plan%20fin%20i%20oper%20restrukturiranja%20Anamil.docx" TargetMode="External"/><Relationship Id="rId18" Type="http://schemas.openxmlformats.org/officeDocument/2006/relationships/hyperlink" Target="file:///C:\Users\mbizjak\AppData\Local\Microsoft\Windows\Temporary%20Internet%20Files\Content.Outlook\9EV5D104\15.%20Plan%20fin%20i%20oper%20restrukturiranja%20Anamil.docx"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file:///C:\Users\mbizjak\AppData\Local\Microsoft\Windows\Temporary%20Internet%20Files\Content.Outlook\9EV5D104\15.%20Plan%20fin%20i%20oper%20restrukturiranja%20Anamil.docx" TargetMode="External"/><Relationship Id="rId7" Type="http://schemas.openxmlformats.org/officeDocument/2006/relationships/hyperlink" Target="file:///C:\Users\mbizjak\AppData\Local\Microsoft\Windows\Temporary%20Internet%20Files\Content.Outlook\9EV5D104\15.%20Plan%20fin%20i%20oper%20restrukturiranja%20Anamil.docx" TargetMode="External"/><Relationship Id="rId12" Type="http://schemas.openxmlformats.org/officeDocument/2006/relationships/hyperlink" Target="file:///C:\Users\mbizjak\AppData\Local\Microsoft\Windows\Temporary%20Internet%20Files\Content.Outlook\9EV5D104\15.%20Plan%20fin%20i%20oper%20restrukturiranja%20Anamil.docx" TargetMode="External"/><Relationship Id="rId17" Type="http://schemas.openxmlformats.org/officeDocument/2006/relationships/hyperlink" Target="file:///C:\Users\mbizjak\AppData\Local\Microsoft\Windows\Temporary%20Internet%20Files\Content.Outlook\9EV5D104\15.%20Plan%20fin%20i%20oper%20restrukturiranja%20Anamil.docx" TargetMode="External"/><Relationship Id="rId25" Type="http://schemas.openxmlformats.org/officeDocument/2006/relationships/hyperlink" Target="file:///C:\Users\mbizjak\AppData\Local\Microsoft\Windows\Temporary%20Internet%20Files\Content.Outlook\9EV5D104\15.%20Plan%20fin%20i%20oper%20restrukturiranja%20Anamil.docx" TargetMode="External"/><Relationship Id="rId2" Type="http://schemas.openxmlformats.org/officeDocument/2006/relationships/numbering" Target="numbering.xml"/><Relationship Id="rId16" Type="http://schemas.openxmlformats.org/officeDocument/2006/relationships/hyperlink" Target="file:///C:\Users\mbizjak\AppData\Local\Microsoft\Windows\Temporary%20Internet%20Files\Content.Outlook\9EV5D104\15.%20Plan%20fin%20i%20oper%20restrukturiranja%20Anamil.docx" TargetMode="External"/><Relationship Id="rId20" Type="http://schemas.openxmlformats.org/officeDocument/2006/relationships/hyperlink" Target="file:///C:\Users\mbizjak\AppData\Local\Microsoft\Windows\Temporary%20Internet%20Files\Content.Outlook\9EV5D104\15.%20Plan%20fin%20i%20oper%20restrukturiranja%20Anamil.doc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mbizjak\AppData\Local\Microsoft\Windows\Temporary%20Internet%20Files\Content.Outlook\9EV5D104\15.%20Plan%20fin%20i%20oper%20restrukturiranja%20Anamil.docx" TargetMode="External"/><Relationship Id="rId24" Type="http://schemas.openxmlformats.org/officeDocument/2006/relationships/hyperlink" Target="file:///C:\Users\mbizjak\AppData\Local\Microsoft\Windows\Temporary%20Internet%20Files\Content.Outlook\9EV5D104\15.%20Plan%20fin%20i%20oper%20restrukturiranja%20Anamil.docx" TargetMode="External"/><Relationship Id="rId5" Type="http://schemas.openxmlformats.org/officeDocument/2006/relationships/settings" Target="settings.xml"/><Relationship Id="rId15" Type="http://schemas.openxmlformats.org/officeDocument/2006/relationships/hyperlink" Target="file:///C:\Users\mbizjak\AppData\Local\Microsoft\Windows\Temporary%20Internet%20Files\Content.Outlook\9EV5D104\15.%20Plan%20fin%20i%20oper%20restrukturiranja%20Anamil.docx" TargetMode="External"/><Relationship Id="rId23" Type="http://schemas.openxmlformats.org/officeDocument/2006/relationships/hyperlink" Target="file:///C:\Users\mbizjak\AppData\Local\Microsoft\Windows\Temporary%20Internet%20Files\Content.Outlook\9EV5D104\15.%20Plan%20fin%20i%20oper%20restrukturiranja%20Anamil.docx" TargetMode="External"/><Relationship Id="rId10" Type="http://schemas.openxmlformats.org/officeDocument/2006/relationships/hyperlink" Target="file:///C:\Users\mbizjak\AppData\Local\Microsoft\Windows\Temporary%20Internet%20Files\Content.Outlook\9EV5D104\15.%20Plan%20fin%20i%20oper%20restrukturiranja%20Anamil.docx" TargetMode="External"/><Relationship Id="rId19" Type="http://schemas.openxmlformats.org/officeDocument/2006/relationships/hyperlink" Target="file:///C:\Users\mbizjak\AppData\Local\Microsoft\Windows\Temporary%20Internet%20Files\Content.Outlook\9EV5D104\15.%20Plan%20fin%20i%20oper%20restrukturiranja%20Anamil.docx" TargetMode="External"/><Relationship Id="rId4" Type="http://schemas.microsoft.com/office/2007/relationships/stylesWithEffects" Target="stylesWithEffects.xml"/><Relationship Id="rId9" Type="http://schemas.openxmlformats.org/officeDocument/2006/relationships/hyperlink" Target="file:///C:\Users\mbizjak\AppData\Local\Microsoft\Windows\Temporary%20Internet%20Files\Content.Outlook\9EV5D104\15.%20Plan%20fin%20i%20oper%20restrukturiranja%20Anamil.docx" TargetMode="External"/><Relationship Id="rId14" Type="http://schemas.openxmlformats.org/officeDocument/2006/relationships/hyperlink" Target="file:///C:\Users\mbizjak\AppData\Local\Microsoft\Windows\Temporary%20Internet%20Files\Content.Outlook\9EV5D104\15.%20Plan%20fin%20i%20oper%20restrukturiranja%20Anamil.docx" TargetMode="External"/><Relationship Id="rId22" Type="http://schemas.openxmlformats.org/officeDocument/2006/relationships/hyperlink" Target="file:///C:\Users\mbizjak\AppData\Local\Microsoft\Windows\Temporary%20Internet%20Files\Content.Outlook\9EV5D104\15.%20Plan%20fin%20i%20oper%20restrukturiranja%20Anamil.docx" TargetMode="External"/><Relationship Id="rId27"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59</properties:Pages>
  <properties:Words>24716</properties:Words>
  <properties:Characters>150776</properties:Characters>
  <properties:Lines>8328</properties:Lines>
  <properties:Paragraphs>5306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174314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2018-09-06T12:43:00Z</dcterms:created>
  <dc:creator>Matea Bizjak</dc:creator>
  <cp:lastModifiedBy>Matea Bizjak</cp:lastModifiedBy>
  <dcterms:modified xmlns:xsi="http://www.w3.org/2001/XMLSchema-instance" xsi:type="dcterms:W3CDTF">2018-09-06T12:57:00Z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St-1864/2018-5 / Podnesak - Podnesak (ANAMIL proizvodnja.docx)</vt:lpwstr>
  </prop:property>
  <prop:property name="CC_coloring" pid="4" fmtid="{D5CDD505-2E9C-101B-9397-08002B2CF9AE}">
    <vt:bool>false</vt:bool>
  </prop:property>
  <prop:property name="BrojStranica" pid="5" fmtid="{D5CDD505-2E9C-101B-9397-08002B2CF9AE}">
    <vt:i4>59</vt:i4>
  </prop:property>
</prop:Properties>
</file>