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d158" w14:paraId="5ead158" w:rsidRDefault="00AB4602" w:rsidP="00BF7A3B" w:rsidR="00BF7A3B" w:rsidRPr="00BF7A3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7A3B" w:rsidRPr="00BF7A3B">
        <w:rPr>
          <w:rFonts w:cs="Times New Roman"/>
          <w:b/>
        </w:rPr>
        <w:t xml:space="preserve">      </w:t>
      </w:r>
      <w:r w:rsidR="00BF7A3B" w:rsidRPr="00BF7A3B">
        <w:rPr>
          <w:rFonts w:cs="Times New Roman"/>
        </w:rPr>
        <w:t>REPUBLIKA HRVATSKA</w:t>
      </w: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TRGOVAČKI SUD U ZAGREBU</w:t>
      </w: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          STALNA SLUŽBA </w:t>
      </w:r>
      <w:r w:rsidRPr="00BF7A3B">
        <w:rPr>
          <w:rFonts w:cs="Times New Roman" w:eastAsia="Times New Roman"/>
          <w:lang w:eastAsia="hr-HR"/>
        </w:rPr>
        <w:br/>
        <w:t>Karlovac, Ljudevita Šestića 4</w:t>
      </w: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R E P U B  L I K A   H R V A  T S K A</w:t>
      </w: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R J E Š E N J E</w:t>
      </w: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ab/>
        <w:t>TRGOVAČKI SUD U ZAGREBU, Stalna služba</w:t>
      </w:r>
      <w:r w:rsidRPr="00BF7A3B">
        <w:rPr>
          <w:rFonts w:cs="Times New Roman" w:eastAsia="Times New Roman"/>
          <w:b/>
          <w:lang w:eastAsia="hr-HR"/>
        </w:rPr>
        <w:t>,</w:t>
      </w:r>
      <w:r w:rsidRPr="00BF7A3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EUROGRAD d.o.o. u stečaju, OIB: 62147313068, Jakovlje, Zagrebačka 182,  12. travnja 2017.</w:t>
      </w: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7A3B">
        <w:rPr>
          <w:rFonts w:cs="Times New Roman" w:eastAsia="Times New Roman"/>
          <w:lang w:eastAsia="hr-HR"/>
        </w:rPr>
        <w:t>r i j e š i o   j e</w:t>
      </w: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Utvrđene su slijedeće tražbine: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Prvi viši isplatni red                                      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RH, Ministarstvo financija, Porezna uprava,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Područni ured Središnja Hrvatska, 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18683136487, u iznosu od                                                1.367.416,82 kn.</w:t>
      </w:r>
    </w:p>
    <w:p w:rsidRDefault="00BF7A3B" w:rsidP="00BF7A3B" w:rsidR="00BF7A3B" w:rsidRPr="00BF7A3B">
      <w:pPr>
        <w:ind w:left="1068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Drugi viši isplatni red                                     </w:t>
      </w:r>
    </w:p>
    <w:p w:rsidRDefault="00BF7A3B" w:rsidP="00BF7A3B" w:rsidR="00BF7A3B" w:rsidRPr="00BF7A3B">
      <w:pPr>
        <w:ind w:left="106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                           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Hrvatski telekom d.d., Zagreb, Roberta Frangeša </w:t>
      </w:r>
    </w:p>
    <w:p w:rsidRDefault="00BF7A3B" w:rsidP="00BF7A3B" w:rsidR="00BF7A3B" w:rsidRPr="00BF7A3B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Mihanovića 9, OIB: 81793146560,  u iznosu od                           108.050,31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APS Delta S.A. Luksemburg, 1 rue Jean Piret, , L-2350,</w:t>
      </w:r>
    </w:p>
    <w:p w:rsidRDefault="00BF7A3B" w:rsidP="00BF7A3B" w:rsidR="00BF7A3B" w:rsidRPr="00BF7A3B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87939104217, u iznosu od                                                 6.193.005,91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Allianz Zagreb d.d. Zagreb, Heinzelova 70,</w:t>
      </w:r>
    </w:p>
    <w:p w:rsidRDefault="00BF7A3B" w:rsidP="00BF7A3B" w:rsidR="00BF7A3B" w:rsidRPr="00BF7A3B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23759810849,  u iznosu od                                                       6.584,94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HEP Operator d.o.o. Zagreb, Ulica grada Vukovara 37,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46830600751,  u iznosu do                                                       3.623,91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Općina Jakovlje, Jakovlje, Adela Sixta 2, 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20054872799, u iznosu od                                                      31.724,17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Erste &amp; Steiermärkisce bank d.d., Rijeka,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Jadranski trg 3a, OIB: 23057039320, u iznosu od                        277.532,61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RH, Ministarstvo financija, Porezna uprava, 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Područni ured Središnja Hrvatska,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18683136487,  u iznosu od                                                1.546.371,08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Hrvatska radiotelevizija, Zagreb, Prisavlje 3,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68419124305, u iznosu od                                                     75.102,12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H-ABDUCO d.o.o. Zagreb, Slavonska avenija 6a,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lastRenderedPageBreak/>
        <w:t>OIB: 13667298928, u iznosu od                                                2.278.044,02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Erste &amp; Steiermärkische S-Leasing d.o.o. Zagreb, 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Zelinska 3, OIB: 46550671661, u iznosu od                                  23.435,07 kn</w:t>
      </w:r>
    </w:p>
    <w:p w:rsidRDefault="00BF7A3B" w:rsidP="00BF7A3B" w:rsidR="00BF7A3B" w:rsidRPr="00BF7A3B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Avramović Nenad, Koprivnica, A. Mihanovića 32,</w:t>
      </w: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OIB: 61850941710, u iznosu od                                                     85.291,00 kn.</w:t>
      </w: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Obrazloženje</w:t>
      </w:r>
    </w:p>
    <w:p w:rsidRDefault="00BF7A3B" w:rsidP="00BF7A3B" w:rsidR="00BF7A3B" w:rsidRPr="00BF7A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ab/>
      </w: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ab/>
        <w:t>Na ispitnom ročištu koje je održano 12. tra</w:t>
      </w:r>
      <w:r>
        <w:rPr>
          <w:rFonts w:cs="Times New Roman" w:eastAsia="Times New Roman"/>
          <w:lang w:eastAsia="hr-HR"/>
        </w:rPr>
        <w:t>vn</w:t>
      </w:r>
      <w:r w:rsidRPr="00BF7A3B">
        <w:rPr>
          <w:rFonts w:cs="Times New Roman" w:eastAsia="Times New Roman"/>
          <w:lang w:eastAsia="hr-HR"/>
        </w:rPr>
        <w:t xml:space="preserve">ja 2017. ispitane su sve prijavljene tražbine prema svojim iznosima i redu. Tražbine navedene u točki I. 1. i 2. izreke stečajni upravitelj je priznao, a nije ih osporio nazočni stečajni vjerovnik, te se iste u smislu čl. 263. Stečajnog zakona (Narodne novine broj 71/15, dalje:SZ) smatraju utvrđenima, pa je riješeno kao u točki I. 1. i 2. izreke rješenja. </w:t>
      </w:r>
    </w:p>
    <w:p w:rsidRDefault="00BF7A3B" w:rsidP="00BF7A3B" w:rsidR="00BF7A3B" w:rsidRPr="00BF7A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BF7A3B" w:rsidP="00BF7A3B" w:rsidR="00BF7A3B" w:rsidRPr="00BF7A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U Karlovcu 12. travnja 2017.</w:t>
      </w: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    Stečajni sudac:</w:t>
      </w: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jc w:val="right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Za točnost otpravka-ovlašteni službenik:</w:t>
      </w:r>
    </w:p>
    <w:p w:rsidRDefault="00BF7A3B" w:rsidP="00BF7A3B" w:rsidR="00BF7A3B" w:rsidRPr="00BF7A3B">
      <w:pPr>
        <w:spacing w:after="0"/>
        <w:jc w:val="center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UPUTA O PRAVNOM LIJEKU:</w:t>
      </w:r>
    </w:p>
    <w:p w:rsidRDefault="00BF7A3B" w:rsidP="00BF7A3B" w:rsidR="00BF7A3B" w:rsidRPr="00BF7A3B">
      <w:pPr>
        <w:spacing w:after="0"/>
        <w:jc w:val="both"/>
        <w:rPr>
          <w:rFonts w:cs="Times New Roman" w:eastAsia="Times New Roman"/>
          <w:lang w:eastAsia="hr-HR"/>
        </w:rPr>
      </w:pPr>
      <w:r w:rsidRPr="00BF7A3B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BF7A3B" w:rsidP="00BF7A3B" w:rsidR="00BF7A3B" w:rsidRPr="00BF7A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BF7A3B" w:rsidP="00BF7A3B" w:rsidR="00BF7A3B" w:rsidRPr="00BF7A3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5080757"/>
      <w:docPartObj>
        <w:docPartGallery w:val="Page Numbers (Top of Page)"/>
        <w:docPartUnique/>
      </w:docPartObj>
    </w:sdtPr>
    <w:sdtContent>
      <w:p w:rsidRDefault="00BF7A3B" w:rsidR="00BF7A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F7A3B" w:rsidR="008333A9">
    <w:pPr>
      <w:pStyle w:val="Zaglavlje"/>
    </w:pPr>
    <w:r>
      <w:t>1 St-4800/16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A3B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82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St-4800/2016-46</izvorni_sadrzaj>
    <derivirana_varijabla naziv="DomainObject.Oznaka_1">St-4800/2016-46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St-4800/2016-46</izvorni_sadrzaj>
    <derivirana_varijabla naziv="DomainObject.PoslovniBrojDokumenta_1">St-4800/2016-46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C0E64-4D1E-4562-81D7-9762F382D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2271</properties:Characters>
  <properties:Lines>79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2017-04-12T11:49:00Z</cp:lastPrinted>
  <dcterms:modified xmlns:xsi="http://www.w3.org/2001/XMLSchema-instance" xsi:type="dcterms:W3CDTF">2017-04-12T11:49:00Z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St-4800/2016-46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