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CB1DBD" w:rsidR="00CB1DBD">
        <w:tc>
          <w:tcPr>
            <w:tcW w:type="dxa" w:w="2985"/>
            <w:hideMark/>
          </w:tcPr>
          <w:p w:rsidRDefault="00CB1DBD" w:rsidR="00CB1DBD">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B1DBD" w:rsidR="00CB1DBD">
            <w:pPr>
              <w:spacing w:lineRule="auto" w:line="240" w:after="0"/>
              <w:jc w:val="center"/>
              <w:rPr>
                <w:rFonts w:hAnsi="Times New Roman" w:ascii="Times New Roman"/>
                <w:sz w:val="24"/>
                <w:szCs w:val="24"/>
              </w:rPr>
            </w:pPr>
            <w:r>
              <w:rPr>
                <w:rFonts w:hAnsi="Times New Roman" w:ascii="Times New Roman"/>
                <w:sz w:val="24"/>
                <w:szCs w:val="24"/>
              </w:rPr>
              <w:t>Republika Hrvatska</w:t>
            </w:r>
          </w:p>
          <w:p w:rsidRDefault="00CB1DBD" w:rsidR="00CB1DBD">
            <w:pPr>
              <w:spacing w:lineRule="auto" w:line="240" w:after="0"/>
              <w:jc w:val="center"/>
              <w:rPr>
                <w:rFonts w:hAnsi="Times New Roman" w:ascii="Times New Roman"/>
                <w:sz w:val="24"/>
                <w:szCs w:val="24"/>
              </w:rPr>
            </w:pPr>
            <w:r>
              <w:rPr>
                <w:rFonts w:hAnsi="Times New Roman" w:ascii="Times New Roman"/>
                <w:sz w:val="24"/>
                <w:szCs w:val="24"/>
              </w:rPr>
              <w:t>Trgovački sud u Varaždinu</w:t>
            </w:r>
          </w:p>
          <w:p w:rsidRDefault="00CB1DBD" w:rsidR="00CB1DBD">
            <w:pPr>
              <w:spacing w:lineRule="auto" w:line="240" w:after="0"/>
              <w:jc w:val="center"/>
              <w:rPr>
                <w:rFonts w:hAnsi="Times New Roman" w:ascii="Times New Roman"/>
                <w:sz w:val="24"/>
                <w:szCs w:val="24"/>
              </w:rPr>
            </w:pPr>
            <w:r>
              <w:rPr>
                <w:rFonts w:hAnsi="Times New Roman" w:ascii="Times New Roman"/>
                <w:sz w:val="24"/>
                <w:szCs w:val="24"/>
              </w:rPr>
              <w:t>Varaždin, Braće Radić 2</w:t>
            </w:r>
          </w:p>
        </w:tc>
      </w:tr>
    </w:tbl>
    <w:p w14:textId="9d98077" w14:paraId="9d98077" w:rsidRDefault="00CB1DBD" w:rsidP="00CB1DBD" w:rsidR="00CB1DBD">
      <w:pPr>
        <w:spacing w:lineRule="auto" w:line="240" w:after="0"/>
        <w:jc w:val="right"/>
        <w15:collapsed w:val="false"/>
        <w:rPr>
          <w:rFonts w:hAnsi="Times New Roman" w:ascii="Times New Roman"/>
          <w:sz w:val="24"/>
          <w:szCs w:val="24"/>
        </w:rPr>
      </w:pPr>
      <w:r>
        <w:rPr>
          <w:rFonts w:hAnsi="Times New Roman" w:ascii="Times New Roman"/>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B1DBD" w:rsidR="00CB1DBD">
        <w:trPr>
          <w:jc w:val="right"/>
        </w:trPr>
        <w:tc>
          <w:tcPr>
            <w:tcW w:type="dxa" w:w="4320"/>
            <w:hideMark/>
          </w:tcPr>
          <w:p w:rsidRDefault="00CB1DBD" w:rsidR="00CB1DBD">
            <w:pPr>
              <w:pStyle w:val="VSVerzija"/>
              <w:jc w:val="center"/>
            </w:pPr>
            <w:r>
              <w:t xml:space="preserve">                  Poslovni broj:  6 St-585/2017-7</w:t>
            </w:r>
          </w:p>
        </w:tc>
      </w:tr>
    </w:tbl>
    <w:p w:rsidRDefault="00CB1DBD" w:rsidP="00CB1DBD" w:rsidR="00CB1DBD">
      <w:pPr>
        <w:spacing w:lineRule="auto" w:line="240" w:after="0"/>
        <w:jc w:val="both"/>
        <w:rPr>
          <w:rFonts w:hAnsi="Times New Roman" w:ascii="Times New Roman"/>
          <w:sz w:val="24"/>
          <w:szCs w:val="24"/>
        </w:rPr>
      </w:pPr>
    </w:p>
    <w:p w:rsidRDefault="00CB1DBD" w:rsidP="00CB1DBD" w:rsidR="00CB1DBD">
      <w:pPr>
        <w:rPr>
          <w:rFonts w:hAnsi="Times New Roman" w:ascii="Times New Roman"/>
          <w:sz w:val="24"/>
          <w:szCs w:val="24"/>
        </w:rPr>
      </w:pPr>
    </w:p>
    <w:p w:rsidRDefault="00C17CB9" w:rsidP="00C17CB9" w:rsidR="00C17CB9">
      <w:pPr>
        <w:spacing w:lineRule="auto" w:line="240"/>
        <w:rPr>
          <w:rFonts w:hAnsi="Times New Roman" w:ascii="Times New Roman"/>
          <w:sz w:val="24"/>
          <w:szCs w:val="24"/>
        </w:rPr>
      </w:pPr>
    </w:p>
    <w:p w:rsidRDefault="00CB1DBD" w:rsidP="00CB1DBD" w:rsidR="00CB1DBD">
      <w:pPr>
        <w:jc w:val="center"/>
        <w:rPr>
          <w:rFonts w:hAnsi="Times New Roman" w:ascii="Times New Roman"/>
          <w:sz w:val="24"/>
          <w:szCs w:val="24"/>
        </w:rPr>
      </w:pPr>
      <w:r>
        <w:rPr>
          <w:rFonts w:hAnsi="Times New Roman" w:ascii="Times New Roman"/>
          <w:sz w:val="24"/>
          <w:szCs w:val="24"/>
        </w:rPr>
        <w:t>R  E  P  U  B  L  I  K  A      H  R  V  A  T  S  K  A</w:t>
      </w:r>
    </w:p>
    <w:p w:rsidRDefault="00CB1DBD" w:rsidP="00CB1DBD" w:rsidR="00CB1DBD">
      <w:pPr>
        <w:tabs>
          <w:tab w:pos="3630" w:val="left"/>
        </w:tabs>
        <w:spacing w:after="0"/>
        <w:jc w:val="center"/>
        <w:rPr>
          <w:rFonts w:hAnsi="Times New Roman" w:ascii="Times New Roman"/>
          <w:b/>
          <w:sz w:val="24"/>
          <w:szCs w:val="24"/>
        </w:rPr>
      </w:pPr>
      <w:r>
        <w:rPr>
          <w:rFonts w:hAnsi="Times New Roman" w:ascii="Times New Roman"/>
          <w:sz w:val="24"/>
          <w:szCs w:val="24"/>
        </w:rPr>
        <w:t>R    J    E    Š    E    N    J</w:t>
      </w:r>
      <w:r>
        <w:rPr>
          <w:rFonts w:hAnsi="Times New Roman" w:ascii="Times New Roman"/>
          <w:b/>
          <w:sz w:val="24"/>
          <w:szCs w:val="24"/>
        </w:rPr>
        <w:t xml:space="preserve"> </w:t>
      </w:r>
      <w:r w:rsidRPr="00134100">
        <w:rPr>
          <w:rFonts w:hAnsi="Times New Roman" w:ascii="Times New Roman"/>
          <w:sz w:val="24"/>
          <w:szCs w:val="24"/>
        </w:rPr>
        <w:t xml:space="preserve">   E</w:t>
      </w:r>
    </w:p>
    <w:p w:rsidRDefault="00CB1DBD" w:rsidP="00CB1DBD" w:rsidR="00CB1DBD">
      <w:pPr>
        <w:tabs>
          <w:tab w:pos="3630" w:val="left"/>
        </w:tabs>
        <w:spacing w:after="0"/>
        <w:jc w:val="center"/>
        <w:rPr>
          <w:rFonts w:hAnsi="Times New Roman" w:ascii="Times New Roman"/>
          <w:b/>
          <w:sz w:val="24"/>
          <w:szCs w:val="24"/>
        </w:rPr>
      </w:pPr>
    </w:p>
    <w:p w:rsidRDefault="00CB1DBD" w:rsidP="00CB1DBD" w:rsidR="00CB1DBD">
      <w:pPr>
        <w:tabs>
          <w:tab w:pos="3630" w:val="left"/>
        </w:tabs>
        <w:spacing w:after="0"/>
        <w:jc w:val="center"/>
        <w:rPr>
          <w:rFonts w:hAnsi="Times New Roman" w:ascii="Times New Roman"/>
          <w:sz w:val="24"/>
          <w:szCs w:val="24"/>
        </w:rPr>
      </w:pPr>
    </w:p>
    <w:p w:rsidRDefault="00CB1DBD" w:rsidP="00CB1DBD" w:rsidR="00CB1DBD">
      <w:pPr>
        <w:tabs>
          <w:tab w:pos="0" w:val="left"/>
        </w:tabs>
        <w:spacing w:after="0"/>
        <w:jc w:val="both"/>
        <w:rPr>
          <w:rFonts w:hAnsi="Times New Roman" w:ascii="Times New Roman"/>
          <w:sz w:val="24"/>
          <w:szCs w:val="24"/>
        </w:rPr>
      </w:pPr>
      <w:r>
        <w:rPr>
          <w:rFonts w:hAnsi="Times New Roman" w:ascii="Times New Roman"/>
          <w:sz w:val="24"/>
          <w:szCs w:val="24"/>
        </w:rPr>
        <w:tab/>
        <w:t xml:space="preserve">Trgovački sud u Varaždinu, po sucu toga suda Hugu </w:t>
      </w:r>
      <w:proofErr w:type="spellStart"/>
      <w:r>
        <w:rPr>
          <w:rFonts w:hAnsi="Times New Roman" w:ascii="Times New Roman"/>
          <w:sz w:val="24"/>
          <w:szCs w:val="24"/>
        </w:rPr>
        <w:t>Wedemeyeru</w:t>
      </w:r>
      <w:proofErr w:type="spellEnd"/>
      <w:r>
        <w:rPr>
          <w:rFonts w:hAnsi="Times New Roman" w:ascii="Times New Roman"/>
          <w:sz w:val="24"/>
          <w:szCs w:val="24"/>
        </w:rPr>
        <w:t xml:space="preserve">, </w:t>
      </w:r>
      <w:r w:rsidRPr="00CB1DBD">
        <w:rPr>
          <w:rFonts w:hAnsi="Times New Roman" w:ascii="Times New Roman"/>
          <w:sz w:val="24"/>
          <w:szCs w:val="24"/>
        </w:rPr>
        <w:t xml:space="preserve">u </w:t>
      </w:r>
      <w:proofErr w:type="spellStart"/>
      <w:r w:rsidRPr="00CB1DBD">
        <w:rPr>
          <w:rFonts w:hAnsi="Times New Roman" w:ascii="Times New Roman"/>
          <w:sz w:val="24"/>
          <w:szCs w:val="24"/>
        </w:rPr>
        <w:t>predstečajnom</w:t>
      </w:r>
      <w:proofErr w:type="spellEnd"/>
      <w:r w:rsidRPr="00CB1DBD">
        <w:rPr>
          <w:rFonts w:hAnsi="Times New Roman" w:ascii="Times New Roman"/>
          <w:sz w:val="24"/>
          <w:szCs w:val="24"/>
        </w:rPr>
        <w:t xml:space="preserve"> postupku u povodu prijedloga predlagatelja-dužnika OPG IGOR NOVOSEL, OIB: 69533902748,  i</w:t>
      </w:r>
      <w:r>
        <w:rPr>
          <w:rFonts w:hAnsi="Times New Roman" w:ascii="Times New Roman"/>
          <w:sz w:val="24"/>
          <w:szCs w:val="24"/>
        </w:rPr>
        <w:t xml:space="preserve">z Križevaca, </w:t>
      </w:r>
      <w:r w:rsidR="00A96F70">
        <w:rPr>
          <w:rFonts w:hAnsi="Times New Roman" w:ascii="Times New Roman"/>
          <w:sz w:val="24"/>
          <w:szCs w:val="24"/>
        </w:rPr>
        <w:t>Paška ulica br. 15, na ročištu</w:t>
      </w:r>
      <w:r>
        <w:rPr>
          <w:rFonts w:hAnsi="Times New Roman" w:ascii="Times New Roman"/>
          <w:sz w:val="24"/>
          <w:szCs w:val="24"/>
        </w:rPr>
        <w:t xml:space="preserve"> 12. travnja 2018.</w:t>
      </w:r>
    </w:p>
    <w:p w:rsidRDefault="00CB1DBD" w:rsidP="00CB1DBD" w:rsidR="00CB1DBD">
      <w:pPr>
        <w:spacing w:after="0"/>
        <w:ind w:firstLine="708"/>
        <w:jc w:val="both"/>
        <w:rPr>
          <w:rFonts w:hAnsi="Times New Roman" w:ascii="Times New Roman"/>
          <w:sz w:val="24"/>
          <w:szCs w:val="24"/>
        </w:rPr>
      </w:pPr>
    </w:p>
    <w:p w:rsidRDefault="00CB1DBD" w:rsidP="00CB1DBD" w:rsidR="00CB1DBD">
      <w:pPr>
        <w:spacing w:after="0"/>
        <w:ind w:firstLine="708"/>
        <w:jc w:val="both"/>
        <w:rPr>
          <w:rFonts w:hAnsi="Times New Roman" w:ascii="Times New Roman"/>
          <w:sz w:val="24"/>
          <w:szCs w:val="24"/>
        </w:rPr>
      </w:pPr>
    </w:p>
    <w:p w:rsidRDefault="00CB1DBD" w:rsidP="00CB1DBD" w:rsidR="00CB1DBD">
      <w:pPr>
        <w:tabs>
          <w:tab w:pos="3585" w:val="left"/>
        </w:tabs>
        <w:spacing w:after="0"/>
        <w:jc w:val="center"/>
        <w:rPr>
          <w:rFonts w:hAnsi="Times New Roman" w:ascii="Times New Roman"/>
          <w:sz w:val="24"/>
          <w:szCs w:val="24"/>
        </w:rPr>
      </w:pPr>
      <w:r>
        <w:rPr>
          <w:rFonts w:hAnsi="Times New Roman" w:ascii="Times New Roman"/>
          <w:sz w:val="24"/>
          <w:szCs w:val="24"/>
        </w:rPr>
        <w:t>r i j e š i o       j e</w:t>
      </w:r>
    </w:p>
    <w:p w:rsidRDefault="00CB1DBD" w:rsidP="00CB1DBD" w:rsidR="00CB1DBD">
      <w:pPr>
        <w:tabs>
          <w:tab w:pos="3585" w:val="left"/>
        </w:tabs>
        <w:spacing w:after="0"/>
        <w:jc w:val="center"/>
        <w:rPr>
          <w:rFonts w:hAnsi="Times New Roman" w:ascii="Times New Roman"/>
          <w:b/>
          <w:sz w:val="24"/>
          <w:szCs w:val="24"/>
        </w:rPr>
      </w:pPr>
    </w:p>
    <w:p w:rsidRDefault="00CB1DBD" w:rsidP="00CB1DBD" w:rsidR="00CB1DBD">
      <w:pPr>
        <w:tabs>
          <w:tab w:pos="3585" w:val="left"/>
        </w:tabs>
        <w:spacing w:after="0"/>
        <w:jc w:val="center"/>
        <w:rPr>
          <w:rFonts w:hAnsi="Times New Roman" w:ascii="Times New Roman"/>
          <w:b/>
          <w:sz w:val="24"/>
          <w:szCs w:val="24"/>
        </w:rPr>
      </w:pPr>
    </w:p>
    <w:p w:rsidRDefault="00CB1DBD" w:rsidP="00CB1DBD" w:rsidR="00CB1DBD">
      <w:pPr>
        <w:tabs>
          <w:tab w:pos="900" w:val="left"/>
        </w:tabs>
        <w:spacing w:after="0"/>
        <w:jc w:val="both"/>
        <w:rPr>
          <w:rFonts w:hAnsi="Times New Roman" w:ascii="Times New Roman"/>
          <w:sz w:val="24"/>
          <w:szCs w:val="24"/>
        </w:rPr>
      </w:pPr>
      <w:r>
        <w:rPr>
          <w:rFonts w:hAnsi="Times New Roman" w:ascii="Times New Roman"/>
          <w:b/>
          <w:sz w:val="24"/>
          <w:szCs w:val="24"/>
        </w:rPr>
        <w:tab/>
      </w:r>
      <w:r w:rsidR="00255EB7">
        <w:rPr>
          <w:rFonts w:hAnsi="Times New Roman" w:ascii="Times New Roman"/>
          <w:sz w:val="24"/>
          <w:szCs w:val="24"/>
        </w:rPr>
        <w:t>1)Odgađa se</w:t>
      </w:r>
      <w:r>
        <w:rPr>
          <w:rFonts w:hAnsi="Times New Roman" w:ascii="Times New Roman"/>
          <w:sz w:val="24"/>
          <w:szCs w:val="24"/>
        </w:rPr>
        <w:t xml:space="preserve"> ročište</w:t>
      </w:r>
      <w:r w:rsidR="00255EB7">
        <w:rPr>
          <w:rFonts w:hAnsi="Times New Roman" w:ascii="Times New Roman"/>
          <w:sz w:val="24"/>
          <w:szCs w:val="24"/>
        </w:rPr>
        <w:t xml:space="preserve"> radi ispitivanja tražbina</w:t>
      </w:r>
      <w:r>
        <w:rPr>
          <w:rFonts w:hAnsi="Times New Roman" w:ascii="Times New Roman"/>
          <w:sz w:val="24"/>
          <w:szCs w:val="24"/>
        </w:rPr>
        <w:t xml:space="preserve"> koje je bilo određeno za dan 12. travnja 2018. u 9,00 sati, te se određuje novo </w:t>
      </w:r>
      <w:r w:rsidR="00255EB7">
        <w:rPr>
          <w:rFonts w:hAnsi="Times New Roman" w:ascii="Times New Roman"/>
          <w:sz w:val="24"/>
          <w:szCs w:val="24"/>
        </w:rPr>
        <w:t>r</w:t>
      </w:r>
      <w:r>
        <w:rPr>
          <w:rFonts w:hAnsi="Times New Roman" w:ascii="Times New Roman"/>
          <w:sz w:val="24"/>
          <w:szCs w:val="24"/>
        </w:rPr>
        <w:t>očište radi ispitivanja prijavljenih tražbina vjerovnika za dan 18. svibnja 2018. u 9,00 sati kod Trgovačkog suda u Varaždinu, Braće Radić br. 2, drugi kat soba broj 222.</w:t>
      </w:r>
    </w:p>
    <w:p w:rsidRDefault="00CB1DBD" w:rsidP="00CB1DBD" w:rsidR="00CB1DBD">
      <w:pPr>
        <w:tabs>
          <w:tab w:pos="900" w:val="left"/>
        </w:tabs>
        <w:spacing w:after="0"/>
        <w:jc w:val="both"/>
        <w:rPr>
          <w:rFonts w:hAnsi="Times New Roman" w:ascii="Times New Roman"/>
          <w:sz w:val="24"/>
          <w:szCs w:val="24"/>
        </w:rPr>
      </w:pPr>
    </w:p>
    <w:p w:rsidRDefault="00CB1DBD" w:rsidP="00CB1DBD" w:rsidR="00CB1DBD">
      <w:pPr>
        <w:tabs>
          <w:tab w:pos="900" w:val="left"/>
        </w:tabs>
        <w:spacing w:after="0"/>
        <w:jc w:val="both"/>
        <w:rPr>
          <w:rFonts w:hAnsi="Times New Roman" w:ascii="Times New Roman"/>
          <w:sz w:val="24"/>
          <w:szCs w:val="24"/>
        </w:rPr>
      </w:pPr>
      <w:r>
        <w:rPr>
          <w:rFonts w:hAnsi="Times New Roman" w:ascii="Times New Roman"/>
          <w:sz w:val="24"/>
          <w:szCs w:val="24"/>
        </w:rPr>
        <w:tab/>
        <w:t>2)Ovo rješenje objaviti će se na e-Oglasnoj ploči ovoga suda.</w:t>
      </w:r>
    </w:p>
    <w:p w:rsidRDefault="00CB1DBD" w:rsidP="00CB1DBD" w:rsidR="00CB1DBD">
      <w:pPr>
        <w:tabs>
          <w:tab w:pos="900" w:val="left"/>
        </w:tabs>
        <w:spacing w:after="0"/>
        <w:jc w:val="both"/>
        <w:rPr>
          <w:rFonts w:hAnsi="Times New Roman" w:ascii="Times New Roman"/>
          <w:sz w:val="24"/>
          <w:szCs w:val="24"/>
        </w:rPr>
      </w:pPr>
    </w:p>
    <w:p w:rsidRDefault="00CB1DBD" w:rsidP="00CB1DBD" w:rsidR="00CB1DBD">
      <w:pPr>
        <w:tabs>
          <w:tab w:pos="900" w:val="left"/>
        </w:tabs>
        <w:spacing w:after="0"/>
        <w:jc w:val="both"/>
        <w:rPr>
          <w:rFonts w:hAnsi="Times New Roman" w:ascii="Times New Roman"/>
          <w:sz w:val="24"/>
          <w:szCs w:val="24"/>
        </w:rPr>
      </w:pPr>
    </w:p>
    <w:p w:rsidRDefault="00CB1DBD" w:rsidP="00CB1DBD" w:rsidR="00CB1DBD">
      <w:pPr>
        <w:tabs>
          <w:tab w:pos="900" w:val="left"/>
        </w:tabs>
        <w:spacing w:after="0"/>
        <w:jc w:val="center"/>
        <w:rPr>
          <w:rFonts w:hAnsi="Times New Roman" w:ascii="Times New Roman"/>
          <w:sz w:val="24"/>
          <w:szCs w:val="24"/>
        </w:rPr>
      </w:pPr>
      <w:r>
        <w:rPr>
          <w:rFonts w:hAnsi="Times New Roman" w:ascii="Times New Roman"/>
          <w:sz w:val="24"/>
          <w:szCs w:val="24"/>
        </w:rPr>
        <w:t>Obrazloženje</w:t>
      </w:r>
    </w:p>
    <w:p w:rsidRDefault="00CB1DBD" w:rsidP="00CB1DBD" w:rsidR="00CB1DBD">
      <w:pPr>
        <w:tabs>
          <w:tab w:pos="900" w:val="left"/>
        </w:tabs>
        <w:spacing w:after="0"/>
        <w:jc w:val="both"/>
        <w:rPr>
          <w:rFonts w:hAnsi="Times New Roman" w:ascii="Times New Roman"/>
          <w:sz w:val="24"/>
          <w:szCs w:val="24"/>
        </w:rPr>
      </w:pPr>
    </w:p>
    <w:p w:rsidRDefault="00CB1DBD" w:rsidP="00CB1DBD" w:rsidR="00CB1DBD">
      <w:pPr>
        <w:tabs>
          <w:tab w:pos="900" w:val="left"/>
        </w:tabs>
        <w:spacing w:after="0"/>
        <w:jc w:val="both"/>
        <w:rPr>
          <w:rFonts w:hAnsi="Times New Roman" w:ascii="Times New Roman"/>
          <w:sz w:val="24"/>
          <w:szCs w:val="24"/>
        </w:rPr>
      </w:pPr>
      <w:r>
        <w:rPr>
          <w:rFonts w:hAnsi="Times New Roman" w:ascii="Times New Roman"/>
          <w:sz w:val="24"/>
          <w:szCs w:val="24"/>
        </w:rPr>
        <w:tab/>
        <w:t>Ovaj je sud rješenjem poslovni broj 6 St-585/2017-3 od 18. prosinca 2017., između ostalog, odredio i ročište</w:t>
      </w:r>
      <w:r w:rsidR="00255EB7">
        <w:rPr>
          <w:rFonts w:hAnsi="Times New Roman" w:ascii="Times New Roman"/>
          <w:sz w:val="24"/>
          <w:szCs w:val="24"/>
        </w:rPr>
        <w:t xml:space="preserve"> radi ispitivanja tražbina</w:t>
      </w:r>
      <w:r>
        <w:rPr>
          <w:rFonts w:hAnsi="Times New Roman" w:ascii="Times New Roman"/>
          <w:sz w:val="24"/>
          <w:szCs w:val="24"/>
        </w:rPr>
        <w:t xml:space="preserve"> za 12. travnja 2018. u 9,00 sati.</w:t>
      </w:r>
    </w:p>
    <w:p w:rsidRDefault="00255EB7" w:rsidP="00CB1DBD" w:rsidR="00CB1DBD">
      <w:pPr>
        <w:tabs>
          <w:tab w:pos="900" w:val="left"/>
        </w:tabs>
        <w:spacing w:after="0"/>
        <w:jc w:val="both"/>
        <w:rPr>
          <w:rFonts w:hAnsi="Times New Roman" w:ascii="Times New Roman"/>
          <w:sz w:val="24"/>
          <w:szCs w:val="24"/>
        </w:rPr>
      </w:pPr>
      <w:r>
        <w:rPr>
          <w:rFonts w:hAnsi="Times New Roman" w:ascii="Times New Roman"/>
          <w:sz w:val="24"/>
          <w:szCs w:val="24"/>
        </w:rPr>
        <w:tab/>
      </w:r>
      <w:r w:rsidR="00527F93">
        <w:rPr>
          <w:rFonts w:hAnsi="Times New Roman" w:ascii="Times New Roman"/>
          <w:sz w:val="24"/>
          <w:szCs w:val="24"/>
        </w:rPr>
        <w:t xml:space="preserve">Na navedeno ročište pristupio je povjerenik Vesna Baranašić Horvat, iz Čakovca, te je ista navela da je dužnik Igor Novosel na današnje ročište spriječen pristupiti zbog bolesti, a neposredno prije održavanja tog ročišta suca je telefonskim putem obavijestio punomoćnik dužnika, </w:t>
      </w:r>
      <w:proofErr w:type="spellStart"/>
      <w:r w:rsidR="00527F93">
        <w:rPr>
          <w:rFonts w:hAnsi="Times New Roman" w:ascii="Times New Roman"/>
          <w:sz w:val="24"/>
          <w:szCs w:val="24"/>
        </w:rPr>
        <w:t>Bariša</w:t>
      </w:r>
      <w:proofErr w:type="spellEnd"/>
      <w:r w:rsidR="00527F93">
        <w:rPr>
          <w:rFonts w:hAnsi="Times New Roman" w:ascii="Times New Roman"/>
          <w:sz w:val="24"/>
          <w:szCs w:val="24"/>
        </w:rPr>
        <w:t xml:space="preserve"> Pavičić</w:t>
      </w:r>
      <w:r w:rsidR="00094638">
        <w:rPr>
          <w:rFonts w:hAnsi="Times New Roman" w:ascii="Times New Roman"/>
          <w:sz w:val="24"/>
          <w:szCs w:val="24"/>
        </w:rPr>
        <w:t>,</w:t>
      </w:r>
      <w:r w:rsidR="00527F93">
        <w:rPr>
          <w:rFonts w:hAnsi="Times New Roman" w:ascii="Times New Roman"/>
          <w:sz w:val="24"/>
          <w:szCs w:val="24"/>
        </w:rPr>
        <w:t xml:space="preserve"> odvjetnik iz Zagreba</w:t>
      </w:r>
      <w:r w:rsidR="00094638">
        <w:rPr>
          <w:rFonts w:hAnsi="Times New Roman" w:ascii="Times New Roman"/>
          <w:sz w:val="24"/>
          <w:szCs w:val="24"/>
        </w:rPr>
        <w:t>,</w:t>
      </w:r>
      <w:r w:rsidR="00527F93">
        <w:rPr>
          <w:rFonts w:hAnsi="Times New Roman" w:ascii="Times New Roman"/>
          <w:sz w:val="24"/>
          <w:szCs w:val="24"/>
        </w:rPr>
        <w:t xml:space="preserve"> da ne može pristupiti na zakazano ročište iz razloga što mu se na putu za Varaždin desio kvar na automobilu</w:t>
      </w:r>
      <w:r w:rsidR="001B24D1">
        <w:rPr>
          <w:rFonts w:hAnsi="Times New Roman" w:ascii="Times New Roman"/>
          <w:sz w:val="24"/>
          <w:szCs w:val="24"/>
        </w:rPr>
        <w:t xml:space="preserve"> te je predloži odgodu tog ročišta</w:t>
      </w:r>
      <w:r w:rsidR="00527F93">
        <w:rPr>
          <w:rFonts w:hAnsi="Times New Roman" w:ascii="Times New Roman"/>
          <w:sz w:val="24"/>
          <w:szCs w:val="24"/>
        </w:rPr>
        <w:t>.</w:t>
      </w:r>
      <w:r w:rsidR="001B24D1">
        <w:rPr>
          <w:rFonts w:hAnsi="Times New Roman" w:ascii="Times New Roman"/>
          <w:sz w:val="24"/>
          <w:szCs w:val="24"/>
        </w:rPr>
        <w:t xml:space="preserve"> </w:t>
      </w:r>
      <w:bookmarkStart w:name="_GoBack" w:id="0"/>
      <w:bookmarkEnd w:id="0"/>
    </w:p>
    <w:p w:rsidRDefault="00527F93" w:rsidP="00CB1DBD" w:rsidR="00527F93">
      <w:pPr>
        <w:tabs>
          <w:tab w:pos="900" w:val="left"/>
        </w:tabs>
        <w:spacing w:after="0"/>
        <w:jc w:val="both"/>
        <w:rPr>
          <w:rFonts w:hAnsi="Times New Roman" w:ascii="Times New Roman"/>
          <w:sz w:val="24"/>
          <w:szCs w:val="24"/>
        </w:rPr>
      </w:pPr>
      <w:r>
        <w:rPr>
          <w:rFonts w:hAnsi="Times New Roman" w:ascii="Times New Roman"/>
          <w:sz w:val="24"/>
          <w:szCs w:val="24"/>
        </w:rPr>
        <w:tab/>
        <w:t xml:space="preserve">Odredbom čl. 46. st. 2. Stečajnog zakona </w:t>
      </w:r>
      <w:r>
        <w:rPr>
          <w:rFonts w:hAnsi="Times New Roman" w:ascii="Times New Roman"/>
          <w:sz w:val="24"/>
          <w:szCs w:val="24"/>
        </w:rPr>
        <w:t>(Narodne novine br. 17/15. i 104/17., dalje : SZ-a)</w:t>
      </w:r>
      <w:r>
        <w:rPr>
          <w:rFonts w:hAnsi="Times New Roman" w:ascii="Times New Roman"/>
          <w:sz w:val="24"/>
          <w:szCs w:val="24"/>
        </w:rPr>
        <w:t xml:space="preserve"> propisano je da na ročištu radi ispitivanja tražbine sudjeluje povjerenik ako je </w:t>
      </w:r>
      <w:r>
        <w:rPr>
          <w:rFonts w:hAnsi="Times New Roman" w:ascii="Times New Roman"/>
          <w:sz w:val="24"/>
          <w:szCs w:val="24"/>
        </w:rPr>
        <w:lastRenderedPageBreak/>
        <w:t>imenovan, dužnik i vjerovnici koji su prijavili tražbinu, dok je st. 3. čl. 46. SZ-a propisano da će se ročište radi ispitivanje tražbine održati i ako nisu nazočni vjerovnici koji su prijavili tražbine.</w:t>
      </w:r>
    </w:p>
    <w:p w:rsidRDefault="00CC4CDE" w:rsidP="00CB1DBD" w:rsidR="00CC4CDE">
      <w:pPr>
        <w:tabs>
          <w:tab w:pos="900" w:val="left"/>
        </w:tabs>
        <w:spacing w:after="0"/>
        <w:jc w:val="both"/>
        <w:rPr>
          <w:rFonts w:hAnsi="Times New Roman" w:ascii="Times New Roman"/>
          <w:sz w:val="24"/>
          <w:szCs w:val="24"/>
        </w:rPr>
      </w:pPr>
      <w:r>
        <w:rPr>
          <w:rFonts w:hAnsi="Times New Roman" w:ascii="Times New Roman"/>
          <w:sz w:val="24"/>
          <w:szCs w:val="24"/>
        </w:rPr>
        <w:tab/>
        <w:t>Radi navedenog na predmetnom ročištu radi ispitivanja tražbina potrebna je prisutnost dužnika, pa iz razloga što je dužnik bio opravdano spriječen na to ročište pristupiti, sud je isto odgodio, te je ujedno odredio i novo ročište radi ispitivanja tražbina.</w:t>
      </w:r>
    </w:p>
    <w:p w:rsidRDefault="00CC4CDE" w:rsidP="007D0153" w:rsidR="007D0153">
      <w:pPr>
        <w:jc w:val="both"/>
        <w:rPr>
          <w:rFonts w:hAnsi="Times New Roman" w:ascii="Times New Roman"/>
          <w:sz w:val="24"/>
          <w:szCs w:val="24"/>
        </w:rPr>
      </w:pPr>
      <w:r>
        <w:rPr>
          <w:rFonts w:hAnsi="Times New Roman" w:ascii="Times New Roman"/>
          <w:sz w:val="24"/>
          <w:szCs w:val="24"/>
        </w:rPr>
        <w:tab/>
        <w:t>Zbog svega iznijetog temeljem odredbe čl.</w:t>
      </w:r>
      <w:r w:rsidR="008A7F01">
        <w:rPr>
          <w:rFonts w:hAnsi="Times New Roman" w:ascii="Times New Roman"/>
          <w:sz w:val="24"/>
          <w:szCs w:val="24"/>
        </w:rPr>
        <w:t xml:space="preserve"> 116. st. 1. </w:t>
      </w:r>
      <w:r>
        <w:rPr>
          <w:rFonts w:hAnsi="Times New Roman" w:ascii="Times New Roman"/>
          <w:sz w:val="24"/>
          <w:szCs w:val="24"/>
        </w:rPr>
        <w:t xml:space="preserve">Zakona o parničnom postupku (Narodne novine br. 53/91., 91/92., 112/99., 129/00.,  88/01., 117/03., 88/05., 2/07., 84/08., 96/08., 123/08., 57/11., </w:t>
      </w:r>
      <w:r w:rsidR="008A7F01">
        <w:rPr>
          <w:rFonts w:hAnsi="Times New Roman" w:ascii="Times New Roman"/>
          <w:sz w:val="24"/>
          <w:szCs w:val="24"/>
        </w:rPr>
        <w:t xml:space="preserve">25/13. i 89/14., dalje : ZPP-a) i čl. </w:t>
      </w:r>
      <w:r w:rsidR="008A7F01">
        <w:rPr>
          <w:rFonts w:hAnsi="Times New Roman" w:ascii="Times New Roman"/>
          <w:sz w:val="24"/>
          <w:szCs w:val="24"/>
        </w:rPr>
        <w:t>278. st. 1.</w:t>
      </w:r>
      <w:r w:rsidR="008A7F01">
        <w:rPr>
          <w:rFonts w:hAnsi="Times New Roman" w:ascii="Times New Roman"/>
          <w:sz w:val="24"/>
          <w:szCs w:val="24"/>
        </w:rPr>
        <w:t xml:space="preserve"> ZPP-a,</w:t>
      </w:r>
      <w:r>
        <w:rPr>
          <w:rFonts w:hAnsi="Times New Roman" w:ascii="Times New Roman"/>
          <w:sz w:val="24"/>
          <w:szCs w:val="24"/>
        </w:rPr>
        <w:t xml:space="preserve"> a u svezi s odredbom čl. 10. </w:t>
      </w:r>
      <w:r>
        <w:rPr>
          <w:rFonts w:hAnsi="Times New Roman" w:ascii="Times New Roman"/>
          <w:sz w:val="24"/>
          <w:szCs w:val="24"/>
        </w:rPr>
        <w:t>SZ-a odlučeno je kao u izreci ovog rješenja.</w:t>
      </w:r>
    </w:p>
    <w:p w:rsidRDefault="007D0153" w:rsidP="007D0153" w:rsidR="007D0153">
      <w:pPr>
        <w:spacing w:lineRule="auto" w:line="240" w:after="0"/>
        <w:jc w:val="both"/>
        <w:rPr>
          <w:rFonts w:hAnsi="Times New Roman" w:ascii="Times New Roman"/>
          <w:sz w:val="24"/>
          <w:szCs w:val="24"/>
        </w:rPr>
      </w:pPr>
    </w:p>
    <w:p w:rsidRDefault="00CB1DBD" w:rsidP="00CB1DBD" w:rsidR="00CB1DBD">
      <w:pPr>
        <w:jc w:val="center"/>
        <w:rPr>
          <w:rFonts w:hAnsi="Times New Roman" w:ascii="Times New Roman"/>
          <w:sz w:val="24"/>
          <w:szCs w:val="24"/>
        </w:rPr>
      </w:pPr>
      <w:r>
        <w:rPr>
          <w:rFonts w:hAnsi="Times New Roman" w:ascii="Times New Roman"/>
          <w:sz w:val="24"/>
          <w:szCs w:val="24"/>
        </w:rPr>
        <w:t>U Varaždinu 12. travnja 2018.</w:t>
      </w:r>
    </w:p>
    <w:p w:rsidRDefault="00CB1DBD" w:rsidP="00CB1DBD" w:rsidR="00CB1DBD">
      <w:pPr>
        <w:tabs>
          <w:tab w:pos="6720" w:val="left"/>
        </w:tabs>
        <w:spacing w:after="0"/>
        <w:jc w:val="both"/>
        <w:rPr>
          <w:rFonts w:hAnsi="Times New Roman" w:ascii="Times New Roman"/>
          <w:sz w:val="24"/>
          <w:szCs w:val="24"/>
        </w:rPr>
      </w:pPr>
    </w:p>
    <w:p w:rsidRDefault="00CB1DBD" w:rsidP="00CB1DBD" w:rsidR="00CB1DBD">
      <w:pPr>
        <w:tabs>
          <w:tab w:pos="6720" w:val="left"/>
        </w:tabs>
        <w:spacing w:after="0"/>
        <w:jc w:val="both"/>
        <w:rPr>
          <w:rFonts w:hAnsi="Times New Roman" w:ascii="Times New Roman"/>
          <w:sz w:val="24"/>
          <w:szCs w:val="24"/>
        </w:rPr>
      </w:pPr>
      <w:r>
        <w:rPr>
          <w:rFonts w:hAnsi="Times New Roman" w:ascii="Times New Roman"/>
          <w:sz w:val="24"/>
          <w:szCs w:val="24"/>
        </w:rPr>
        <w:t xml:space="preserve">                                                                                                           Sudac :</w:t>
      </w:r>
    </w:p>
    <w:p w:rsidRDefault="00CB1DBD" w:rsidP="00CB1DBD" w:rsidR="00CB1DBD">
      <w:pPr>
        <w:tabs>
          <w:tab w:pos="6720" w:val="left"/>
        </w:tabs>
        <w:spacing w:after="0"/>
        <w:jc w:val="both"/>
        <w:rPr>
          <w:rFonts w:hAnsi="Times New Roman" w:ascii="Times New Roman"/>
          <w:sz w:val="24"/>
          <w:szCs w:val="24"/>
        </w:rPr>
      </w:pPr>
    </w:p>
    <w:p w:rsidRDefault="00CB1DBD" w:rsidP="00CB1DBD" w:rsidR="00CB1DBD">
      <w:pPr>
        <w:tabs>
          <w:tab w:pos="6720" w:val="left"/>
        </w:tabs>
        <w:spacing w:after="0"/>
        <w:jc w:val="both"/>
        <w:rPr>
          <w:rFonts w:hAnsi="Times New Roman" w:ascii="Times New Roman"/>
          <w:sz w:val="24"/>
          <w:szCs w:val="24"/>
        </w:rPr>
      </w:pPr>
      <w:r>
        <w:rPr>
          <w:rFonts w:hAnsi="Times New Roman" w:ascii="Times New Roman"/>
          <w:sz w:val="24"/>
          <w:szCs w:val="24"/>
        </w:rPr>
        <w:t xml:space="preserve">                                                                                              Hugo Wedemeyer,  v. r. </w:t>
      </w:r>
    </w:p>
    <w:p w:rsidRDefault="00CB1DBD" w:rsidP="00CB1DBD" w:rsidR="00CB1DBD">
      <w:pPr>
        <w:tabs>
          <w:tab w:pos="6720" w:val="left"/>
        </w:tabs>
        <w:spacing w:after="0"/>
        <w:jc w:val="both"/>
        <w:rPr>
          <w:rFonts w:hAnsi="Times New Roman" w:ascii="Times New Roman"/>
          <w:sz w:val="24"/>
          <w:szCs w:val="24"/>
        </w:rPr>
      </w:pPr>
    </w:p>
    <w:p w:rsidRDefault="00CB1DBD" w:rsidP="00CB1DBD" w:rsidR="00CB1DBD">
      <w:pPr>
        <w:tabs>
          <w:tab w:pos="6720" w:val="left"/>
        </w:tabs>
        <w:spacing w:after="0"/>
        <w:jc w:val="both"/>
        <w:rPr>
          <w:rFonts w:hAnsi="Times New Roman" w:ascii="Times New Roman"/>
          <w:sz w:val="24"/>
          <w:szCs w:val="24"/>
        </w:rPr>
      </w:pPr>
    </w:p>
    <w:p w:rsidRDefault="00CB1DBD" w:rsidP="00CB1DBD" w:rsidR="00CB1DBD">
      <w:pPr>
        <w:tabs>
          <w:tab w:pos="6720" w:val="left"/>
        </w:tabs>
        <w:spacing w:after="0"/>
        <w:jc w:val="both"/>
        <w:rPr>
          <w:rFonts w:hAnsi="Times New Roman" w:ascii="Times New Roman"/>
          <w:sz w:val="24"/>
          <w:szCs w:val="24"/>
        </w:rPr>
      </w:pPr>
      <w:r>
        <w:rPr>
          <w:rFonts w:hAnsi="Times New Roman" w:ascii="Times New Roman"/>
          <w:sz w:val="24"/>
          <w:szCs w:val="24"/>
        </w:rPr>
        <w:t xml:space="preserve">                                                                                 Za točnost </w:t>
      </w:r>
      <w:proofErr w:type="spellStart"/>
      <w:r>
        <w:rPr>
          <w:rFonts w:hAnsi="Times New Roman" w:ascii="Times New Roman"/>
          <w:sz w:val="24"/>
          <w:szCs w:val="24"/>
        </w:rPr>
        <w:t>otpravka</w:t>
      </w:r>
      <w:proofErr w:type="spellEnd"/>
      <w:r>
        <w:rPr>
          <w:rFonts w:hAnsi="Times New Roman" w:ascii="Times New Roman"/>
          <w:sz w:val="24"/>
          <w:szCs w:val="24"/>
        </w:rPr>
        <w:t>-ovlašteni službenik :</w:t>
      </w:r>
    </w:p>
    <w:p w:rsidRDefault="00CB1DBD" w:rsidP="00CB1DBD" w:rsidR="00CB1DBD">
      <w:pPr>
        <w:spacing w:after="0"/>
        <w:jc w:val="both"/>
        <w:rPr>
          <w:rFonts w:hAnsi="Times New Roman" w:ascii="Times New Roman"/>
          <w:b/>
          <w:sz w:val="24"/>
          <w:szCs w:val="24"/>
        </w:rPr>
      </w:pPr>
    </w:p>
    <w:p w:rsidRDefault="00CB1DBD" w:rsidP="00CB1DBD" w:rsidR="00CB1DBD">
      <w:pPr>
        <w:spacing w:after="0"/>
        <w:jc w:val="both"/>
        <w:rPr>
          <w:rFonts w:hAnsi="Times New Roman" w:ascii="Times New Roman"/>
          <w:b/>
          <w:sz w:val="24"/>
          <w:szCs w:val="24"/>
        </w:rPr>
      </w:pPr>
    </w:p>
    <w:p w:rsidRDefault="00CB1DBD" w:rsidP="00CB1DBD" w:rsidR="00CB1DBD">
      <w:pPr>
        <w:spacing w:after="0"/>
        <w:jc w:val="both"/>
        <w:rPr>
          <w:rFonts w:hAnsi="Times New Roman" w:ascii="Times New Roman"/>
          <w:sz w:val="24"/>
          <w:szCs w:val="24"/>
        </w:rPr>
      </w:pPr>
    </w:p>
    <w:p w:rsidRDefault="00CB1DBD" w:rsidP="00CB1DBD" w:rsidR="00CB1DBD">
      <w:pPr>
        <w:spacing w:after="0"/>
        <w:jc w:val="both"/>
        <w:rPr>
          <w:rFonts w:hAnsi="Times New Roman" w:ascii="Times New Roman"/>
          <w:sz w:val="24"/>
          <w:szCs w:val="24"/>
        </w:rPr>
      </w:pPr>
      <w:r>
        <w:rPr>
          <w:rFonts w:hAnsi="Times New Roman" w:ascii="Times New Roman"/>
          <w:sz w:val="24"/>
          <w:szCs w:val="24"/>
        </w:rPr>
        <w:t>Uputa  o  pravnom lijeku  :</w:t>
      </w:r>
    </w:p>
    <w:p w:rsidRDefault="00CB1DBD" w:rsidP="00CB1DBD" w:rsidR="00CB1DBD">
      <w:pPr>
        <w:spacing w:after="0"/>
        <w:rPr>
          <w:rFonts w:hAnsi="Times New Roman" w:ascii="Times New Roman"/>
          <w:sz w:val="24"/>
          <w:szCs w:val="24"/>
        </w:rPr>
      </w:pPr>
      <w:r>
        <w:rPr>
          <w:rFonts w:hAnsi="Times New Roman" w:ascii="Times New Roman"/>
          <w:sz w:val="24"/>
          <w:szCs w:val="24"/>
        </w:rPr>
        <w:t xml:space="preserve">Protiv ovog rješenja nije dopuštena žalba (čl. </w:t>
      </w:r>
      <w:smartTag w:element="metricconverter" w:uri="urn:schemas-microsoft-com:office:smarttags">
        <w:smartTagPr>
          <w:attr w:val="116. st" w:name="ProductID"/>
        </w:smartTagPr>
        <w:r>
          <w:rPr>
            <w:rFonts w:hAnsi="Times New Roman" w:ascii="Times New Roman"/>
            <w:sz w:val="24"/>
            <w:szCs w:val="24"/>
          </w:rPr>
          <w:t>116. st</w:t>
        </w:r>
      </w:smartTag>
      <w:r>
        <w:rPr>
          <w:rFonts w:hAnsi="Times New Roman" w:ascii="Times New Roman"/>
          <w:sz w:val="24"/>
          <w:szCs w:val="24"/>
        </w:rPr>
        <w:t>. 3. ZPP-a, a u svezi sa čl. 10. SZ-a).</w:t>
      </w:r>
    </w:p>
    <w:p w:rsidRDefault="00CB1DBD" w:rsidP="00CB1DBD" w:rsidR="00CB1DBD">
      <w:pPr>
        <w:spacing w:after="0"/>
        <w:rPr>
          <w:rFonts w:hAnsi="Times New Roman" w:ascii="Times New Roman"/>
          <w:sz w:val="24"/>
          <w:szCs w:val="24"/>
        </w:rPr>
      </w:pPr>
    </w:p>
    <w:p w:rsidRDefault="00CB1DBD" w:rsidP="00CB1DBD" w:rsidR="00CB1DBD">
      <w:pPr>
        <w:spacing w:after="0"/>
        <w:rPr>
          <w:rFonts w:hAnsi="Times New Roman" w:ascii="Times New Roman"/>
          <w:sz w:val="24"/>
          <w:szCs w:val="24"/>
        </w:rPr>
      </w:pPr>
    </w:p>
    <w:p w:rsidRDefault="00CB1DBD" w:rsidP="00CB1DBD" w:rsidR="00CB1DBD">
      <w:pPr>
        <w:spacing w:lineRule="auto" w:line="240" w:after="0"/>
        <w:rPr>
          <w:rFonts w:hAnsi="Times New Roman" w:ascii="Times New Roman"/>
          <w:sz w:val="24"/>
          <w:szCs w:val="24"/>
        </w:rPr>
      </w:pPr>
      <w:r>
        <w:rPr>
          <w:rFonts w:hAnsi="Times New Roman" w:ascii="Times New Roman"/>
          <w:sz w:val="24"/>
          <w:szCs w:val="24"/>
        </w:rPr>
        <w:t>DNA:</w:t>
      </w:r>
    </w:p>
    <w:p w:rsidRDefault="00CB1DBD" w:rsidP="00CB1DBD" w:rsidR="00CB1DBD">
      <w:pPr>
        <w:spacing w:lineRule="auto" w:line="240" w:after="0"/>
        <w:jc w:val="both"/>
        <w:rPr>
          <w:rFonts w:hAnsi="Times New Roman" w:ascii="Times New Roman"/>
          <w:sz w:val="24"/>
          <w:szCs w:val="24"/>
        </w:rPr>
      </w:pPr>
    </w:p>
    <w:p w:rsidRDefault="00CB1DBD" w:rsidP="00CB1DBD" w:rsidR="00CB1DBD">
      <w:pPr>
        <w:spacing w:lineRule="auto" w:line="240" w:after="0"/>
        <w:jc w:val="both"/>
        <w:rPr>
          <w:rFonts w:hAnsi="Times New Roman" w:ascii="Times New Roman"/>
          <w:sz w:val="24"/>
          <w:szCs w:val="24"/>
        </w:rPr>
      </w:pPr>
      <w:r>
        <w:rPr>
          <w:rFonts w:hAnsi="Times New Roman" w:ascii="Times New Roman"/>
          <w:sz w:val="24"/>
          <w:szCs w:val="24"/>
        </w:rPr>
        <w:t>e-Oglasna ploča ovoga suda,</w:t>
      </w:r>
    </w:p>
    <w:p w:rsidRDefault="00CB1DBD" w:rsidP="00CB1DBD" w:rsidR="00CB1DBD">
      <w:pPr>
        <w:spacing w:after="0"/>
        <w:rPr>
          <w:rFonts w:hAnsi="Times New Roman" w:ascii="Times New Roman"/>
          <w:sz w:val="24"/>
          <w:szCs w:val="24"/>
        </w:rPr>
      </w:pPr>
    </w:p>
    <w:p w:rsidRDefault="00CB1DBD" w:rsidP="00CB1DBD" w:rsidR="00CB1DBD">
      <w:pPr>
        <w:spacing w:after="0"/>
        <w:rPr>
          <w:rFonts w:hAnsi="Times New Roman" w:ascii="Times New Roman"/>
          <w:sz w:val="24"/>
          <w:szCs w:val="24"/>
        </w:rPr>
      </w:pPr>
    </w:p>
    <w:p w:rsidRDefault="00CB1DBD" w:rsidP="00CB1DBD" w:rsidR="00CB1DBD">
      <w:pPr>
        <w:spacing w:after="0"/>
        <w:rPr>
          <w:rFonts w:hAnsi="Times New Roman" w:ascii="Times New Roman"/>
          <w:sz w:val="24"/>
          <w:szCs w:val="24"/>
        </w:rPr>
      </w:pPr>
    </w:p>
    <w:p w:rsidRDefault="00CB1DBD" w:rsidP="00CB1DBD" w:rsidR="00CB1DBD">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CB1DBD" w:rsidP="00CB1DBD" w:rsidR="00CB1DBD">
      <w:pPr>
        <w:rPr>
          <w:rFonts w:hAnsi="Times New Roman" w:ascii="Times New Roman"/>
          <w:sz w:val="24"/>
          <w:szCs w:val="24"/>
        </w:rPr>
      </w:pPr>
    </w:p>
    <w:p w:rsidRDefault="00CB1DBD" w:rsidP="00CB1DBD" w:rsidR="00CB1DBD">
      <w:pPr>
        <w:rPr>
          <w:rFonts w:hAnsi="Times New Roman" w:ascii="Times New Roman"/>
          <w:sz w:val="24"/>
          <w:szCs w:val="24"/>
        </w:rPr>
      </w:pPr>
    </w:p>
    <w:p w:rsidRDefault="00CB1DBD" w:rsidP="00CB1DBD" w:rsidR="00CB1DBD">
      <w:pPr>
        <w:rPr>
          <w:rFonts w:hAnsi="Times New Roman" w:ascii="Times New Roman"/>
          <w:sz w:val="24"/>
          <w:szCs w:val="24"/>
        </w:rPr>
      </w:pPr>
    </w:p>
    <w:p w:rsidRDefault="00AE649C" w:rsidP="004F27AE" w:rsidR="00AE649C" w:rsidRPr="00B76F3C">
      <w:pPr>
        <w:pStyle w:val="NormaleSPIS"/>
      </w:pPr>
    </w:p>
    <w:sectPr w:rsidSect="00CB1DBD"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21B2" w:rsidP="00537B78" w:rsidR="000D21B2">
      <w:r>
        <w:separator/>
      </w:r>
    </w:p>
  </w:endnote>
  <w:endnote w:id="0" w:type="continuationSeparator">
    <w:p w:rsidRDefault="000D21B2" w:rsidP="00537B78" w:rsidR="000D21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5778809"/>
      <w:docPartObj>
        <w:docPartGallery w:val="Page Numbers (Bottom of Page)"/>
        <w:docPartUnique/>
      </w:docPartObj>
    </w:sdtPr>
    <w:sdtEndPr/>
    <w:sdtContent>
      <w:p w:rsidRDefault="00CB1DBD" w:rsidR="00CB1DBD">
        <w:pPr>
          <w:pStyle w:val="Podnoje"/>
        </w:pPr>
        <w:r>
          <w:fldChar w:fldCharType="begin"/>
        </w:r>
        <w:r>
          <w:instrText>PAGE   \* MERGEFORMAT</w:instrText>
        </w:r>
        <w:r>
          <w:fldChar w:fldCharType="separate"/>
        </w:r>
        <w:r w:rsidR="00EC0778">
          <w:t>2</w:t>
        </w:r>
        <w:r>
          <w:fldChar w:fldCharType="end"/>
        </w:r>
      </w:p>
    </w:sdtContent>
  </w:sdt>
  <w:p w:rsidRDefault="00CB1DBD" w:rsidR="00CB1DB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21B2" w:rsidP="00537B78" w:rsidR="000D21B2">
      <w:r>
        <w:separator/>
      </w:r>
    </w:p>
  </w:footnote>
  <w:footnote w:id="0" w:type="continuationSeparator">
    <w:p w:rsidRDefault="000D21B2" w:rsidP="00537B78" w:rsidR="000D21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1DBD" w:rsidR="008333A9">
    <w:pPr>
      <w:pStyle w:val="Zaglavlje"/>
    </w:pPr>
    <w:r>
      <w:rPr>
        <w:rStyle w:val="PozadinaSvijetloCrvena"/>
        <w:shd w:fill="auto" w:color="auto" w:val="clear"/>
      </w:rPr>
      <w:t>Poslovni broj : 6 St-585/2017-7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63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1B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100"/>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4D1"/>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EB7"/>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9CD"/>
    <w:rsid w:val="0051227D"/>
    <w:rsid w:val="00514B85"/>
    <w:rsid w:val="00515750"/>
    <w:rsid w:val="00515A79"/>
    <w:rsid w:val="0051698C"/>
    <w:rsid w:val="00516DB7"/>
    <w:rsid w:val="005203F0"/>
    <w:rsid w:val="00521CA6"/>
    <w:rsid w:val="0052303A"/>
    <w:rsid w:val="0052328B"/>
    <w:rsid w:val="00523434"/>
    <w:rsid w:val="00527F93"/>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74D"/>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D82"/>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153"/>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A7F01"/>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6F70"/>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E0D"/>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17CB9"/>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DBD"/>
    <w:rsid w:val="00CB3CBF"/>
    <w:rsid w:val="00CB4519"/>
    <w:rsid w:val="00CB5042"/>
    <w:rsid w:val="00CB65BD"/>
    <w:rsid w:val="00CB6B9B"/>
    <w:rsid w:val="00CB6CE6"/>
    <w:rsid w:val="00CC2AF0"/>
    <w:rsid w:val="00CC2C51"/>
    <w:rsid w:val="00CC2EE9"/>
    <w:rsid w:val="00CC36C9"/>
    <w:rsid w:val="00CC4246"/>
    <w:rsid w:val="00CC4CDE"/>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0778"/>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B1DBD"/>
    <w:rPr>
      <w:rFonts w:cs="Times New Roman" w:eastAsia="Calibri" w:hAnsi="Calibri" w:ascii="Calibri"/>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eastAsiaTheme="minorHAnsi"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eastAsiaTheme="minorHAnsi"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eastAsiaTheme="minorHAnsi"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eastAsiaTheme="minorHAnsi"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eastAsiaTheme="minorHAnsi"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eastAsiaTheme="minorHAnsi"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eastAsiaTheme="minorHAnsi"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eastAsiaTheme="minorHAnsi"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eastAsiaTheme="minorHAnsi"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lineRule="auto" w:line="240" w:afterAutospacing="true" w:after="100" w:beforeAutospacing="true" w:before="100"/>
    </w:pPr>
    <w:rPr>
      <w:rFonts w:cstheme="minorBidi" w:eastAsiaTheme="minorHAnsi" w:hAnsi="Times New Roman" w:ascii="Times New Roman"/>
      <w:sz w:val="24"/>
      <w:szCs w:val="24"/>
    </w:rPr>
  </w:style>
  <w:style w:styleId="Obinouvueno" w:type="paragraph">
    <w:name w:val="Normal Indent"/>
    <w:basedOn w:val="Normal"/>
    <w:uiPriority w:val="99"/>
    <w:unhideWhenUsed/>
    <w:rsid w:val="00551CB3"/>
    <w:pPr>
      <w:spacing w:lineRule="auto" w:line="240" w:after="240"/>
      <w:ind w:left="720"/>
    </w:pPr>
    <w:rPr>
      <w:rFonts w:cstheme="minorBidi" w:eastAsiaTheme="minorHAnsi" w:hAnsi="Times New Roman" w:ascii="Times New Roman"/>
      <w:sz w:val="24"/>
      <w:szCs w:val="24"/>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eastAsiaTheme="minorHAnsi"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eastAsiaTheme="minorHAnsi"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eastAsiaTheme="minorHAnsi"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eastAsiaTheme="minorHAnsi"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cstheme="minorBidi" w:eastAsiaTheme="minorHAnsi"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eastAsiaTheme="minorHAnsi"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eastAsiaTheme="minorHAnsi"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eastAsiaTheme="minorHAnsi"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sz w:val="24"/>
      <w:szCs w:val="24"/>
    </w:rPr>
  </w:style>
  <w:style w:styleId="Tijeloteksta" w:type="paragraph">
    <w:name w:val="Body Text"/>
    <w:basedOn w:val="Normal"/>
    <w:link w:val="TijelotekstaChar"/>
    <w:uiPriority w:val="99"/>
    <w:unhideWhenUsed/>
    <w:rsid w:val="00551CB3"/>
    <w:pPr>
      <w:spacing w:lineRule="auto" w:line="240" w:after="120"/>
    </w:pPr>
    <w:rPr>
      <w:rFonts w:cstheme="minorBidi" w:eastAsiaTheme="minorHAnsi"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eastAsiaTheme="minorHAnsi"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eastAsiaTheme="minorHAnsi"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lineRule="auto" w:line="240" w:after="0"/>
    </w:pPr>
    <w:rPr>
      <w:rFonts w:cstheme="minorBidi" w:eastAsiaTheme="minorHAnsi" w:hAnsi="Times New Roman" w:ascii="Times New Roman"/>
      <w:i/>
      <w:iCs/>
      <w:sz w:val="24"/>
      <w:szCs w:val="24"/>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lineRule="auto" w:line="240" w:after="0"/>
    </w:pPr>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eastAsiaTheme="minorHAnsi"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eastAsiaTheme="minorHAnsi"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eastAsiaTheme="minorHAnsi"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eastAsiaTheme="minorHAnsi"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eastAsiaTheme="minorHAnsi"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eastAsiaTheme="minorHAnsi"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eastAsiaTheme="minorHAnsi"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eastAsiaTheme="minorHAnsi"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sz w:val="24"/>
      <w:szCs w:val="24"/>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eastAsiaTheme="minorHAnsi"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lineRule="auto" w:line="240" w:after="0"/>
    </w:pPr>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cstheme="minorBidi" w:eastAsiaTheme="minorHAnsi"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cstheme="minorBidi" w:eastAsiaTheme="minorHAnsi"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eastAsiaTheme="minorHAnsi"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eastAsiaTheme="minorHAnsi"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eastAsiaTheme="minorHAnsi"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eastAsiaTheme="minorHAnsi"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eastAsiaTheme="minorHAnsi"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eastAsiaTheme="minorHAnsi"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eastAsiaTheme="minorHAnsi"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eastAsiaTheme="minorHAnsi"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eastAsiaTheme="minorHAnsi"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eastAsiaTheme="minorHAnsi"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eastAsiaTheme="minorHAnsi"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eastAsiaTheme="minorHAnsi"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B1DBD"/>
    <w:pPr>
      <w:spacing w:lineRule="auto" w:line="240" w:after="0"/>
      <w:jc w:val="both"/>
    </w:pPr>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B1DBD"/>
    <w:rPr>
      <w:rFonts w:ascii="Calibri" w:cs="Times New Roman" w:eastAsia="Calibri" w:hAnsi="Calibri"/>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cstheme="minorBidi" w:eastAsiaTheme="minorHAnsi"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cstheme="minorBidi" w:eastAsiaTheme="minorHAnsi"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cstheme="minorBidi" w:eastAsiaTheme="minorHAnsi"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cstheme="minorBidi" w:eastAsiaTheme="minorHAnsi"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cstheme="minorBidi" w:eastAsiaTheme="minorHAnsi"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cstheme="minorBidi" w:eastAsiaTheme="minorHAnsi"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cstheme="minorBidi" w:eastAsiaTheme="minorHAnsi"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cstheme="minorBidi" w:eastAsiaTheme="minorHAnsi"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cstheme="minorBidi" w:eastAsiaTheme="minorHAnsi"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line="240" w:lineRule="auto"/>
    </w:pPr>
    <w:rPr>
      <w:rFonts w:ascii="Times New Roman" w:cstheme="minorBidi" w:eastAsiaTheme="minorHAnsi" w:hAnsi="Times New Roman"/>
      <w:sz w:val="24"/>
      <w:szCs w:val="24"/>
    </w:rPr>
  </w:style>
  <w:style w:styleId="Obinouvueno" w:type="paragraph">
    <w:name w:val="Normal Indent"/>
    <w:basedOn w:val="Normal"/>
    <w:uiPriority w:val="99"/>
    <w:unhideWhenUsed/>
    <w:rsid w:val="00551CB3"/>
    <w:pPr>
      <w:spacing w:after="240" w:line="240" w:lineRule="auto"/>
      <w:ind w:left="720"/>
    </w:pPr>
    <w:rPr>
      <w:rFonts w:ascii="Times New Roman" w:cstheme="minorBidi" w:eastAsiaTheme="minorHAnsi" w:hAnsi="Times New Roman"/>
      <w:sz w:val="24"/>
      <w:szCs w:val="24"/>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cstheme="minorBidi" w:eastAsiaTheme="minorHAnsi"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cstheme="minorBidi" w:eastAsiaTheme="minorHAnsi"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cstheme="minorBidi" w:eastAsiaTheme="minorHAnsi"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cstheme="minorBidi" w:eastAsiaTheme="minorHAnsi"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cstheme="minorBidi" w:eastAsiaTheme="minorHAnsi"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cstheme="minorBidi" w:eastAsiaTheme="minorHAnsi"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cstheme="minorBidi"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cstheme="minorBidi" w:eastAsiaTheme="minorHAnsi"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cstheme="minorBidi" w:eastAsiaTheme="minorHAnsi"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sz w:val="24"/>
      <w:szCs w:val="24"/>
    </w:rPr>
  </w:style>
  <w:style w:styleId="Tijeloteksta" w:type="paragraph">
    <w:name w:val="Body Text"/>
    <w:basedOn w:val="Normal"/>
    <w:link w:val="TijelotekstaChar"/>
    <w:uiPriority w:val="99"/>
    <w:unhideWhenUsed/>
    <w:rsid w:val="00551CB3"/>
    <w:pPr>
      <w:spacing w:after="120" w:line="240" w:lineRule="auto"/>
    </w:pPr>
    <w:rPr>
      <w:rFonts w:ascii="Times New Roman" w:cstheme="minorBidi" w:eastAsiaTheme="minorHAnsi"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cstheme="minorBidi" w:eastAsiaTheme="minorHAnsi"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cstheme="minorBidi" w:eastAsiaTheme="minorHAnsi"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line="240" w:lineRule="auto"/>
    </w:pPr>
    <w:rPr>
      <w:rFonts w:ascii="Times New Roman" w:cstheme="minorBidi" w:eastAsiaTheme="minorHAnsi" w:hAnsi="Times New Roman"/>
      <w:i/>
      <w:iCs/>
      <w:sz w:val="24"/>
      <w:szCs w:val="24"/>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line="240" w:lineRule="auto"/>
    </w:pPr>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cstheme="minorBidi" w:eastAsiaTheme="minorHAnsi"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cstheme="minorBidi" w:eastAsiaTheme="minorHAnsi"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cstheme="minorBidi" w:eastAsiaTheme="minorHAnsi"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cstheme="minorBidi" w:eastAsiaTheme="minorHAnsi"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cstheme="minorBidi" w:eastAsiaTheme="minorHAnsi"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cstheme="minorBidi" w:eastAsiaTheme="minorHAnsi"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cstheme="minorBidi" w:eastAsiaTheme="minorHAnsi"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cstheme="minorBidi" w:eastAsiaTheme="minorHAnsi"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sz w:val="24"/>
      <w:szCs w:val="24"/>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cstheme="minorBidi" w:eastAsiaTheme="minorHAnsi"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line="240" w:lineRule="auto"/>
    </w:pPr>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cstheme="minorBidi" w:eastAsiaTheme="minorHAnsi"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cstheme="minorBidi" w:eastAsiaTheme="minorHAnsi"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cstheme="minorBidi" w:eastAsiaTheme="minorHAnsi"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cstheme="minorBidi" w:eastAsiaTheme="minorHAnsi"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cstheme="minorBidi" w:eastAsiaTheme="minorHAnsi"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cstheme="minorBidi" w:eastAsiaTheme="minorHAnsi"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cstheme="minorBidi" w:eastAsiaTheme="minorHAnsi"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cstheme="minorBidi" w:eastAsiaTheme="minorHAnsi"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cstheme="minorBidi" w:eastAsiaTheme="minorHAnsi"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cstheme="minorBidi" w:eastAsiaTheme="minorHAnsi"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cstheme="minorBidi" w:eastAsiaTheme="minorHAnsi"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cstheme="minorBidi" w:eastAsiaTheme="minorHAnsi"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cstheme="minorBidi" w:eastAsiaTheme="minorHAnsi"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cstheme="minorBidi" w:eastAsiaTheme="minorHAnsi"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B1DBD"/>
    <w:pPr>
      <w:spacing w:after="0" w:line="240" w:lineRule="auto"/>
      <w:jc w:val="both"/>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45765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St-585/2017-7</izvorni_sadrzaj>
    <derivirana_varijabla naziv="DomainObject.Oznaka_1">St-585/2017-7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predst.postupka i otvaranja predst. postupka</izvorni_sadrzaj>
    <derivirana_varijabla naziv="DomainObject.Predmet.Opis_1">Prijedlog za pokretanje predst.postupka i otvaranja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Novosel</izvorni_sadrzaj>
    <derivirana_varijabla naziv="DomainObject.Predmet.StrankaFormated_1">  Igor Novosel</derivirana_varijabla>
  </DomainObject.Predmet.StrankaFormated>
  <DomainObject.Predmet.StrankaFormatedOIB>
    <izvorni_sadrzaj>  Igor Novosel, OIB 69533902748</izvorni_sadrzaj>
    <derivirana_varijabla naziv="DomainObject.Predmet.StrankaFormatedOIB_1">  Igor Novosel, OIB 69533902748</derivirana_varijabla>
  </DomainObject.Predmet.StrankaFormatedOIB>
  <DomainObject.Predmet.StrankaFormatedWithAdress>
    <izvorni_sadrzaj> Igor Novosel, Paška Ulica 15, 48260 Križevci</izvorni_sadrzaj>
    <derivirana_varijabla naziv="DomainObject.Predmet.StrankaFormatedWithAdress_1"> Igor Novosel, Paška Ulica 15, 48260 Križevci</derivirana_varijabla>
  </DomainObject.Predmet.StrankaFormatedWithAdress>
  <DomainObject.Predmet.StrankaFormatedWithAdressOIB>
    <izvorni_sadrzaj> Igor Novosel, OIB 69533902748, Paška Ulica 15, 48260 Križevci</izvorni_sadrzaj>
    <derivirana_varijabla naziv="DomainObject.Predmet.StrankaFormatedWithAdressOIB_1"> Igor Novosel, OIB 69533902748, Paška Ulica 15, 48260 Križevci</derivirana_varijabla>
  </DomainObject.Predmet.StrankaFormatedWithAdressOIB>
  <DomainObject.Predmet.StrankaWithAdress>
    <izvorni_sadrzaj>Igor Novosel Paška Ulica 15,48260 Križevci</izvorni_sadrzaj>
    <derivirana_varijabla naziv="DomainObject.Predmet.StrankaWithAdress_1">Igor Novosel Paška Ulica 15,48260 Križevci</derivirana_varijabla>
  </DomainObject.Predmet.StrankaWithAdress>
  <DomainObject.Predmet.StrankaWithAdressOIB>
    <izvorni_sadrzaj>Igor Novosel, OIB 69533902748, Paška Ulica 15,48260 Križevci</izvorni_sadrzaj>
    <derivirana_varijabla naziv="DomainObject.Predmet.StrankaWithAdressOIB_1">Igor Novosel, OIB 69533902748, Paška Ulica 15,48260 Križevci</derivirana_varijabla>
  </DomainObject.Predmet.StrankaWithAdressOIB>
  <DomainObject.Predmet.StrankaNazivFormated>
    <izvorni_sadrzaj>Igor Novosel</izvorni_sadrzaj>
    <derivirana_varijabla naziv="DomainObject.Predmet.StrankaNazivFormated_1">Igor Novosel</derivirana_varijabla>
  </DomainObject.Predmet.StrankaNazivFormated>
  <DomainObject.Predmet.StrankaNazivFormatedOIB>
    <izvorni_sadrzaj>Igor Novosel, OIB 69533902748</izvorni_sadrzaj>
    <derivirana_varijabla naziv="DomainObject.Predmet.StrankaNazivFormatedOIB_1">Igor Novosel, OIB 69533902748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Igor Novosel</item>
    </izvorni_sadrzaj>
    <derivirana_varijabla naziv="DomainObject.Predmet.StrankaListFormated_1">
      <item>Igor Novosel</item>
    </derivirana_varijabla>
  </DomainObject.Predmet.StrankaListFormated>
  <DomainObject.Predmet.StrankaListFormatedOIB>
    <izvorni_sadrzaj>
      <item>Igor Novosel, OIB 69533902748</item>
    </izvorni_sadrzaj>
    <derivirana_varijabla naziv="DomainObject.Predmet.StrankaListFormatedOIB_1">
      <item>Igor Novosel, OIB 69533902748</item>
    </derivirana_varijabla>
  </DomainObject.Predmet.StrankaListFormatedOIB>
  <DomainObject.Predmet.StrankaListFormatedWithAdress>
    <izvorni_sadrzaj>
      <item>Igor Novosel, Paška Ulica 15, 48260 Križevci</item>
    </izvorni_sadrzaj>
    <derivirana_varijabla naziv="DomainObject.Predmet.StrankaListFormatedWithAdress_1">
      <item>Igor Novosel, Paška Ulica 15, 48260 Križevci</item>
    </derivirana_varijabla>
  </DomainObject.Predmet.StrankaListFormatedWithAdress>
  <DomainObject.Predmet.StrankaListFormatedWithAdressOIB>
    <izvorni_sadrzaj>
      <item>Igor Novosel, OIB 69533902748, Paška Ulica 15, 48260 Križevci</item>
    </izvorni_sadrzaj>
    <derivirana_varijabla naziv="DomainObject.Predmet.StrankaListFormatedWithAdressOIB_1">
      <item>Igor Novosel, OIB 69533902748, Paška Ulica 15, 48260 Križevci</item>
    </derivirana_varijabla>
  </DomainObject.Predmet.StrankaListFormatedWithAdressOIB>
  <DomainObject.Predmet.StrankaListNazivFormated>
    <izvorni_sadrzaj>
      <item>Igor Novosel</item>
    </izvorni_sadrzaj>
    <derivirana_varijabla naziv="DomainObject.Predmet.StrankaListNazivFormated_1">
      <item>Igor Novosel</item>
    </derivirana_varijabla>
  </DomainObject.Predmet.StrankaListNazivFormated>
  <DomainObject.Predmet.StrankaListNazivFormatedOIB>
    <izvorni_sadrzaj>
      <item>Igor Novosel, OIB 69533902748</item>
    </izvorni_sadrzaj>
    <derivirana_varijabla naziv="DomainObject.Predmet.StrankaListNazivFormatedOIB_1">
      <item>Igor Novosel, OIB 69533902748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e-Oglasna</item>
      <item>Vesna Baranašić Horvat, povrjerenik</item>
      <item>Tanja Purić Stamenković, zamjenik ŽDO</item>
      <item>Saša Šamec punomoćnik Zagrebačke banke d.d.</item>
      <item>Marko Krnjak, punomoćnik Tvornice stočne hrane d.d.</item>
    </izvorni_sadrzaj>
    <derivirana_varijabla naziv="DomainObject.Predmet.OstaliListFormated_1">
      <item>Financijska agencija</item>
      <item>e-Oglasna</item>
      <item>Vesna Baranašić Horvat, povrjerenik</item>
      <item>Tanja Purić Stamenković, zamjenik ŽDO</item>
      <item>Saša Šamec punomoćnik Zagrebačke banke d.d.</item>
      <item>Marko Krnjak, punomoćnik Tvornice stočne hrane d.d.</item>
    </derivirana_varijabla>
  </DomainObject.Predmet.OstaliListFormated>
  <DomainObject.Predmet.OstaliListFormatedOIB>
    <izvorni_sadrzaj>
      <item>Financijska agencija, OIB 85821130368</item>
      <item>e-Oglasna</item>
      <item>Vesna Baranašić Horvat, povrjerenik, OIB 65554389903</item>
      <item>Tanja Purić Stamenković, zamjenik ŽDO</item>
      <item>Saša Šamec punomoćnik Zagrebačke banke d.d.</item>
      <item>Marko Krnjak, punomoćnik Tvornice stočne hrane d.d.</item>
    </izvorni_sadrzaj>
    <derivirana_varijabla naziv="DomainObject.Predmet.OstaliListFormatedOIB_1">
      <item>Financijska agencija, OIB 85821130368</item>
      <item>e-Oglasna</item>
      <item>Vesna Baranašić Horvat, povrjerenik, OIB 65554389903</item>
      <item>Tanja Purić Stamenković, zamjenik ŽDO</item>
      <item>Saša Šamec punomoćnik Zagrebačke banke d.d.</item>
      <item>Marko Krnjak, punomoćnik Tvornice stočne hrane d.d.</item>
    </derivirana_varijabla>
  </DomainObject.Predmet.OstaliListFormatedOIB>
  <DomainObject.Predmet.OstaliListFormatedWithAdress>
    <izvorni_sadrzaj>
      <item>Financijska agencija, Ulica grada Vukovara 70, 10000 Zagreb</item>
      <item>e-Oglasna</item>
      <item>Vesna Baranašić Horvat, povrjerenik, Matice Hrvatske br. 6., 40000 Čakovec</item>
      <item>Tanja Purić Stamenković, zamjenik ŽDO</item>
      <item>Saša Šamec punomoćnik Zagrebačke banke d.d.</item>
      <item>Marko Krnjak, punomoćnik Tvornice stočne hrane d.d.</item>
    </izvorni_sadrzaj>
    <derivirana_varijabla naziv="DomainObject.Predmet.OstaliListFormatedWithAdress_1">
      <item>Financijska agencija, Ulica grada Vukovara 70, 10000 Zagreb</item>
      <item>e-Oglasna</item>
      <item>Vesna Baranašić Horvat, povrjerenik, Matice Hrvatske br. 6., 40000 Čakovec</item>
      <item>Tanja Purić Stamenković, zamjenik ŽDO</item>
      <item>Saša Šamec punomoćnik Zagrebačke banke d.d.</item>
      <item>Marko Krnjak, punomoćnik Tvornice stočne hrane d.d.</item>
    </derivirana_varijabla>
  </DomainObject.Predmet.OstaliListFormatedWithAdress>
  <DomainObject.Predmet.OstaliListFormatedWithAdressOIB>
    <izvorni_sadrzaj>
      <item>Financijska agencija, OIB 85821130368, Ulica grada Vukovara 70, 10000 Zagreb</item>
      <item>e-Oglasna</item>
      <item>Vesna Baranašić Horvat, povrjerenik, OIB 65554389903, Matice Hrvatske br. 6., 40000 Čakovec</item>
      <item>Tanja Purić Stamenković, zamjenik ŽDO</item>
      <item>Saša Šamec punomoćnik Zagrebačke banke d.d.</item>
      <item>Marko Krnjak, punomoćnik Tvornice stočne hrane d.d.</item>
    </izvorni_sadrzaj>
    <derivirana_varijabla naziv="DomainObject.Predmet.OstaliListFormatedWithAdressOIB_1">
      <item>Financijska agencija, OIB 85821130368, Ulica grada Vukovara 70, 10000 Zagreb</item>
      <item>e-Oglasna</item>
      <item>Vesna Baranašić Horvat, povrjerenik, OIB 65554389903, Matice Hrvatske br. 6., 40000 Čakovec</item>
      <item>Tanja Purić Stamenković, zamjenik ŽDO</item>
      <item>Saša Šamec punomoćnik Zagrebačke banke d.d.</item>
      <item>Marko Krnjak, punomoćnik Tvornice stočne hrane d.d.</item>
    </derivirana_varijabla>
  </DomainObject.Predmet.OstaliListFormatedWithAdressOIB>
  <DomainObject.Predmet.OstaliListNazivFormated>
    <izvorni_sadrzaj>
      <item>Financijska agencija</item>
      <item>e-Oglasna</item>
      <item>Vesna Baranašić Horvat, povrjerenik</item>
      <item>Tanja Purić Stamenković, zamjenik ŽDO</item>
      <item>Saša Šamec punomoćnik Zagrebačke banke d.d.</item>
      <item>Marko Krnjak, punomoćnik Tvornice stočne hrane d.d.</item>
    </izvorni_sadrzaj>
    <derivirana_varijabla naziv="DomainObject.Predmet.OstaliListNazivFormated_1">
      <item>Financijska agencija</item>
      <item>e-Oglasna</item>
      <item>Vesna Baranašić Horvat, povrjerenik</item>
      <item>Tanja Purić Stamenković, zamjenik ŽDO</item>
      <item>Saša Šamec punomoćnik Zagrebačke banke d.d.</item>
      <item>Marko Krnjak, punomoćnik Tvornice stočne hrane d.d.</item>
    </derivirana_varijabla>
  </DomainObject.Predmet.OstaliListNazivFormated>
  <DomainObject.Predmet.OstaliListNazivFormatedOIB>
    <izvorni_sadrzaj>
      <item>Financijska agencija, OIB 85821130368</item>
      <item>e-Oglasna</item>
      <item>Vesna Baranašić Horvat, povrjerenik, OIB 65554389903</item>
      <item>Tanja Purić Stamenković, zamjenik ŽDO</item>
      <item>Saša Šamec punomoćnik Zagrebačke banke d.d.</item>
      <item>Marko Krnjak, punomoćnik Tvornice stočne hrane d.d.</item>
    </izvorni_sadrzaj>
    <derivirana_varijabla naziv="DomainObject.Predmet.OstaliListNazivFormatedOIB_1">
      <item>Financijska agencija, OIB 85821130368</item>
      <item>e-Oglasna</item>
      <item>Vesna Baranašić Horvat, povrjerenik, OIB 65554389903</item>
      <item>Tanja Purić Stamenković, zamjenik ŽDO</item>
      <item>Saša Šamec punomoćnik Zagrebačke banke d.d.</item>
      <item>Marko Krnjak, punomoćnik Tvornice stočne hrane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St-585/2017-7</izvorni_sadrzaj>
    <derivirana_varijabla naziv="DomainObject.PoslovniBrojDokumenta_1">St-585/2017-7</derivirana_varijabla>
  </DomainObject.PoslovniBrojDokumenta>
  <DomainObject.Predmet.StrankaIDrugi>
    <izvorni_sadrzaj>Igor Novosel</izvorni_sadrzaj>
    <derivirana_varijabla naziv="DomainObject.Predmet.StrankaIDrugi_1">Igor Novosel</derivirana_varijabla>
  </DomainObject.Predmet.StrankaIDrugi>
  <DomainObject.Predmet.ProtustrankaIDrugi>
    <izvorni_sadrzaj/>
    <derivirana_varijabla naziv="DomainObject.Predmet.ProtustrankaIDrugi_1"/>
  </DomainObject.Predmet.ProtustrankaIDrugi>
  <DomainObject.Predmet.StrankaIDrugiAdressOIB>
    <izvorni_sadrzaj>Igor Novosel, OIB 69533902748, Paška Ulica 15, 48260 Križevci</izvorni_sadrzaj>
    <derivirana_varijabla naziv="DomainObject.Predmet.StrankaIDrugiAdressOIB_1">Igor Novosel, OIB 69533902748, Paška Ulica 15,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Novosel</item>
      <item>Financijska agencija</item>
      <item>e-Oglasna</item>
      <item>Vesna Baranašić Horvat, povrjerenik</item>
      <item>Tanja Purić Stamenković, zamjenik ŽDO</item>
      <item>Saša Šamec punomoćnik Zagrebačke banke d.d.</item>
      <item>Marko Krnjak, punomoćnik Tvornice stočne hrane d.d.</item>
    </izvorni_sadrzaj>
    <derivirana_varijabla naziv="DomainObject.Predmet.SudioniciListNaziv_1">
      <item>Igor Novosel</item>
      <item>Financijska agencija</item>
      <item>e-Oglasna</item>
      <item>Vesna Baranašić Horvat, povrjerenik</item>
      <item>Tanja Purić Stamenković, zamjenik ŽDO</item>
      <item>Saša Šamec punomoćnik Zagrebačke banke d.d.</item>
      <item>Marko Krnjak, punomoćnik Tvornice stočne hrane d.d.</item>
    </derivirana_varijabla>
  </DomainObject.Predmet.SudioniciListNaziv>
  <DomainObject.Predmet.SudioniciListAdressOIB>
    <izvorni_sadrzaj>
      <item>Igor Novosel, OIB 69533902748, Paška Ulica 15,48260 Križevci</item>
      <item>Financijska agencija, OIB 85821130368, Ulica grada Vukovara 70,10000 Zagreb</item>
      <item>e-Oglasna</item>
      <item>Vesna Baranašić Horvat, povrjerenik, OIB 65554389903, Matice Hrvatske br. 6.,40000 Čakovec</item>
      <item>Tanja Purić Stamenković, zamjenik ŽDO</item>
      <item>Saša Šamec punomoćnik Zagrebačke banke d.d.</item>
      <item>Marko Krnjak, punomoćnik Tvornice stočne hrane d.d.</item>
    </izvorni_sadrzaj>
    <derivirana_varijabla naziv="DomainObject.Predmet.SudioniciListAdressOIB_1">
      <item>Igor Novosel, OIB 69533902748, Paška Ulica 15,48260 Križevci</item>
      <item>Financijska agencija, OIB 85821130368, Ulica grada Vukovara 70,10000 Zagreb</item>
      <item>e-Oglasna</item>
      <item>Vesna Baranašić Horvat, povrjerenik, OIB 65554389903, Matice Hrvatske br. 6.,40000 Čakovec</item>
      <item>Tanja Purić Stamenković, zamjenik ŽDO</item>
      <item>Saša Šamec punomoćnik Zagrebačke banke d.d.</item>
      <item>Marko Krnjak, punomoćnik Tvornice stočne hrane d.d.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E7AEBF-068E-4CF9-A0E2-828F70BBA9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2180</properties:Characters>
  <properties:Lines>78</properties:Lines>
  <properties:Paragraphs>24</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2018-04-12T11:11:00Z</cp:lastPrinted>
  <dcterms:modified xmlns:xsi="http://www.w3.org/2001/XMLSchema-instance" xsi:type="dcterms:W3CDTF">2018-04-12T11:13:00Z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St-585/2017-7 / Odluka - Rješenje (odluka_St-585_2017-7.docx)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