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7286" w14:paraId="6e97286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St-1856/2016-</w:t>
      </w:r>
      <w:r w:rsidR="00C26A71">
        <w:rPr>
          <w:rFonts w:hAnsi="Times New Roman" w:ascii="Times New Roman"/>
          <w:b/>
          <w:sz w:val="24"/>
          <w:szCs w:val="24"/>
          <w:lang w:eastAsia="hr-HR"/>
        </w:rPr>
        <w:t>32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>Trgovački sud u Splitu, Stalna služba u Dubrovniku, po sucu tog suda Katarini Franković, kao sucu pojedincu, u stečajnom postupku nad dužnikom Stečajna masa iza GANTZ d.o.o. za usluge u stečaju, Split, A.B. Šimića 20, OIB: 42737742220, zastupanog po ste</w:t>
      </w:r>
      <w:r w:rsidR="00F327C0">
        <w:rPr>
          <w:rFonts w:hAnsi="Times New Roman" w:ascii="Times New Roman"/>
          <w:sz w:val="24"/>
          <w:szCs w:val="24"/>
          <w:lang w:eastAsia="hr-HR"/>
        </w:rPr>
        <w:t>čajnom upravitelju Ivanu Sunara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B00E84">
        <w:rPr>
          <w:rFonts w:hAnsi="Times New Roman" w:ascii="Times New Roman"/>
          <w:sz w:val="24"/>
          <w:szCs w:val="24"/>
          <w:lang w:eastAsia="hr-HR"/>
        </w:rPr>
        <w:t>1</w:t>
      </w:r>
      <w:r w:rsidR="00F327C0">
        <w:rPr>
          <w:rFonts w:hAnsi="Times New Roman" w:ascii="Times New Roman"/>
          <w:sz w:val="24"/>
          <w:szCs w:val="24"/>
          <w:lang w:eastAsia="hr-HR"/>
        </w:rPr>
        <w:t>1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B00E84">
        <w:rPr>
          <w:rFonts w:hAnsi="Times New Roman" w:ascii="Times New Roman"/>
          <w:sz w:val="24"/>
          <w:szCs w:val="24"/>
        </w:rPr>
        <w:t>svibnj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B71456" w:rsidP="00B71456" w:rsidR="00B71456" w:rsidRPr="00FC54A1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9176FA" w:rsidP="00B00E84" w:rsidR="00826F15" w:rsidRPr="003359B2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3/4 suvlasničkog dijela nekretnine </w:t>
      </w:r>
      <w:r w:rsidRPr="009176FA">
        <w:rPr>
          <w:rFonts w:hAnsi="Times New Roman" w:ascii="Times New Roman"/>
          <w:sz w:val="24"/>
          <w:szCs w:val="24"/>
        </w:rPr>
        <w:t>čest.br. 17 – vrt, površine 266 m2, upisane kod Općinskog suda u Dubrovniku, zemljišno knjižni odjel Dubrovnik, u  z.ul. 267, za k.o. Obuljeno</w:t>
      </w:r>
      <w:r w:rsidR="00B00E84" w:rsidRPr="003359B2">
        <w:rPr>
          <w:rFonts w:hAnsi="Times New Roman" w:ascii="Times New Roman"/>
          <w:sz w:val="24"/>
          <w:szCs w:val="24"/>
        </w:rPr>
        <w:t>,</w:t>
      </w:r>
    </w:p>
    <w:p w:rsidRDefault="00B00E84" w:rsidP="00B00E84" w:rsidR="00B00E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9176FA">
        <w:rPr>
          <w:rFonts w:hAnsi="Times New Roman" w:ascii="Times New Roman"/>
          <w:sz w:val="24"/>
          <w:szCs w:val="24"/>
        </w:rPr>
        <w:t>211.412,69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9176FA" w:rsidRPr="009176FA">
        <w:rPr>
          <w:rFonts w:hAnsi="Times New Roman" w:ascii="Times New Roman"/>
          <w:sz w:val="24"/>
          <w:szCs w:val="24"/>
          <w:lang w:eastAsia="hr-HR"/>
        </w:rPr>
        <w:t>REPUBLIKA HRVATSKA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CE30A1">
        <w:rPr>
          <w:rFonts w:hAnsi="Times New Roman" w:ascii="Times New Roman"/>
          <w:sz w:val="24"/>
          <w:szCs w:val="24"/>
          <w:lang w:eastAsia="hr-HR"/>
        </w:rPr>
        <w:t>Ivan Sunara, Split, A.B. Šimića 20</w:t>
      </w:r>
      <w:r w:rsidR="00BA3B2F">
        <w:rPr>
          <w:rFonts w:hAnsi="Times New Roman" w:ascii="Times New Roman"/>
          <w:sz w:val="24"/>
          <w:szCs w:val="24"/>
          <w:lang w:eastAsia="hr-HR"/>
        </w:rPr>
        <w:t>,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broj telefona </w:t>
      </w:r>
      <w:r w:rsidR="00CE30A1">
        <w:rPr>
          <w:rFonts w:hAnsi="Times New Roman" w:ascii="Times New Roman"/>
          <w:sz w:val="24"/>
          <w:szCs w:val="24"/>
          <w:lang w:eastAsia="hr-HR"/>
        </w:rPr>
        <w:t>01-3637839 i 021-370262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CE30A1">
        <w:rPr>
          <w:rFonts w:hAnsi="Times New Roman" w:ascii="Times New Roman"/>
          <w:sz w:val="24"/>
          <w:szCs w:val="24"/>
          <w:lang w:eastAsia="hr-HR"/>
        </w:rPr>
        <w:t>1856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CE30A1">
        <w:rPr>
          <w:rFonts w:hAnsi="Times New Roman" w:ascii="Times New Roman"/>
          <w:sz w:val="24"/>
          <w:szCs w:val="24"/>
          <w:lang w:eastAsia="hr-HR"/>
        </w:rPr>
        <w:t>16. veljače 2017</w:t>
      </w:r>
      <w:r w:rsidR="00E16ED0">
        <w:rPr>
          <w:rFonts w:hAnsi="Times New Roman" w:ascii="Times New Roman"/>
          <w:sz w:val="24"/>
          <w:szCs w:val="24"/>
          <w:lang w:eastAsia="hr-HR"/>
        </w:rPr>
        <w:t>.g.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sa ispravkom od 14. ožujka 2017.g.</w:t>
      </w:r>
      <w:r w:rsidR="00E16ED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</w:t>
      </w:r>
      <w:r w:rsidR="00E16ED0">
        <w:rPr>
          <w:rFonts w:hAnsi="Times New Roman" w:ascii="Times New Roman"/>
          <w:sz w:val="24"/>
          <w:szCs w:val="24"/>
          <w:lang w:eastAsia="hr-HR"/>
        </w:rPr>
        <w:t>postoji upisao razlučno pravo u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 korist </w:t>
      </w:r>
      <w:r w:rsidR="00CE30A1">
        <w:rPr>
          <w:rFonts w:hAnsi="Times New Roman" w:ascii="Times New Roman"/>
          <w:sz w:val="24"/>
          <w:szCs w:val="24"/>
          <w:lang w:eastAsia="hr-HR"/>
        </w:rPr>
        <w:t>REPUBLIKE HRVATSKE</w:t>
      </w:r>
      <w:r w:rsid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16ED0" w:rsidP="00E37C14" w:rsidR="00E16ED0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, uz odgovarajuću primjenu pravila ovršnog postupka, a sud će zaključkom o prodaji utvrditi vrijednost nekretnine, način i uvjete prodaje, dok prodaju </w:t>
      </w: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CE30A1">
        <w:rPr>
          <w:rFonts w:hAnsi="Times New Roman" w:ascii="Times New Roman"/>
          <w:sz w:val="24"/>
          <w:szCs w:val="24"/>
          <w:lang w:eastAsia="hr-HR"/>
        </w:rPr>
        <w:t>26. travnja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CE30A1">
        <w:rPr>
          <w:rFonts w:hAnsi="Times New Roman" w:ascii="Times New Roman"/>
          <w:sz w:val="24"/>
          <w:szCs w:val="24"/>
        </w:rPr>
        <w:t xml:space="preserve">211.412,69 </w:t>
      </w:r>
      <w:r w:rsidR="009D50BE" w:rsidRPr="009D50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E30A1">
        <w:rPr>
          <w:rFonts w:hAnsi="Times New Roman" w:ascii="Times New Roman"/>
          <w:sz w:val="24"/>
          <w:szCs w:val="24"/>
          <w:lang w:eastAsia="hr-HR"/>
        </w:rPr>
        <w:t>za građevinarstvo i procjenu nekretnina Zlatko Bender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, dipl. ing. građevinarstva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51ADE">
        <w:rPr>
          <w:rFonts w:hAnsi="Times New Roman" w:ascii="Times New Roman"/>
          <w:sz w:val="24"/>
          <w:szCs w:val="24"/>
          <w:lang w:eastAsia="hr-HR"/>
        </w:rPr>
        <w:t>78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5F0B53">
        <w:rPr>
          <w:rFonts w:hAnsi="Times New Roman" w:ascii="Times New Roman"/>
          <w:sz w:val="24"/>
          <w:szCs w:val="24"/>
          <w:lang w:eastAsia="hr-HR"/>
        </w:rPr>
        <w:t>1</w:t>
      </w:r>
      <w:r w:rsidR="009D50BE">
        <w:rPr>
          <w:rFonts w:hAnsi="Times New Roman" w:ascii="Times New Roman"/>
          <w:sz w:val="24"/>
          <w:szCs w:val="24"/>
          <w:lang w:eastAsia="hr-HR"/>
        </w:rPr>
        <w:t>0</w:t>
      </w:r>
      <w:r w:rsidR="00F51ADE">
        <w:rPr>
          <w:rFonts w:hAnsi="Times New Roman" w:ascii="Times New Roman"/>
          <w:sz w:val="24"/>
          <w:szCs w:val="24"/>
          <w:lang w:eastAsia="hr-HR"/>
        </w:rPr>
        <w:t>2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F51ADE">
        <w:rPr>
          <w:rFonts w:hAnsi="Times New Roman" w:ascii="Times New Roman"/>
          <w:sz w:val="24"/>
          <w:szCs w:val="24"/>
          <w:lang w:eastAsia="hr-HR"/>
        </w:rPr>
        <w:t>211.412,69</w:t>
      </w:r>
      <w:r w:rsidR="009D50BE" w:rsidRPr="009D50BE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26A71" w:rsidP="00C26A71" w:rsidR="00C26A7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13064" w:rsidP="00C26A71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nije uračunat PDV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 ni porez na prijenos vlasništva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2391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23913" w:rsidP="005F0B53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REPUBLIKA HRVATSKA</w:t>
      </w:r>
      <w:r w:rsidR="00794B41">
        <w:rPr>
          <w:rFonts w:hAnsi="Times New Roman" w:ascii="Times New Roman"/>
          <w:sz w:val="24"/>
          <w:szCs w:val="24"/>
          <w:lang w:eastAsia="hr-HR"/>
        </w:rPr>
        <w:t xml:space="preserve"> je </w:t>
      </w:r>
      <w:r w:rsidR="00C26A71">
        <w:rPr>
          <w:rFonts w:hAnsi="Times New Roman" w:ascii="Times New Roman"/>
          <w:sz w:val="24"/>
          <w:szCs w:val="24"/>
          <w:lang w:eastAsia="hr-HR"/>
        </w:rPr>
        <w:t xml:space="preserve">na ročištu za utvrđivanje vrijednosti predmetne imovine </w:t>
      </w:r>
      <w:r w:rsidR="00794B41">
        <w:rPr>
          <w:rFonts w:hAnsi="Times New Roman" w:ascii="Times New Roman"/>
          <w:sz w:val="24"/>
          <w:szCs w:val="24"/>
          <w:lang w:eastAsia="hr-HR"/>
        </w:rPr>
        <w:t xml:space="preserve"> naveo da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nema primjedbi sa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procijenjenom vrijednosti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794B41" w:rsidRPr="00794B41">
        <w:rPr>
          <w:rFonts w:hAnsi="Times New Roman" w:ascii="Times New Roman"/>
          <w:sz w:val="24"/>
          <w:szCs w:val="24"/>
          <w:lang w:eastAsia="hr-HR"/>
        </w:rPr>
        <w:t xml:space="preserve"> po stalnom sudskom vještaku</w:t>
      </w:r>
      <w:r w:rsidR="00794B4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D637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Predmetn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je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51267D">
        <w:rPr>
          <w:rFonts w:hAnsi="Times New Roman" w:ascii="Times New Roman"/>
          <w:b/>
          <w:sz w:val="24"/>
          <w:szCs w:val="24"/>
          <w:lang w:eastAsia="hr-HR"/>
        </w:rPr>
        <w:t>1</w:t>
      </w:r>
      <w:r w:rsidR="00C26A71">
        <w:rPr>
          <w:rFonts w:hAnsi="Times New Roman" w:ascii="Times New Roman"/>
          <w:b/>
          <w:sz w:val="24"/>
          <w:szCs w:val="24"/>
          <w:lang w:eastAsia="hr-HR"/>
        </w:rPr>
        <w:t>1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svibnj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Stečajni sudac: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lastRenderedPageBreak/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1A3521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CD6373">
        <w:rPr>
          <w:rFonts w:hAnsi="Times New Roman" w:ascii="Times New Roman"/>
          <w:sz w:val="24"/>
          <w:szCs w:val="24"/>
          <w:lang w:eastAsia="hr-HR"/>
        </w:rPr>
        <w:t>tke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F96397" w:rsidR="00F96397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FC54A1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96397" w:rsidP="00C26A71" w:rsidR="00E37C14" w:rsidRPr="00FC54A1">
      <w:pPr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C26A71" w:rsidRPr="00C26A71">
        <w:rPr>
          <w:rFonts w:hAnsi="Times New Roman" w:ascii="Times New Roman"/>
          <w:sz w:val="24"/>
          <w:szCs w:val="24"/>
          <w:lang w:eastAsia="hr-HR"/>
        </w:rPr>
        <w:t>razlučnom vjerovniku po ŽDO Dubrovnik</w:t>
      </w:r>
    </w:p>
    <w:sectPr w:rsidSect="001D5F5A" w:rsidR="00E37C14" w:rsidRPr="00FC54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D51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51267D" w:rsidRPr="0051267D">
          <w:t>Posl.br. 18 St-</w:t>
        </w:r>
        <w:r w:rsidR="00C26A71">
          <w:t>1856</w:t>
        </w:r>
        <w:r w:rsidR="0051267D" w:rsidRPr="0051267D">
          <w:t>/201</w:t>
        </w:r>
        <w:r w:rsidR="00C26A71">
          <w:t>6</w:t>
        </w:r>
        <w:r w:rsidR="0051267D" w:rsidRPr="0051267D">
          <w:t>-</w:t>
        </w:r>
        <w:r w:rsidR="00C26A71">
          <w:t>32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53688"/>
    <w:rsid w:val="000909C0"/>
    <w:rsid w:val="000F11C3"/>
    <w:rsid w:val="00133D51"/>
    <w:rsid w:val="0015248D"/>
    <w:rsid w:val="00185DC6"/>
    <w:rsid w:val="001A3521"/>
    <w:rsid w:val="001C3111"/>
    <w:rsid w:val="001D5F5A"/>
    <w:rsid w:val="002370C2"/>
    <w:rsid w:val="002747D2"/>
    <w:rsid w:val="00301B3E"/>
    <w:rsid w:val="003359B2"/>
    <w:rsid w:val="003F4F1D"/>
    <w:rsid w:val="004700B1"/>
    <w:rsid w:val="004E2F2C"/>
    <w:rsid w:val="0051267D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71456"/>
    <w:rsid w:val="00B717C1"/>
    <w:rsid w:val="00BA350A"/>
    <w:rsid w:val="00BA3B2F"/>
    <w:rsid w:val="00C23913"/>
    <w:rsid w:val="00C26A71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37C14"/>
    <w:rsid w:val="00E4415C"/>
    <w:rsid w:val="00E82EF8"/>
    <w:rsid w:val="00E953B9"/>
    <w:rsid w:val="00E96B19"/>
    <w:rsid w:val="00EC2774"/>
    <w:rsid w:val="00ED3FAD"/>
    <w:rsid w:val="00EF0183"/>
    <w:rsid w:val="00F327C0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GANTZ d.o.o. za usluge u stečaju zastupanog po punomoćniku Arnon Gantz</izvorni_sadrzaj>
    <derivirana_varijabla naziv="DomainObject.Predmet.ProtustrankaFormated_1">  Stečajna masa iza GANTZ d.o.o. za usluge u stečaju zastupanog po punomoćniku Arnon Gantz</derivirana_varijabla>
  </DomainObject.Predmet.ProtustrankaFormated>
  <DomainObject.Predmet.ProtustrankaFormatedOIB>
    <izvorni_sadrzaj>  Stečajna masa iza GANTZ d.o.o. za usluge u stečaju, OIB 42737742220 zastupanog po punomoćniku Arnon Gantz</izvorni_sadrzaj>
    <derivirana_varijabla naziv="DomainObject.Predmet.ProtustrankaFormatedOIB_1">  Stečajna masa iza GANTZ d.o.o. za usluge u stečaju, OIB 42737742220 zastupanog po punomoćniku Arnon Gantz</derivirana_varijabla>
  </DomainObject.Predmet.ProtustrankaFormatedOIB>
  <DomainObject.Predmet.ProtustrankaFormatedWithAdress>
    <izvorni_sadrzaj> Stečajna masa iza GANTZ d.o.o. za usluge u stečaju, A.B. Šimića 20, 21000 Split zastupanog po punomoćniku Arnon Gantz</izvorni_sadrzaj>
    <derivirana_varijabla naziv="DomainObject.Predmet.ProtustrankaFormatedWithAdress_1"> Stečajna masa iza GANTZ d.o.o. za usluge u stečaju, A.B. Šimića 20, 21000 Split zastupanog po punomoćniku Arnon Gantz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</izvorni_sadrzaj>
    <derivirana_varijabla naziv="DomainObject.Predmet.ProtustrankaFormatedWithAdressOIB_1"> Stečajna masa iza GANTZ d.o.o. za usluge u stečaju, OIB 42737742220, A.B. Šimića 20, 21000 Split zastupanog po punomoćniku Arnon Gantz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</item>
    </izvorni_sadrzaj>
    <derivirana_varijabla naziv="DomainObject.Predmet.ProtuStrankaListFormated_1">
      <item>Stečajna masa iza GANTZ d.o.o. za usluge u stečaju zastupanog po punomoćniku Arnon Gantz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</item>
    </izvorni_sadrzaj>
    <derivirana_varijabla naziv="DomainObject.Predmet.ProtuStrankaListFormatedOIB_1">
      <item>Stečajna masa iza GANTZ d.o.o. za usluge u stečaju, OIB 42737742220 zastupanog po punomoćniku Arnon Gantz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</item>
    </izvorni_sadrzaj>
    <derivirana_varijabla naziv="DomainObject.Predmet.ProtuStrankaListFormatedWithAdress_1">
      <item>Stečajna masa iza GANTZ d.o.o. za usluge u stečaju, A.B. Šimića 20, 21000 Split zastupanog po punomoćniku Arnon Gantz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</item>
    </izvorni_sadrzaj>
    <derivirana_varijabla naziv="DomainObject.Predmet.ProtuStrankaListFormatedWithAdressOIB_1">
      <item>Stečajna masa iza GANTZ d.o.o. za usluge u stečaju, OIB 42737742220, A.B. Šimića 20, 21000 Split zastupanog po punomoćniku Arnon Gantz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</izvorni_sadrzaj>
    <derivirana_varijabla naziv="DomainObject.Predmet.OstaliListNazivFormated_1">
      <item>Arnon Gantz</item>
      <item>Hrvatski Telekom d.d.</item>
      <item>Financijska agencija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</izvorni_sadrzaj>
    <derivirana_varijabla naziv="DomainObject.Predmet.OstaliListNazivFormatedOIB_1">
      <item>Arnon Gantz</item>
      <item>Hrvatski Telekom d.d., OIB 81793146560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42737742220</item>
      <item>, OIB null</item>
      <item>, OIB 18683136487</item>
      <item>, OIB 81793146560</item>
    </izvorni_sadrzaj>
    <derivirana_varijabla naziv="DomainObject.Predmet.SudioniciListNazivOIB_1">
      <item>, OIB 85821130368</item>
      <item>, OIB 42737742220</item>
      <item>, OIB null</item>
      <item>, OIB 18683136487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1196</properties:Words>
  <properties:Characters>6416</properties:Characters>
  <properties:Lines>154</properties:Lines>
  <properties:Paragraphs>52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2017-05-11T12:45:00Z</dcterms:created>
  <dc:creator>Diana Butigan Granić</dc:creator>
  <cp:lastModifiedBy>Katarina Franković</cp:lastModifiedBy>
  <cp:lastPrinted>2017-05-11T12:45:00Z</cp:lastPrinted>
  <dcterms:modified xmlns:xsi="http://www.w3.org/2001/XMLSchema-instance" xsi:type="dcterms:W3CDTF">2017-05-11T13:21:00Z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