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e5b25" w14:paraId="d3e5b2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</w:r>
      <w:r w:rsidR="00D87600">
        <w:rPr>
          <w:rFonts w:hAnsi="Times New Roman" w:ascii="Times New Roman"/>
        </w:rPr>
        <w:tab/>
        <w:t>3  St-2144/2018-26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E538C4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D87600" w:rsidRPr="00D87600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="00D87600" w:rsidRPr="00D87600">
        <w:rPr>
          <w:rFonts w:hAnsi="Times New Roman" w:ascii="Times New Roman"/>
        </w:rPr>
        <w:t>Fundurulić</w:t>
      </w:r>
      <w:proofErr w:type="spellEnd"/>
      <w:r w:rsidR="00D87600" w:rsidRPr="00D87600">
        <w:rPr>
          <w:rFonts w:hAnsi="Times New Roman" w:ascii="Times New Roman"/>
        </w:rPr>
        <w:t xml:space="preserve"> Perišin, u stečajnom postupku nad Stečajnom masom iza LOTO EXPERT d.o.o. u stečaju, Zagreb, Brazilska 3, OIB: 94489111837, </w:t>
      </w:r>
      <w:r w:rsidR="00D87600">
        <w:rPr>
          <w:rFonts w:hAnsi="Times New Roman" w:ascii="Times New Roman"/>
        </w:rPr>
        <w:t>29. svibnja</w:t>
      </w:r>
      <w:r w:rsidR="00D87600" w:rsidRPr="00D87600">
        <w:rPr>
          <w:rFonts w:hAnsi="Times New Roman" w:ascii="Times New Roman"/>
        </w:rPr>
        <w:t xml:space="preserve"> 2019.,</w:t>
      </w:r>
    </w:p>
    <w:p w:rsidRDefault="00D87600" w:rsidP="001051C3" w:rsidR="00D87600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>Daje se suglasnost stečajnom upra</w:t>
      </w:r>
      <w:r w:rsidR="00D87600">
        <w:rPr>
          <w:rFonts w:hAnsi="Times New Roman" w:ascii="Times New Roman"/>
        </w:rPr>
        <w:t>vitelju za diobu radi namirenja stečajnog</w:t>
      </w:r>
      <w:r w:rsidR="00BC5412">
        <w:rPr>
          <w:rFonts w:hAnsi="Times New Roman" w:ascii="Times New Roman"/>
        </w:rPr>
        <w:t xml:space="preserve"> vjerovnika</w:t>
      </w:r>
      <w:r w:rsidR="00D87600">
        <w:rPr>
          <w:rFonts w:hAnsi="Times New Roman" w:ascii="Times New Roman"/>
        </w:rPr>
        <w:t xml:space="preserve"> prvog</w:t>
      </w:r>
      <w:r w:rsidR="00BC5412">
        <w:rPr>
          <w:rFonts w:hAnsi="Times New Roman" w:ascii="Times New Roman"/>
        </w:rPr>
        <w:t xml:space="preserve"> višeg isplatnog reda u iznosu od </w:t>
      </w:r>
      <w:r w:rsidR="00D87600">
        <w:rPr>
          <w:rFonts w:hAnsi="Times New Roman" w:ascii="Times New Roman"/>
        </w:rPr>
        <w:t>261,25</w:t>
      </w:r>
      <w:r w:rsidR="0020537E">
        <w:rPr>
          <w:rFonts w:hAnsi="Times New Roman" w:ascii="Times New Roman"/>
        </w:rPr>
        <w:t xml:space="preserve"> </w:t>
      </w:r>
      <w:r w:rsidR="00E538C4">
        <w:rPr>
          <w:rFonts w:hAnsi="Times New Roman" w:ascii="Times New Roman"/>
        </w:rPr>
        <w:t xml:space="preserve">kn, što predstavlja 100% utvrđenih tražbina stečajnih </w:t>
      </w:r>
      <w:r w:rsidR="00BC5412">
        <w:rPr>
          <w:rFonts w:hAnsi="Times New Roman" w:ascii="Times New Roman"/>
        </w:rPr>
        <w:t xml:space="preserve">vjerovnika u stečajnom postupku nad stečajnim dužnikom </w:t>
      </w:r>
      <w:r w:rsidR="0020537E" w:rsidRPr="0020537E">
        <w:rPr>
          <w:rFonts w:hAnsi="Times New Roman" w:ascii="Times New Roman"/>
        </w:rPr>
        <w:t xml:space="preserve">Stečajna masa iza </w:t>
      </w:r>
      <w:r w:rsidR="00D87600" w:rsidRPr="00D87600">
        <w:rPr>
          <w:rFonts w:hAnsi="Times New Roman" w:ascii="Times New Roman"/>
        </w:rPr>
        <w:t>LOTO EXPERT d.o.o. u stečaju, Zagreb, Brazilska 3, OIB: 94489111837</w:t>
      </w:r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273. </w:t>
      </w:r>
      <w:r w:rsidR="00BC5412" w:rsidRPr="00BC5412">
        <w:rPr>
          <w:rFonts w:hAnsi="Times New Roman" w:ascii="Times New Roman"/>
        </w:rPr>
        <w:t>Stečajnog zakona ("Narodne novine" broj 71/15</w:t>
      </w:r>
      <w:r w:rsidR="00D87600">
        <w:rPr>
          <w:rFonts w:hAnsi="Times New Roman" w:ascii="Times New Roman"/>
        </w:rPr>
        <w:t>, 104/17</w:t>
      </w:r>
      <w:r w:rsidR="00BC5412" w:rsidRPr="00BC5412">
        <w:rPr>
          <w:rFonts w:hAnsi="Times New Roman" w:ascii="Times New Roman"/>
        </w:rPr>
        <w:t>– dalje SZ)</w:t>
      </w:r>
      <w:r w:rsidR="00BC5412">
        <w:rPr>
          <w:rFonts w:hAnsi="Times New Roman" w:ascii="Times New Roman"/>
        </w:rPr>
        <w:t>, pisani prijedlog z</w:t>
      </w:r>
      <w:r w:rsidR="00D87600">
        <w:rPr>
          <w:rFonts w:hAnsi="Times New Roman" w:ascii="Times New Roman"/>
        </w:rPr>
        <w:t>a diobu radi namirenja stečajnog</w:t>
      </w:r>
      <w:r w:rsidR="00BC5412">
        <w:rPr>
          <w:rFonts w:hAnsi="Times New Roman" w:ascii="Times New Roman"/>
        </w:rPr>
        <w:t xml:space="preserve"> vjerovnika </w:t>
      </w:r>
      <w:r w:rsidR="00D87600">
        <w:rPr>
          <w:rFonts w:hAnsi="Times New Roman" w:ascii="Times New Roman"/>
        </w:rPr>
        <w:t>prvo</w:t>
      </w:r>
      <w:r w:rsidR="00E538C4">
        <w:rPr>
          <w:rFonts w:hAnsi="Times New Roman" w:ascii="Times New Roman"/>
        </w:rPr>
        <w:t>g</w:t>
      </w:r>
      <w:r w:rsidR="00BC5412">
        <w:rPr>
          <w:rFonts w:hAnsi="Times New Roman" w:ascii="Times New Roman"/>
        </w:rPr>
        <w:t xml:space="preserve"> višeg isplatnog reda u iznosu od </w:t>
      </w:r>
      <w:r w:rsidR="00245EB6">
        <w:rPr>
          <w:rFonts w:hAnsi="Times New Roman" w:ascii="Times New Roman"/>
        </w:rPr>
        <w:t xml:space="preserve"> </w:t>
      </w:r>
      <w:r w:rsidR="00D87600">
        <w:rPr>
          <w:rFonts w:hAnsi="Times New Roman" w:ascii="Times New Roman"/>
        </w:rPr>
        <w:t>261,25</w:t>
      </w:r>
      <w:r w:rsidR="00245EB6" w:rsidRPr="00245EB6">
        <w:rPr>
          <w:rFonts w:hAnsi="Times New Roman" w:ascii="Times New Roman"/>
        </w:rPr>
        <w:t xml:space="preserve"> </w:t>
      </w:r>
      <w:r w:rsidR="00D87600">
        <w:rPr>
          <w:rFonts w:hAnsi="Times New Roman" w:ascii="Times New Roman"/>
        </w:rPr>
        <w:t>kn, a čime bi se isti naplatio</w:t>
      </w:r>
      <w:r w:rsidR="00E538C4">
        <w:rPr>
          <w:rFonts w:hAnsi="Times New Roman" w:ascii="Times New Roman"/>
        </w:rPr>
        <w:t xml:space="preserve"> u 100% -om iznosu utvrđenih tražbina.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273. st. 3. SZ-a,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je temeljem odredbe čl. 274. st. 2. </w:t>
      </w:r>
      <w:r w:rsidR="00AB0397">
        <w:rPr>
          <w:rFonts w:hAnsi="Times New Roman" w:ascii="Times New Roman"/>
        </w:rPr>
        <w:t xml:space="preserve">SZ-a,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D87600">
        <w:rPr>
          <w:rFonts w:hAnsi="Times New Roman" w:ascii="Times New Roman"/>
        </w:rPr>
        <w:t>29</w:t>
      </w:r>
      <w:r w:rsidR="0020537E">
        <w:rPr>
          <w:rFonts w:hAnsi="Times New Roman" w:ascii="Times New Roman"/>
        </w:rPr>
        <w:t>. 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D87600">
        <w:rPr>
          <w:rFonts w:hAnsi="Times New Roman" w:ascii="Times New Roman"/>
        </w:rPr>
        <w:t>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Vesna </w:t>
      </w:r>
      <w:proofErr w:type="spellStart"/>
      <w:r w:rsidRPr="0087203A">
        <w:rPr>
          <w:rFonts w:hAnsi="Times New Roman" w:ascii="Times New Roman"/>
        </w:rPr>
        <w:t>Fundurulić</w:t>
      </w:r>
      <w:proofErr w:type="spellEnd"/>
      <w:r w:rsidRPr="0087203A">
        <w:rPr>
          <w:rFonts w:hAnsi="Times New Roman" w:ascii="Times New Roman"/>
        </w:rPr>
        <w:t xml:space="preserve"> Perišin</w:t>
      </w:r>
      <w:r w:rsidR="009723BC">
        <w:rPr>
          <w:rFonts w:hAnsi="Times New Roman" w:ascii="Times New Roman"/>
        </w:rPr>
        <w:t>, v.r.</w:t>
      </w:r>
    </w:p>
    <w:p w:rsidRDefault="009723BC" w:rsidP="005808FA" w:rsidR="009723BC">
      <w:pPr>
        <w:jc w:val="right"/>
        <w:rPr>
          <w:rFonts w:hAnsi="Times New Roman" w:ascii="Times New Roman"/>
        </w:rPr>
      </w:pPr>
    </w:p>
    <w:p w:rsidRDefault="009723BC" w:rsidP="00C339BE" w:rsidR="009723B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9723BC" w:rsidP="005808FA" w:rsidR="009723B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AB039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3B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</w:t>
        </w:r>
        <w:r w:rsidR="00C670FA" w:rsidRPr="00C670FA">
          <w:rPr>
            <w:rFonts w:hAnsi="Times New Roman" w:ascii="Times New Roman"/>
          </w:rPr>
          <w:t>St-4</w:t>
        </w:r>
        <w:r w:rsidR="0022174E">
          <w:rPr>
            <w:rFonts w:hAnsi="Times New Roman" w:ascii="Times New Roman"/>
          </w:rPr>
          <w:t>769</w:t>
        </w:r>
        <w:r w:rsidR="00C670FA" w:rsidRPr="00C670FA">
          <w:rPr>
            <w:rFonts w:hAnsi="Times New Roman" w:ascii="Times New Roman"/>
          </w:rPr>
          <w:t>/16</w:t>
        </w:r>
        <w:r w:rsidR="00BC5412">
          <w:rPr>
            <w:rFonts w:hAnsi="Times New Roman" w:ascii="Times New Roman"/>
          </w:rPr>
          <w:t>-40</w:t>
        </w:r>
      </w:p>
      <w:p w:rsidRDefault="009723BC" w:rsidR="0060670C">
        <w:pPr>
          <w:pStyle w:val="Zaglavlje"/>
          <w:jc w:val="center"/>
        </w:pPr>
      </w:p>
    </w:sdtContent>
  </w:sdt>
  <w:p w:rsidRDefault="009723BC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0537E"/>
    <w:rsid w:val="00210B7B"/>
    <w:rsid w:val="002138AB"/>
    <w:rsid w:val="002207BD"/>
    <w:rsid w:val="0022174E"/>
    <w:rsid w:val="002246F6"/>
    <w:rsid w:val="0023380A"/>
    <w:rsid w:val="00245EB6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1AA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23BC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2464F"/>
    <w:rsid w:val="00D42E48"/>
    <w:rsid w:val="00D44ED3"/>
    <w:rsid w:val="00D636DC"/>
    <w:rsid w:val="00D755C4"/>
    <w:rsid w:val="00D77CD5"/>
    <w:rsid w:val="00D87600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3B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2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3B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2144</izvorni_sadrzaj>
    <derivirana_varijabla naziv="DomainObject.Predmet.Broj_1">2144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St-2144/2018</izvorni_sadrzaj>
    <derivirana_varijabla naziv="DomainObject.Predmet.OznakaBroj_1">St-2144/2018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LOTO EXPERT d.o.o. u stečaju</izvorni_sadrzaj>
    <derivirana_varijabla naziv="DomainObject.Predmet.ProtustrankaFormated_1">  Stečajna masa iza LOTO EXPERT d.o.o. u stečaju</derivirana_varijabla>
  </DomainObject.Predmet.ProtustrankaFormated>
  <DomainObject.Predmet.ProtustrankaFormatedOIB>
    <izvorni_sadrzaj>  Stečajna masa iza LOTO EXPERT d.o.o. u stečaju, OIB 94489111837</izvorni_sadrzaj>
    <derivirana_varijabla naziv="DomainObject.Predmet.ProtustrankaFormatedOIB_1">  Stečajna masa iza LOTO EXPERT d.o.o. u stečaju, OIB 94489111837</derivirana_varijabla>
  </DomainObject.Predmet.ProtustrankaFormatedOIB>
  <DomainObject.Predmet.ProtustrankaFormatedWithAdress>
    <izvorni_sadrzaj> Stečajna masa iza LOTO EXPERT d.o.o. u stečaju, Brazilska 3, 10000 Zagreb</izvorni_sadrzaj>
    <derivirana_varijabla naziv="DomainObject.Predmet.ProtustrankaFormatedWithAdress_1"> Stečajna masa iza LOTO EXPERT d.o.o. u stečaju, Brazilska 3, 10000 Zagreb</derivirana_varijabla>
  </DomainObject.Predmet.ProtustrankaFormatedWithAdress>
  <DomainObject.Predmet.ProtustrankaFormatedWithAdressOIB>
    <izvorni_sadrzaj> Stečajna masa iza LOTO EXPERT d.o.o. u stečaju, OIB 94489111837, Brazilska 3, 10000 Zagreb</izvorni_sadrzaj>
    <derivirana_varijabla naziv="DomainObject.Predmet.ProtustrankaFormatedWithAdressOIB_1"> Stečajna masa iza LOTO EXPERT d.o.o. u stečaju, OIB 94489111837, Brazilska 3, 10000 Zagreb</derivirana_varijabla>
  </DomainObject.Predmet.ProtustrankaFormatedWithAdressOIB>
  <DomainObject.Predmet.ProtustrankaWithAdress>
    <izvorni_sadrzaj>Stečajna masa iza LOTO EXPERT d.o.o. u stečaju Brazilska 3, 10000 Zagreb</izvorni_sadrzaj>
    <derivirana_varijabla naziv="DomainObject.Predmet.ProtustrankaWithAdress_1">Stečajna masa iza LOTO EXPERT d.o.o. u stečaju Brazilska 3, 10000 Zagreb</derivirana_varijabla>
  </DomainObject.Predmet.ProtustrankaWithAdress>
  <DomainObject.Predmet.ProtustrankaWithAdressOIB>
    <izvorni_sadrzaj>Stečajna masa iza LOTO EXPERT d.o.o. u stečaju, OIB 94489111837, Brazilska 3, 10000 Zagreb</izvorni_sadrzaj>
    <derivirana_varijabla naziv="DomainObject.Predmet.ProtustrankaWithAdressOIB_1">Stečajna masa iza LOTO EXPERT d.o.o. u stečaju, OIB 94489111837, Brazilska 3, 10000 Zagreb</derivirana_varijabla>
  </DomainObject.Predmet.ProtustrankaWithAdressOIB>
  <DomainObject.Predmet.ProtustrankaNazivFormated>
    <izvorni_sadrzaj>Stečajna masa iza LOTO EXPERT d.o.o. u stečaju</izvorni_sadrzaj>
    <derivirana_varijabla naziv="DomainObject.Predmet.ProtustrankaNazivFormated_1">Stečajna masa iza LOTO EXPERT d.o.o. u stečaju</derivirana_varijabla>
  </DomainObject.Predmet.ProtustrankaNazivFormated>
  <DomainObject.Predmet.ProtustrankaNazivFormatedOIB>
    <izvorni_sadrzaj>Stečajna masa iza LOTO EXPERT d.o.o. u stečaju, OIB 94489111837</izvorni_sadrzaj>
    <derivirana_varijabla naziv="DomainObject.Predmet.ProtustrankaNazivFormatedOIB_1">Stečajna masa iza LOTO EXPERT d.o.o. u stečaju, OIB 94489111837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LOTO EXPERT d.o.o. u stečaju</item>
    </izvorni_sadrzaj>
    <derivirana_varijabla naziv="DomainObject.Predmet.ProtuStrankaListFormated_1">
      <item>Stečajna masa iza LOTO EXPERT d.o.o. u stečaju</item>
    </derivirana_varijabla>
  </DomainObject.Predmet.ProtuStrankaListFormated>
  <DomainObject.Predmet.ProtuStrankaListFormatedOIB>
    <izvorni_sadrzaj>
      <item>Stečajna masa iza LOTO EXPERT d.o.o. u stečaju, OIB 94489111837</item>
    </izvorni_sadrzaj>
    <derivirana_varijabla naziv="DomainObject.Predmet.ProtuStrankaListFormatedOIB_1">
      <item>Stečajna masa iza LOTO EXPERT d.o.o. u stečaju, OIB 94489111837</item>
    </derivirana_varijabla>
  </DomainObject.Predmet.ProtuStrankaListFormatedOIB>
  <DomainObject.Predmet.ProtuStrankaListFormatedWithAdress>
    <izvorni_sadrzaj>
      <item>Stečajna masa iza LOTO EXPERT d.o.o. u stečaju, Brazilska 3, 10000 Zagreb</item>
    </izvorni_sadrzaj>
    <derivirana_varijabla naziv="DomainObject.Predmet.ProtuStrankaListFormatedWithAdress_1">
      <item>Stečajna masa iza LOTO EXPERT d.o.o. u stečaju, Brazilska 3, 10000 Zagreb</item>
    </derivirana_varijabla>
  </DomainObject.Predmet.ProtuStrankaListFormatedWithAdress>
  <DomainObject.Predmet.ProtuStrankaListFormatedWithAdressOIB>
    <izvorni_sadrzaj>
      <item>Stečajna masa iza LOTO EXPERT d.o.o. u stečaju, OIB 94489111837, Brazilska 3, 10000 Zagreb</item>
    </izvorni_sadrzaj>
    <derivirana_varijabla naziv="DomainObject.Predmet.ProtuStrankaListFormatedWithAdressOIB_1">
      <item>Stečajna masa iza LOTO EXPERT d.o.o. u stečaju, OIB 94489111837, Brazilska 3, 10000 Zagreb</item>
    </derivirana_varijabla>
  </DomainObject.Predmet.ProtuStrankaListFormatedWithAdressOIB>
  <DomainObject.Predmet.ProtuStrankaListNazivFormated>
    <izvorni_sadrzaj>
      <item>Stečajna masa iza LOTO EXPERT d.o.o. u stečaju</item>
    </izvorni_sadrzaj>
    <derivirana_varijabla naziv="DomainObject.Predmet.ProtuStrankaListNazivFormated_1">
      <item>Stečajna masa iza LOTO EXPERT d.o.o. u stečaju</item>
    </derivirana_varijabla>
  </DomainObject.Predmet.ProtuStrankaListNazivFormated>
  <DomainObject.Predmet.ProtuStrankaListNazivFormatedOIB>
    <izvorni_sadrzaj>
      <item>Stečajna masa iza LOTO EXPERT d.o.o. u stečaju, OIB 94489111837</item>
    </izvorni_sadrzaj>
    <derivirana_varijabla naziv="DomainObject.Predmet.ProtuStrankaListNazivFormatedOIB_1">
      <item>Stečajna masa iza LOTO EXPERT d.o.o. u stečaju, OIB 94489111837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LOTO EXPERT d.o.o. u stečaju</izvorni_sadrzaj>
    <derivirana_varijabla naziv="DomainObject.Predmet.ProtustrankaIDrugi_1">Stečajna masa iza LOTO EXPERT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LOTO EXPERT d.o.o. u stečaju, OIB 94489111837, Brazilska 3, 10000 Zagreb</izvorni_sadrzaj>
    <derivirana_varijabla naziv="DomainObject.Predmet.ProtustrankaIDrugiAdressOIB_1">Stečajna masa iza LOTO EXPERT d.o.o. u stečaju, OIB 94489111837, Brazilska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LOTO EXPERT d.o.o. u stečaju</item>
      <item>FINA Regionalni centar Zagreb</item>
    </izvorni_sadrzaj>
    <derivirana_varijabla naziv="DomainObject.Predmet.SudioniciListNaziv_1">
      <item>Stečajna masa iza LOTO EXPERT d.o.o. u stečaju</item>
      <item>FINA Regionalni centar Zagreb</item>
    </derivirana_varijabla>
  </DomainObject.Predmet.SudioniciListNaziv>
  <DomainObject.Predmet.SudioniciListAdressOIB>
    <izvorni_sadrzaj>
      <item>Stečajna masa iza LOTO EXPERT d.o.o. u stečaju, OIB 94489111837, Brazilska 3,10000 Zagreb</item>
      <item>FINA Regionalni centar Zagreb, OIB 85821130368, Trg svibanjskih žrtava 1995. 1,10000 Zagreb</item>
    </izvorni_sadrzaj>
    <derivirana_varijabla naziv="DomainObject.Predmet.SudioniciListAdressOIB_1">
      <item>Stečajna masa iza LOTO EXPERT d.o.o. u stečaju, OIB 94489111837, Brazilska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94489111837</item>
      <item>, OIB 85821130368</item>
    </izvorni_sadrzaj>
    <derivirana_varijabla naziv="DomainObject.Predmet.SudioniciListNazivOIB_1">
      <item>, OIB 94489111837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St-2144/2018-21</izvorni_sadrzaj>
    <derivirana_varijabla naziv="DomainObject.PredzadnjaOdlukaIzPredmeta.Oznaka_1">St-2144/2018-21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E3BE7C-EA7C-4D4F-82CB-3BCD57C043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1346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2019-05-29T10:09:00Z</dcterms:created>
  <dc:creator>Gordana Grčić</dc:creator>
  <cp:lastModifiedBy>Gordana Cvitković</cp:lastModifiedBy>
  <cp:lastPrinted>2019-05-29T10:15:00Z</cp:lastPrinted>
  <dcterms:modified xmlns:xsi="http://www.w3.org/2001/XMLSchema-instance" xsi:type="dcterms:W3CDTF">2019-05-29T10:16:00Z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(St-2144-2018- SUGLASNOST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