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f13fa7" w14:paraId="cf13fa7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EF1081">
        <w:rPr>
          <w:rFonts w:hAnsi="Times New Roman" w:ascii="Times New Roman"/>
          <w:sz w:val="24"/>
        </w:rPr>
        <w:t>537/15</w:t>
      </w:r>
      <w:r w:rsidR="00CB27D2">
        <w:rPr>
          <w:rFonts w:hAnsi="Times New Roman" w:ascii="Times New Roman"/>
          <w:sz w:val="24"/>
        </w:rPr>
        <w:t>-5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EF1081">
        <w:rPr>
          <w:rFonts w:hAnsi="Times New Roman" w:ascii="Times New Roman"/>
          <w:sz w:val="24"/>
        </w:rPr>
        <w:t xml:space="preserve">KERAMONT d.o.o. Zagreb, Graberje 134, OIB: 10844833933,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EF1081">
        <w:rPr>
          <w:rFonts w:hAnsi="Times New Roman" w:ascii="Times New Roman"/>
          <w:sz w:val="24"/>
        </w:rPr>
        <w:t xml:space="preserve">vlastiti prijedlog, 25. rujna </w:t>
      </w:r>
      <w:r w:rsidR="00A23DC2" w:rsidRPr="00DA2602">
        <w:rPr>
          <w:rFonts w:hAnsi="Times New Roman" w:ascii="Times New Roman"/>
          <w:sz w:val="24"/>
        </w:rPr>
        <w:t>201</w:t>
      </w:r>
      <w:r w:rsidR="00F926D5">
        <w:rPr>
          <w:rFonts w:hAnsi="Times New Roman" w:ascii="Times New Roman"/>
          <w:sz w:val="24"/>
        </w:rPr>
        <w:t>5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2348CE" w:rsidP="0036625F" w:rsidR="002348CE" w:rsidRPr="00DA2602">
      <w:pPr>
        <w:jc w:val="center"/>
        <w:rPr>
          <w:rFonts w:hAnsi="Times New Roman" w:ascii="Times New Roman"/>
          <w:sz w:val="24"/>
        </w:rPr>
      </w:pPr>
    </w:p>
    <w:p w:rsidRDefault="008742B9" w:rsidP="00EF1081" w:rsidR="008742B9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1E575C" w:rsidRPr="00DA2602">
        <w:rPr>
          <w:lang w:val="hr-HR"/>
        </w:rPr>
        <w:t>I</w:t>
      </w:r>
      <w:r w:rsidRPr="00DA2602">
        <w:rPr>
          <w:lang w:val="hr-HR"/>
        </w:rPr>
        <w:t>.</w:t>
      </w:r>
      <w:r w:rsidR="001E575C" w:rsidRPr="00DA2602">
        <w:rPr>
          <w:lang w:val="hr-HR"/>
        </w:rPr>
        <w:t xml:space="preserve"> </w:t>
      </w:r>
      <w:r w:rsidR="00545C55" w:rsidRPr="00DA2602">
        <w:rPr>
          <w:lang w:val="hr-HR"/>
        </w:rPr>
        <w:t xml:space="preserve">Pokreće se postupak radi utvrđivanja uvjeta za otvaranje </w:t>
      </w:r>
      <w:r w:rsidRPr="00DA2602">
        <w:rPr>
          <w:lang w:val="hr-HR"/>
        </w:rPr>
        <w:t>stečajnog postupka</w:t>
      </w:r>
      <w:r w:rsidR="001E35C6">
        <w:rPr>
          <w:lang w:val="hr-HR"/>
        </w:rPr>
        <w:t xml:space="preserve"> (prethodni postupak)</w:t>
      </w:r>
      <w:r w:rsidRPr="00DA2602">
        <w:rPr>
          <w:lang w:val="hr-HR"/>
        </w:rPr>
        <w:t xml:space="preserve"> nad dužnikom</w:t>
      </w:r>
      <w:r w:rsidR="006D3803" w:rsidRPr="00DA2602">
        <w:rPr>
          <w:lang w:val="hr-HR"/>
        </w:rPr>
        <w:t xml:space="preserve"> </w:t>
      </w:r>
      <w:r w:rsidR="00EF1081">
        <w:t>KERAMONT d.o.o. Zagreb, Graberje 134, OIB: 10844833933.</w:t>
      </w:r>
    </w:p>
    <w:p w:rsidRDefault="008742B9" w:rsidP="00B86B29" w:rsidR="00335D44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545C55" w:rsidRPr="00DA2602">
        <w:rPr>
          <w:rFonts w:hAnsi="Times New Roman" w:ascii="Times New Roman"/>
          <w:sz w:val="24"/>
        </w:rPr>
        <w:t>II</w:t>
      </w:r>
      <w:r w:rsidRPr="00DA2602">
        <w:rPr>
          <w:rFonts w:hAnsi="Times New Roman" w:ascii="Times New Roman"/>
          <w:sz w:val="24"/>
        </w:rPr>
        <w:t>.</w:t>
      </w:r>
      <w:r w:rsidR="00545C55" w:rsidRPr="00DA2602">
        <w:rPr>
          <w:rFonts w:hAnsi="Times New Roman" w:ascii="Times New Roman"/>
          <w:sz w:val="24"/>
        </w:rPr>
        <w:t xml:space="preserve"> Za privremenoga s</w:t>
      </w:r>
      <w:r w:rsidR="00B86B29">
        <w:rPr>
          <w:rFonts w:hAnsi="Times New Roman" w:ascii="Times New Roman"/>
          <w:sz w:val="24"/>
        </w:rPr>
        <w:t xml:space="preserve">tečajnog upravitelja imenuje se </w:t>
      </w:r>
      <w:r w:rsidR="00EF1081" w:rsidRPr="00EF1081">
        <w:rPr>
          <w:rFonts w:hAnsi="Times New Roman" w:ascii="Times New Roman"/>
          <w:sz w:val="24"/>
        </w:rPr>
        <w:t>Ivan Prpić, dipl.ing. iz Zagreba, Hruševečka 11, OIB: 1679512034</w:t>
      </w:r>
      <w:r w:rsidR="00EF1081">
        <w:rPr>
          <w:rFonts w:hAnsi="Times New Roman" w:ascii="Times New Roman"/>
          <w:sz w:val="24"/>
        </w:rPr>
        <w:t>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 xml:space="preserve">III. Privremeni stečajni upravitelj </w:t>
      </w:r>
      <w:r w:rsidRPr="00DA2602">
        <w:rPr>
          <w:lang w:val="hr-HR"/>
        </w:rPr>
        <w:t>dužan je zaštiti i održavati svu imovinu stečajnog dužnika</w:t>
      </w:r>
      <w:r w:rsidR="00473012" w:rsidRPr="00DA2602">
        <w:rPr>
          <w:lang w:val="hr-HR"/>
        </w:rPr>
        <w:t>, ispitati da li se imovinom dužnika mogu pokriti troškovi postupka</w:t>
      </w:r>
      <w:r w:rsidRPr="00DA2602">
        <w:rPr>
          <w:lang w:val="hr-HR"/>
        </w:rPr>
        <w:t xml:space="preserve"> te je </w:t>
      </w:r>
      <w:r w:rsidR="00545C55" w:rsidRPr="00DA2602">
        <w:rPr>
          <w:lang w:val="hr-HR"/>
        </w:rPr>
        <w:t>ovlašten stupiti u poslovne prostorije dužnika</w:t>
      </w:r>
      <w:r w:rsidR="00473012" w:rsidRPr="00DA2602">
        <w:rPr>
          <w:lang w:val="hr-HR"/>
        </w:rPr>
        <w:t>. U</w:t>
      </w:r>
      <w:r w:rsidR="00545C55" w:rsidRPr="00DA2602">
        <w:rPr>
          <w:lang w:val="hr-HR"/>
        </w:rPr>
        <w:t>prava</w:t>
      </w:r>
      <w:r w:rsidR="00473012" w:rsidRPr="00DA2602">
        <w:rPr>
          <w:lang w:val="hr-HR"/>
        </w:rPr>
        <w:t xml:space="preserve"> kao i svi drugi zaposlenici </w:t>
      </w:r>
      <w:r w:rsidR="00545C55" w:rsidRPr="00DA2602">
        <w:rPr>
          <w:lang w:val="hr-HR"/>
        </w:rPr>
        <w:t>dužnika dužn</w:t>
      </w:r>
      <w:r w:rsidR="00473012" w:rsidRPr="00DA2602">
        <w:rPr>
          <w:lang w:val="hr-HR"/>
        </w:rPr>
        <w:t>i</w:t>
      </w:r>
      <w:r w:rsidR="00545C55" w:rsidRPr="00DA2602">
        <w:rPr>
          <w:lang w:val="hr-HR"/>
        </w:rPr>
        <w:t xml:space="preserve"> </w:t>
      </w:r>
      <w:r w:rsidR="00473012" w:rsidRPr="00DA2602">
        <w:rPr>
          <w:lang w:val="hr-HR"/>
        </w:rPr>
        <w:t xml:space="preserve">su </w:t>
      </w:r>
      <w:r w:rsidR="00545C55" w:rsidRPr="00DA2602">
        <w:rPr>
          <w:lang w:val="hr-HR"/>
        </w:rPr>
        <w:t xml:space="preserve">mu dati na uvid sve poslovne knjige te financijsku i drugu dokumentaciju koju zatraži. Protiv osoba koje se tome usprotive </w:t>
      </w:r>
      <w:r w:rsidRPr="00DA2602">
        <w:rPr>
          <w:lang w:val="hr-HR"/>
        </w:rPr>
        <w:t xml:space="preserve">ili onemogućuju izvršenje </w:t>
      </w:r>
      <w:r w:rsidR="00473012" w:rsidRPr="00DA2602">
        <w:rPr>
          <w:lang w:val="hr-HR"/>
        </w:rPr>
        <w:t xml:space="preserve">ovih </w:t>
      </w:r>
      <w:r w:rsidRPr="00DA2602">
        <w:rPr>
          <w:lang w:val="hr-HR"/>
        </w:rPr>
        <w:t xml:space="preserve">dužnosti privremenog stečajnog upravitelja </w:t>
      </w:r>
      <w:r w:rsidR="00545C55" w:rsidRPr="00DA2602">
        <w:rPr>
          <w:lang w:val="hr-HR"/>
        </w:rPr>
        <w:t>može se narediti dovođenje, izreći novčana kazna i odrediti kazna zatvora, sukladno čl</w:t>
      </w:r>
      <w:r w:rsidRPr="00DA2602">
        <w:rPr>
          <w:lang w:val="hr-HR"/>
        </w:rPr>
        <w:t>anku</w:t>
      </w:r>
      <w:r w:rsidR="00545C55" w:rsidRPr="00DA2602">
        <w:rPr>
          <w:lang w:val="hr-HR"/>
        </w:rPr>
        <w:t xml:space="preserve"> 107. Stečajnog zakona.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IV. Do donošenja odluke o prijedlogu za otvaranje stečajnog postupka dužnik može raspolagati svojom imovinom, uključivo i isplatama s poslovnih računa, samo uz prethodnu suglasnost privremenoga stečajnog upravitelja.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V. Zabranjuje se provedba prisilne ovrhe ili osiguranja protiv dužnika.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VI. Zabranjuje se isplata s računa dužnika bez prethodne suglasnosti privremenog stečajnog upravitelja</w:t>
      </w:r>
      <w:r w:rsidR="00F926D5">
        <w:rPr>
          <w:lang w:val="hr-HR"/>
        </w:rPr>
        <w:t xml:space="preserve">. 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473012" w:rsidRPr="00DA2602">
        <w:rPr>
          <w:rFonts w:hAnsi="Times New Roman" w:ascii="Times New Roman"/>
          <w:sz w:val="24"/>
        </w:rPr>
        <w:t>VII.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5944E7" w:rsidRPr="00DA2602">
        <w:rPr>
          <w:rFonts w:hAnsi="Times New Roman" w:ascii="Times New Roman"/>
          <w:sz w:val="24"/>
        </w:rPr>
        <w:t xml:space="preserve">to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EF1081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13. listopada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 w:rsidR="001E35C6">
        <w:rPr>
          <w:rFonts w:hAnsi="Times New Roman" w:ascii="Times New Roman"/>
          <w:b/>
          <w:sz w:val="24"/>
          <w:u w:val="single"/>
        </w:rPr>
        <w:t>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9.25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F926D5">
        <w:rPr>
          <w:rFonts w:hAnsi="Times New Roman" w:ascii="Times New Roman"/>
          <w:sz w:val="24"/>
        </w:rPr>
        <w:t>64</w:t>
      </w:r>
      <w:r w:rsidRPr="00DA2602">
        <w:rPr>
          <w:rFonts w:hAnsi="Times New Roman" w:ascii="Times New Roman"/>
          <w:sz w:val="24"/>
        </w:rPr>
        <w:t>/III (dvorišna zgrada)</w:t>
      </w:r>
    </w:p>
    <w:p w:rsidRDefault="00EC5A2B" w:rsidP="00B86B29" w:rsidR="00EC5A2B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VIII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DA2602">
        <w:rPr>
          <w:rFonts w:hAnsi="Times New Roman" w:ascii="Times New Roman"/>
          <w:b/>
          <w:sz w:val="24"/>
        </w:rPr>
        <w:t xml:space="preserve">Pozvane osobe o prijedlogu </w:t>
      </w:r>
      <w:r w:rsidR="00A9788A" w:rsidRPr="00DA2602">
        <w:rPr>
          <w:rFonts w:hAnsi="Times New Roman" w:ascii="Times New Roman"/>
          <w:b/>
          <w:sz w:val="24"/>
        </w:rPr>
        <w:t xml:space="preserve">se </w:t>
      </w:r>
      <w:r w:rsidR="00602D05" w:rsidRPr="00DA2602">
        <w:rPr>
          <w:rFonts w:hAnsi="Times New Roman" w:ascii="Times New Roman"/>
          <w:b/>
          <w:sz w:val="24"/>
        </w:rPr>
        <w:t>mogu i pisano izjasniti.</w:t>
      </w:r>
    </w:p>
    <w:p w:rsidRDefault="00A77C9E" w:rsidP="00B86B29" w:rsidR="00A77C9E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lastRenderedPageBreak/>
        <w:tab/>
        <w:t>IX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</w:t>
      </w:r>
      <w:r w:rsidR="00F06C77" w:rsidRPr="00DA2602">
        <w:rPr>
          <w:rFonts w:hAnsi="Times New Roman" w:ascii="Times New Roman"/>
          <w:sz w:val="24"/>
        </w:rPr>
        <w:t>Pozivaju se dužnici stečajnog dužnika da svoje obveze ispunjavaju vodeći računa o ovom rješenju.</w:t>
      </w:r>
    </w:p>
    <w:p w:rsidRDefault="00F06C77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X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Ovo rješenje </w:t>
      </w:r>
      <w:r w:rsidR="00F926D5">
        <w:rPr>
          <w:rFonts w:hAnsi="Times New Roman" w:ascii="Times New Roman"/>
          <w:sz w:val="24"/>
        </w:rPr>
        <w:t xml:space="preserve">u stavku I. i II. izreke </w:t>
      </w:r>
      <w:r w:rsidRPr="00DA2602">
        <w:rPr>
          <w:rFonts w:hAnsi="Times New Roman" w:ascii="Times New Roman"/>
          <w:sz w:val="24"/>
        </w:rPr>
        <w:t xml:space="preserve">zabilježit će se u </w:t>
      </w:r>
      <w:r w:rsidR="00602D05" w:rsidRPr="00DA2602">
        <w:rPr>
          <w:rFonts w:hAnsi="Times New Roman" w:ascii="Times New Roman"/>
          <w:sz w:val="24"/>
        </w:rPr>
        <w:t>s</w:t>
      </w:r>
      <w:r w:rsidRPr="00DA2602">
        <w:rPr>
          <w:rFonts w:hAnsi="Times New Roman" w:ascii="Times New Roman"/>
          <w:sz w:val="24"/>
        </w:rPr>
        <w:t>udskom registru po službenoj dužnosti</w:t>
      </w:r>
      <w:r w:rsidR="00F926D5">
        <w:rPr>
          <w:rFonts w:hAnsi="Times New Roman" w:ascii="Times New Roman"/>
          <w:sz w:val="24"/>
        </w:rPr>
        <w:t xml:space="preserve">. </w:t>
      </w:r>
    </w:p>
    <w:p w:rsidRDefault="00A77C9E" w:rsidP="0036625F" w:rsidR="00385660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EF1081" w:rsidP="00EF1081" w:rsidR="00EF1081" w:rsidRPr="00EF10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EF1081">
        <w:rPr>
          <w:rFonts w:hAnsi="Times New Roman" w:ascii="Times New Roman"/>
          <w:sz w:val="24"/>
        </w:rPr>
        <w:t>Prijedlog za otvaranjem stečajnog postupka podnio je dužnik, navodeći da mu je poslovni račun blokiran</w:t>
      </w:r>
      <w:r>
        <w:rPr>
          <w:rFonts w:hAnsi="Times New Roman" w:ascii="Times New Roman"/>
          <w:sz w:val="24"/>
        </w:rPr>
        <w:t xml:space="preserve"> od travnja 2013.</w:t>
      </w:r>
      <w:r w:rsidRPr="00EF1081">
        <w:rPr>
          <w:rFonts w:hAnsi="Times New Roman" w:ascii="Times New Roman"/>
          <w:sz w:val="24"/>
        </w:rPr>
        <w:t xml:space="preserve"> neprekidno a nepodmirene obveze iznose </w:t>
      </w:r>
      <w:r>
        <w:rPr>
          <w:rFonts w:hAnsi="Times New Roman" w:ascii="Times New Roman"/>
          <w:sz w:val="24"/>
        </w:rPr>
        <w:t>oko 180.000,00</w:t>
      </w:r>
      <w:r w:rsidRPr="00EF1081">
        <w:rPr>
          <w:rFonts w:hAnsi="Times New Roman" w:ascii="Times New Roman"/>
          <w:sz w:val="24"/>
        </w:rPr>
        <w:t xml:space="preserve"> kuna te predlaže otvaranje stečajnog postupka iz ra</w:t>
      </w:r>
      <w:r>
        <w:rPr>
          <w:rFonts w:hAnsi="Times New Roman" w:ascii="Times New Roman"/>
          <w:sz w:val="24"/>
        </w:rPr>
        <w:t>zloga nesposobnosti za plaćanje, nelikvidnosti i prezaduženosti odnosno iz svih stečajnih razloga.</w:t>
      </w:r>
    </w:p>
    <w:p w:rsidRDefault="00385660" w:rsidP="00317DF9" w:rsidR="00EF1081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E2116A" w:rsidP="00EF1081" w:rsidR="00EF1081" w:rsidRPr="00EF1081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EF1081" w:rsidRPr="00EF1081">
        <w:rPr>
          <w:rFonts w:hAnsi="Times New Roman" w:ascii="Times New Roman"/>
          <w:sz w:val="24"/>
        </w:rPr>
        <w:t>Iz navedenog i ovaj sud utvrđuje da je dužnik nesposoban za plaćanje što predstavlja stečajni razlog u smislu članka 4. stavak 2. u svezi stavka 6. i 7. Stečajnog zakona (NN</w:t>
      </w:r>
      <w:r w:rsidR="00EF1081" w:rsidRPr="00EF1081">
        <w:rPr>
          <w:rFonts w:hAnsi="Times New Roman" w:ascii="Times New Roman"/>
          <w:bCs/>
          <w:iCs/>
          <w:sz w:val="24"/>
        </w:rPr>
        <w:t xml:space="preserve"> 44/96, 29/99, 129/00, 123/03, 82/06, 116/10, 25/12 i 133/12; nastavno: SZ)</w:t>
      </w:r>
      <w:r w:rsidR="00EF1081" w:rsidRPr="00EF1081">
        <w:rPr>
          <w:rFonts w:hAnsi="Times New Roman" w:ascii="Times New Roman"/>
          <w:sz w:val="24"/>
        </w:rPr>
        <w:t xml:space="preserve"> stoga je temeljem utvrđenih činjenica i odredbe članka 42. stavak 1., članka 49. stavak 1. i 2.,  članka 53. stavak 3. te članka 43. stavak 3. u svezi članka 107. SZ odlučeno kao u izreci.</w:t>
      </w:r>
    </w:p>
    <w:p w:rsidRDefault="00C8624D" w:rsidR="00C8624D" w:rsidRPr="00DA2602">
      <w:pPr>
        <w:rPr>
          <w:rFonts w:hAnsi="Times New Roman" w:ascii="Times New Roman"/>
          <w:sz w:val="24"/>
        </w:rPr>
      </w:pPr>
    </w:p>
    <w:p w:rsidRDefault="00EF1081" w:rsidP="00EF1081" w:rsidR="00A102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ovom konkretnom slučaju dužnost je privremenog stečajnog upravitelja utvrditi da li se imovinom dužnika mogu pokriti, barem, troškovi stečajnog postupka, kako to određuje odredba članka </w:t>
      </w:r>
      <w:r w:rsidR="00A22593">
        <w:rPr>
          <w:rFonts w:hAnsi="Times New Roman" w:ascii="Times New Roman"/>
          <w:sz w:val="24"/>
        </w:rPr>
        <w:t>45. stavak 1. toč. 3. SZ ili su ispunjeni uvjeti za otvaranje i istovremeno zaključenje stečajnog postupka temeljem članka 63. SZ.</w:t>
      </w:r>
    </w:p>
    <w:p w:rsidRDefault="00A22593" w:rsidP="00EF1081" w:rsidR="00A22593">
      <w:pPr>
        <w:rPr>
          <w:rFonts w:hAnsi="Times New Roman" w:ascii="Times New Roman"/>
          <w:sz w:val="24"/>
        </w:rPr>
      </w:pPr>
    </w:p>
    <w:p w:rsidRDefault="00A22593" w:rsidP="00EF1081" w:rsidR="00A225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izreci.</w:t>
      </w:r>
    </w:p>
    <w:p w:rsidRDefault="00A22593" w:rsidP="00EF1081" w:rsidR="00A22593">
      <w:pPr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A22593">
        <w:rPr>
          <w:rFonts w:hAnsi="Times New Roman" w:ascii="Times New Roman"/>
          <w:sz w:val="24"/>
        </w:rPr>
        <w:t>25. rujna</w:t>
      </w:r>
      <w:r w:rsidR="00E80646" w:rsidRPr="00DA2602">
        <w:rPr>
          <w:rFonts w:hAnsi="Times New Roman" w:ascii="Times New Roman"/>
          <w:sz w:val="24"/>
        </w:rPr>
        <w:t xml:space="preserve"> </w:t>
      </w:r>
      <w:r w:rsidRPr="00DA2602">
        <w:rPr>
          <w:rFonts w:hAnsi="Times New Roman" w:ascii="Times New Roman"/>
          <w:sz w:val="24"/>
        </w:rPr>
        <w:t>201</w:t>
      </w:r>
      <w:r w:rsidR="001E35C6">
        <w:rPr>
          <w:rFonts w:hAnsi="Times New Roman" w:ascii="Times New Roman"/>
          <w:sz w:val="24"/>
        </w:rPr>
        <w:t>5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3E581A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II. izreke, na koje je se može izjavit žalba u roku od osam dana, a podnosi se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E581A" w:rsidP="00482439" w:rsidR="003E58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E581A" w:rsidP="00482439" w:rsidR="003E581A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E581A">
      <w:p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3E58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 w:val="24"/>
        </w:rPr>
        <w:t>Predlagatelju</w:t>
      </w:r>
      <w:r w:rsidR="00A22593" w:rsidRPr="003E581A">
        <w:rPr>
          <w:rFonts w:hAnsi="Times New Roman" w:ascii="Times New Roman"/>
          <w:color w:themeColor="background1" w:val="FFFFFF"/>
          <w:sz w:val="24"/>
        </w:rPr>
        <w:t xml:space="preserve"> – dužniku, osobno</w:t>
      </w:r>
    </w:p>
    <w:p w:rsidRDefault="00E2116A" w:rsidP="001E35C6" w:rsidR="00A23DC2" w:rsidRPr="003E58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 w:val="24"/>
        </w:rPr>
        <w:t xml:space="preserve">Privremenom </w:t>
      </w:r>
      <w:r w:rsidR="00A22593" w:rsidRPr="003E581A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F926D5" w:rsidP="001E35C6" w:rsidR="00E2116A" w:rsidRPr="003E58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 w:val="24"/>
        </w:rPr>
        <w:t>Financijskoj agenciji</w:t>
      </w:r>
    </w:p>
    <w:p w:rsidRDefault="001E35C6" w:rsidP="001E35C6" w:rsidR="001F6BAC" w:rsidRPr="003E58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3E581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3E581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3E58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E581A">
        <w:rPr>
          <w:rFonts w:hAnsi="Times New Roman" w:ascii="Times New Roman"/>
          <w:color w:themeColor="background1" w:val="FFFFFF"/>
          <w:sz w:val="24"/>
        </w:rPr>
        <w:t>Oglasna ploča</w:t>
      </w:r>
      <w:r w:rsidRPr="003E581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22593" w:rsidP="001E35C6" w:rsidR="00A22593" w:rsidRPr="003E581A">
      <w:pPr>
        <w:rPr>
          <w:rFonts w:hAnsi="Times New Roman" w:ascii="Times New Roman"/>
          <w:color w:themeColor="background1" w:val="FFFFFF"/>
          <w:szCs w:val="22"/>
        </w:rPr>
      </w:pPr>
    </w:p>
    <w:p w:rsidRDefault="00A22593" w:rsidP="001E35C6" w:rsidR="00A22593" w:rsidRPr="003E581A">
      <w:pPr>
        <w:rPr>
          <w:rFonts w:hAnsi="Times New Roman" w:ascii="Times New Roman"/>
          <w:color w:themeColor="background1" w:val="FFFFFF"/>
          <w:szCs w:val="22"/>
        </w:rPr>
      </w:pPr>
    </w:p>
    <w:p w:rsidRDefault="00A22593" w:rsidP="001E35C6" w:rsidR="001E35C6" w:rsidRPr="003E581A">
      <w:pPr>
        <w:rPr>
          <w:rFonts w:hAnsi="Times New Roman" w:ascii="Times New Roman"/>
          <w:color w:themeColor="background1" w:val="FFFFFF"/>
          <w:szCs w:val="22"/>
        </w:rPr>
      </w:pPr>
      <w:r w:rsidRPr="003E581A">
        <w:rPr>
          <w:rFonts w:hAnsi="Times New Roman" w:ascii="Times New Roman"/>
          <w:color w:themeColor="background1" w:val="FFFFFF"/>
          <w:szCs w:val="22"/>
        </w:rPr>
        <w:t>N</w:t>
      </w:r>
      <w:r w:rsidR="001E35C6" w:rsidRPr="003E581A">
        <w:rPr>
          <w:rFonts w:hAnsi="Times New Roman" w:ascii="Times New Roman"/>
          <w:color w:themeColor="background1" w:val="FFFFFF"/>
          <w:szCs w:val="22"/>
        </w:rPr>
        <w:t>K:</w:t>
      </w:r>
    </w:p>
    <w:p w:rsidRDefault="001E35C6" w:rsidP="001E35C6" w:rsidR="001E35C6" w:rsidRPr="003E581A">
      <w:pPr>
        <w:rPr>
          <w:rFonts w:hAnsi="Times New Roman" w:ascii="Times New Roman"/>
          <w:color w:themeColor="background1" w:val="FFFFFF"/>
          <w:szCs w:val="22"/>
        </w:rPr>
      </w:pPr>
      <w:r w:rsidRPr="003E581A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3E581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E2116A" w:rsidRPr="003E581A">
      <w:pPr>
        <w:rPr>
          <w:rFonts w:hAnsi="Times New Roman" w:ascii="Times New Roman"/>
          <w:color w:themeColor="background1" w:val="FFFFFF"/>
          <w:sz w:val="24"/>
        </w:rPr>
      </w:pPr>
      <w:r w:rsidRPr="003E581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3E581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3E581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3E581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A43AC8">
        <w:rPr>
          <w:rFonts w:hAnsi="Times New Roman" w:ascii="Times New Roman"/>
          <w:noProof/>
          <w:color w:themeColor="background1" w:val="FFFFFF"/>
          <w:szCs w:val="22"/>
        </w:rPr>
        <w:t>25.9.15.</w:t>
      </w:r>
      <w:r w:rsidRPr="003E581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3E581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A23DC2" w:rsidP="0036625F" w:rsidR="00A23DC2" w:rsidRPr="00DA2602">
      <w:pPr>
        <w:rPr>
          <w:rFonts w:hAnsi="Times New Roman" w:ascii="Times New Roman"/>
          <w:sz w:val="24"/>
        </w:rPr>
      </w:pPr>
    </w:p>
    <w:sectPr w:rsidSect="00EA52A1" w:rsidR="00A23DC2" w:rsidRPr="00DA260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74A" w:rsidR="0019274A">
      <w:r>
        <w:separator/>
      </w:r>
    </w:p>
  </w:endnote>
  <w:endnote w:id="0" w:type="continuationSeparator">
    <w:p w:rsidRDefault="0019274A" w:rsidR="00192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74A" w:rsidR="0019274A">
      <w:r>
        <w:separator/>
      </w:r>
    </w:p>
  </w:footnote>
  <w:footnote w:id="0" w:type="continuationSeparator">
    <w:p w:rsidRDefault="0019274A" w:rsidR="00192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43AC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EF1081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F1081">
      <w:rPr>
        <w:rFonts w:hAnsi="Times New Roman" w:ascii="Times New Roman"/>
        <w:sz w:val="24"/>
      </w:rPr>
      <w:t>537/15</w:t>
    </w:r>
    <w:r w:rsidR="00CB27D2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081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FDA"/>
    <w:rsid w:val="00177A30"/>
    <w:rsid w:val="0019274A"/>
    <w:rsid w:val="001B3A90"/>
    <w:rsid w:val="001E35C6"/>
    <w:rsid w:val="001E575C"/>
    <w:rsid w:val="001F6BAC"/>
    <w:rsid w:val="002348CE"/>
    <w:rsid w:val="0026319B"/>
    <w:rsid w:val="002C1105"/>
    <w:rsid w:val="0030796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3E581A"/>
    <w:rsid w:val="00436CBD"/>
    <w:rsid w:val="00441071"/>
    <w:rsid w:val="00444654"/>
    <w:rsid w:val="00473012"/>
    <w:rsid w:val="00477EA0"/>
    <w:rsid w:val="00482439"/>
    <w:rsid w:val="00484AA8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C5C3E"/>
    <w:rsid w:val="009F16F3"/>
    <w:rsid w:val="00A0054C"/>
    <w:rsid w:val="00A102B0"/>
    <w:rsid w:val="00A22593"/>
    <w:rsid w:val="00A23DC2"/>
    <w:rsid w:val="00A43AC8"/>
    <w:rsid w:val="00A77C9E"/>
    <w:rsid w:val="00A9788A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B27D2"/>
    <w:rsid w:val="00CE6F16"/>
    <w:rsid w:val="00D06889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1081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AC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AC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d.o.o.</izvorni_sadrzaj>
    <derivirana_varijabla naziv="DomainObject.Predmet.ProtustrankaFormated_1">  KERAMONT d.o.o.</derivirana_varijabla>
  </DomainObject.Predmet.ProtustrankaFormated>
  <DomainObject.Predmet.ProtustrankaFormatedOIB>
    <izvorni_sadrzaj>  KERAMONT d.o.o., OIB 10844833933</izvorni_sadrzaj>
    <derivirana_varijabla naziv="DomainObject.Predmet.ProtustrankaFormatedOIB_1">  KERAMONT d.o.o., OIB 10844833933</derivirana_varijabla>
  </DomainObject.Predmet.ProtustrankaFormatedOIB>
  <DomainObject.Predmet.ProtustrankaFormatedWithAdress>
    <izvorni_sadrzaj> KERAMONT d.o.o., Graberje 134, Zagreb</izvorni_sadrzaj>
    <derivirana_varijabla naziv="DomainObject.Predmet.ProtustrankaFormatedWithAdress_1"> KERAMONT d.o.o., Graberje 134, Zagreb</derivirana_varijabla>
  </DomainObject.Predmet.ProtustrankaFormatedWithAdress>
  <DomainObject.Predmet.ProtustrankaFormatedWithAdressOIB>
    <izvorni_sadrzaj> KERAMONT d.o.o., OIB 10844833933, Graberje 134, Zagreb</izvorni_sadrzaj>
    <derivirana_varijabla naziv="DomainObject.Predmet.ProtustrankaFormatedWithAdressOIB_1"> KERAMONT d.o.o., OIB 10844833933, Graberje 134, Zagreb</derivirana_varijabla>
  </DomainObject.Predmet.ProtustrankaFormatedWithAdressOIB>
  <DomainObject.Predmet.ProtustrankaWithAdress>
    <izvorni_sadrzaj>KERAMONT d.o.o. Graberje 134, Zagreb</izvorni_sadrzaj>
    <derivirana_varijabla naziv="DomainObject.Predmet.ProtustrankaWithAdress_1">KERAMONT d.o.o. Graberje 134, Zagreb</derivirana_varijabla>
  </DomainObject.Predmet.ProtustrankaWithAdress>
  <DomainObject.Predmet.ProtustrankaWithAdressOIB>
    <izvorni_sadrzaj>KERAMONT d.o.o., OIB 10844833933, Graberje 134, Zagreb</izvorni_sadrzaj>
    <derivirana_varijabla naziv="DomainObject.Predmet.ProtustrankaWithAdressOIB_1">KERAMONT d.o.o., OIB 10844833933, Graberje 134, Zagreb</derivirana_varijabla>
  </DomainObject.Predmet.ProtustrankaWithAdressOIB>
  <DomainObject.Predmet.ProtustrankaNazivFormated>
    <izvorni_sadrzaj>KERAMONT d.o.o.</izvorni_sadrzaj>
    <derivirana_varijabla naziv="DomainObject.Predmet.ProtustrankaNazivFormated_1">KERAMONT d.o.o.</derivirana_varijabla>
  </DomainObject.Predmet.ProtustrankaNazivFormated>
  <DomainObject.Predmet.ProtustrankaNazivFormatedOIB>
    <izvorni_sadrzaj>KERAMONT d.o.o., OIB 10844833933</izvorni_sadrzaj>
    <derivirana_varijabla naziv="DomainObject.Predmet.ProtustrankaNazivFormatedOIB_1">KERAMONT d.o.o., OIB 10844833933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KERAMONT d.o.o.</izvorni_sadrzaj>
    <derivirana_varijabla naziv="DomainObject.Predmet.StrankaFormated_1">  KERAMONT d.o.o.</derivirana_varijabla>
  </DomainObject.Predmet.StrankaFormated>
  <DomainObject.Predmet.StrankaFormatedOIB>
    <izvorni_sadrzaj>  KERAMONT d.o.o., OIB 10844833933</izvorni_sadrzaj>
    <derivirana_varijabla naziv="DomainObject.Predmet.StrankaFormatedOIB_1">  KERAMONT d.o.o., OIB 10844833933</derivirana_varijabla>
  </DomainObject.Predmet.StrankaFormatedOIB>
  <DomainObject.Predmet.StrankaFormatedWithAdress>
    <izvorni_sadrzaj> KERAMONT d.o.o., Graberje 134, Zagreb</izvorni_sadrzaj>
    <derivirana_varijabla naziv="DomainObject.Predmet.StrankaFormatedWithAdress_1"> KERAMONT d.o.o., Graberje 134, Zagreb</derivirana_varijabla>
  </DomainObject.Predmet.StrankaFormatedWithAdress>
  <DomainObject.Predmet.StrankaFormatedWithAdressOIB>
    <izvorni_sadrzaj> KERAMONT d.o.o., OIB 10844833933, Graberje 134, Zagreb</izvorni_sadrzaj>
    <derivirana_varijabla naziv="DomainObject.Predmet.StrankaFormatedWithAdressOIB_1"> KERAMONT d.o.o., OIB 10844833933, Graberje 134, Zagreb</derivirana_varijabla>
  </DomainObject.Predmet.StrankaFormatedWithAdressOIB>
  <DomainObject.Predmet.StrankaWithAdress>
    <izvorni_sadrzaj>KERAMONT d.o.o. Graberje 134,Zagreb</izvorni_sadrzaj>
    <derivirana_varijabla naziv="DomainObject.Predmet.StrankaWithAdress_1">KERAMONT d.o.o. Graberje 134,Zagreb</derivirana_varijabla>
  </DomainObject.Predmet.StrankaWithAdress>
  <DomainObject.Predmet.StrankaWithAdressOIB>
    <izvorni_sadrzaj>KERAMONT d.o.o., OIB 10844833933, Graberje 134,Zagreb</izvorni_sadrzaj>
    <derivirana_varijabla naziv="DomainObject.Predmet.StrankaWithAdressOIB_1">KERAMONT d.o.o., OIB 10844833933, Graberje 134,Zagreb</derivirana_varijabla>
  </DomainObject.Predmet.StrankaWithAdressOIB>
  <DomainObject.Predmet.StrankaNazivFormated>
    <izvorni_sadrzaj>KERAMONT d.o.o.</izvorni_sadrzaj>
    <derivirana_varijabla naziv="DomainObject.Predmet.StrankaNazivFormated_1">KERAMONT d.o.o.</derivirana_varijabla>
  </DomainObject.Predmet.StrankaNazivFormated>
  <DomainObject.Predmet.StrankaNazivFormatedOIB>
    <izvorni_sadrzaj>KERAMONT d.o.o., OIB 10844833933</izvorni_sadrzaj>
    <derivirana_varijabla naziv="DomainObject.Predmet.StrankaNazivFormatedOIB_1">KERAMONT d.o.o., OIB 10844833933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KERAMONT d.o.o.</item>
    </izvorni_sadrzaj>
    <derivirana_varijabla naziv="DomainObject.Predmet.StrankaListFormated_1">
      <item>KERAMONT d.o.o.</item>
    </derivirana_varijabla>
  </DomainObject.Predmet.StrankaListFormated>
  <DomainObject.Predmet.StrankaListFormatedOIB>
    <izvorni_sadrzaj>
      <item>KERAMONT d.o.o., OIB 10844833933</item>
    </izvorni_sadrzaj>
    <derivirana_varijabla naziv="DomainObject.Predmet.StrankaListFormatedOIB_1">
      <item>KERAMONT d.o.o., OIB 10844833933</item>
    </derivirana_varijabla>
  </DomainObject.Predmet.StrankaListFormatedOIB>
  <DomainObject.Predmet.StrankaListFormatedWithAdress>
    <izvorni_sadrzaj>
      <item>KERAMONT d.o.o., Graberje 134, Zagreb</item>
    </izvorni_sadrzaj>
    <derivirana_varijabla naziv="DomainObject.Predmet.StrankaListFormatedWithAdress_1">
      <item>KERAMONT d.o.o., Graberje 134, Zagreb</item>
    </derivirana_varijabla>
  </DomainObject.Predmet.StrankaListFormatedWithAdress>
  <DomainObject.Predmet.StrankaListFormatedWithAdressOIB>
    <izvorni_sadrzaj>
      <item>KERAMONT d.o.o., OIB 10844833933, Graberje 134, Zagreb</item>
    </izvorni_sadrzaj>
    <derivirana_varijabla naziv="DomainObject.Predmet.StrankaListFormatedWithAdressOIB_1">
      <item>KERAMONT d.o.o., OIB 10844833933, Graberje 134, Zagreb</item>
    </derivirana_varijabla>
  </DomainObject.Predmet.StrankaListFormatedWithAdressOIB>
  <DomainObject.Predmet.StrankaListNazivFormated>
    <izvorni_sadrzaj>
      <item>KERAMONT d.o.o.</item>
    </izvorni_sadrzaj>
    <derivirana_varijabla naziv="DomainObject.Predmet.StrankaListNazivFormated_1">
      <item>KERAMONT d.o.o.</item>
    </derivirana_varijabla>
  </DomainObject.Predmet.StrankaListNazivFormated>
  <DomainObject.Predmet.StrankaListNazivFormatedOIB>
    <izvorni_sadrzaj>
      <item>KERAMONT d.o.o., OIB 10844833933</item>
    </izvorni_sadrzaj>
    <derivirana_varijabla naziv="DomainObject.Predmet.StrankaListNazivFormatedOIB_1">
      <item>KERAMONT d.o.o., OIB 10844833933</item>
    </derivirana_varijabla>
  </DomainObject.Predmet.StrankaListNazivFormatedOIB>
  <DomainObject.Predmet.ProtuStrankaListFormated>
    <izvorni_sadrzaj>
      <item>KERAMONT d.o.o.</item>
    </izvorni_sadrzaj>
    <derivirana_varijabla naziv="DomainObject.Predmet.ProtuStrankaListFormated_1">
      <item>KERAMONT d.o.o.</item>
    </derivirana_varijabla>
  </DomainObject.Predmet.ProtuStrankaListFormated>
  <DomainObject.Predmet.ProtuStrankaListFormatedOIB>
    <izvorni_sadrzaj>
      <item>KERAMONT d.o.o., OIB 10844833933</item>
    </izvorni_sadrzaj>
    <derivirana_varijabla naziv="DomainObject.Predmet.ProtuStrankaListFormatedOIB_1">
      <item>KERAMONT d.o.o., OIB 10844833933</item>
    </derivirana_varijabla>
  </DomainObject.Predmet.ProtuStrankaListFormatedOIB>
  <DomainObject.Predmet.ProtuStrankaListFormatedWithAdress>
    <izvorni_sadrzaj>
      <item>KERAMONT d.o.o., Graberje 134, Zagreb</item>
    </izvorni_sadrzaj>
    <derivirana_varijabla naziv="DomainObject.Predmet.ProtuStrankaListFormatedWithAdress_1">
      <item>KERAMONT d.o.o., Graberje 134, Zagreb</item>
    </derivirana_varijabla>
  </DomainObject.Predmet.ProtuStrankaListFormatedWithAdress>
  <DomainObject.Predmet.ProtuStrankaListFormatedWithAdressOIB>
    <izvorni_sadrzaj>
      <item>KERAMONT d.o.o., OIB 10844833933, Graberje 134, Zagreb</item>
    </izvorni_sadrzaj>
    <derivirana_varijabla naziv="DomainObject.Predmet.ProtuStrankaListFormatedWithAdressOIB_1">
      <item>KERAMONT d.o.o., OIB 10844833933, Graberje 134, Zagreb</item>
    </derivirana_varijabla>
  </DomainObject.Predmet.ProtuStrankaListFormatedWithAdressOIB>
  <DomainObject.Predmet.ProtuStrankaListNazivFormated>
    <izvorni_sadrzaj>
      <item>KERAMONT d.o.o.</item>
    </izvorni_sadrzaj>
    <derivirana_varijabla naziv="DomainObject.Predmet.ProtuStrankaListNazivFormated_1">
      <item>KERAMONT d.o.o.</item>
    </derivirana_varijabla>
  </DomainObject.Predmet.ProtuStrankaListNazivFormated>
  <DomainObject.Predmet.ProtuStrankaListNazivFormatedOIB>
    <izvorni_sadrzaj>
      <item>KERAMONT d.o.o., OIB 10844833933</item>
    </izvorni_sadrzaj>
    <derivirana_varijabla naziv="DomainObject.Predmet.ProtuStrankaListNazivFormatedOIB_1">
      <item>KERAMONT d.o.o., OIB 10844833933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KERAMONT d.o.o.</izvorni_sadrzaj>
    <derivirana_varijabla naziv="DomainObject.Predmet.StrankaIDrugi_1">KERAMONT d.o.o.</derivirana_varijabla>
  </DomainObject.Predmet.StrankaIDrugi>
  <DomainObject.Predmet.ProtustrankaIDrugi>
    <izvorni_sadrzaj>KERAMONT d.o.o.</izvorni_sadrzaj>
    <derivirana_varijabla naziv="DomainObject.Predmet.ProtustrankaIDrugi_1">KERAMONT d.o.o.</derivirana_varijabla>
  </DomainObject.Predmet.ProtustrankaIDrugi>
  <DomainObject.Predmet.StrankaIDrugiAdressOIB>
    <izvorni_sadrzaj>KERAMONT d.o.o., OIB 10844833933, Graberje 134, Zagreb</izvorni_sadrzaj>
    <derivirana_varijabla naziv="DomainObject.Predmet.StrankaIDrugiAdressOIB_1">KERAMONT d.o.o., OIB 10844833933, Graberje 134, Zagreb</derivirana_varijabla>
  </DomainObject.Predmet.StrankaIDrugiAdressOIB>
  <DomainObject.Predmet.ProtustrankaIDrugiAdressOIB>
    <izvorni_sadrzaj>KERAMONT d.o.o., OIB 10844833933, Graberje 134, Zagreb</izvorni_sadrzaj>
    <derivirana_varijabla naziv="DomainObject.Predmet.ProtustrankaIDrugiAdressOIB_1">KERAMONT d.o.o., OIB 10844833933, Graberje 134,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KERAMONT d.o.o.</item>
      <item>KERAMONT d.o.o.</item>
    </izvorni_sadrzaj>
    <derivirana_varijabla naziv="DomainObject.Predmet.SudioniciListNaziv_1">
      <item>KERAMONT d.o.o.</item>
      <item>KERAMONT d.o.o.</item>
    </derivirana_varijabla>
  </DomainObject.Predmet.SudioniciListNaziv>
  <DomainObject.Predmet.SudioniciListAdressOIB>
    <izvorni_sadrzaj>
      <item>KERAMONT d.o.o., OIB 10844833933, Graberje 134,Zagreb</item>
      <item>KERAMONT d.o.o., OIB 10844833933, Graberje 134,Zagreb</item>
    </izvorni_sadrzaj>
    <derivirana_varijabla naziv="DomainObject.Predmet.SudioniciListAdressOIB_1">
      <item>KERAMONT d.o.o., OIB 10844833933, Graberje 134,Zagreb</item>
      <item>KERAMONT d.o.o., OIB 10844833933, Graberje 134,Zagreb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10844833933</item>
      <item>, OIB 10844833933</item>
    </izvorni_sadrzaj>
    <derivirana_varijabla naziv="DomainObject.Predmet.SudioniciListNazivOIB_1">
      <item>, OIB 10844833933</item>
      <item>, OIB 10844833933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3367</properties:Characters>
  <properties:Lines>92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2015-09-25T11:55:00Z</dcterms:created>
  <dc:creator>Sonja Pilić</dc:creator>
  <cp:lastModifiedBy>Sonja Pilić</cp:lastModifiedBy>
  <cp:lastPrinted>2015-09-25T11:57:00Z</cp:lastPrinted>
  <dcterms:modified xmlns:xsi="http://www.w3.org/2001/XMLSchema-instance" xsi:type="dcterms:W3CDTF">2015-09-25T11:57:00Z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