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2734" w14:paraId="8f127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1AB4" w:rsidP="00B31AB4" w:rsidR="00B31AB4" w:rsidRPr="00B31AB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31AB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31AB4">
        <w:rPr>
          <w:rFonts w:cs="Times New Roman" w:eastAsia="Times New Roman"/>
          <w:b/>
          <w:lang w:eastAsia="hr-HR" w:val="en-AU"/>
        </w:rPr>
        <w:t>TRGOVA</w:t>
      </w:r>
      <w:r w:rsidRPr="00B31AB4">
        <w:rPr>
          <w:rFonts w:cs="Times New Roman" w:eastAsia="Times New Roman"/>
          <w:b/>
          <w:lang w:eastAsia="hr-HR"/>
        </w:rPr>
        <w:t>Č</w:t>
      </w:r>
      <w:r w:rsidRPr="00B31AB4">
        <w:rPr>
          <w:rFonts w:cs="Times New Roman" w:eastAsia="Times New Roman"/>
          <w:b/>
          <w:lang w:eastAsia="hr-HR" w:val="en-AU"/>
        </w:rPr>
        <w:t xml:space="preserve">KI SUD U SPLITU </w:t>
      </w: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lang w:eastAsia="hr-HR"/>
        </w:rPr>
        <w:tab/>
      </w:r>
      <w:r w:rsidRPr="00B31AB4">
        <w:rPr>
          <w:rFonts w:cs="Times New Roman" w:eastAsia="Times New Roman"/>
          <w:lang w:eastAsia="hr-HR"/>
        </w:rPr>
        <w:tab/>
      </w:r>
      <w:r w:rsidRPr="00B31AB4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B31AB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31AB4">
        <w:rPr>
          <w:rFonts w:cs="Times New Roman" w:eastAsia="Times New Roman"/>
          <w:b/>
          <w:lang w:eastAsia="hr-HR"/>
        </w:rPr>
        <w:t>: 14. St-498/2011.</w:t>
      </w:r>
    </w:p>
    <w:p w:rsidRDefault="00B31AB4" w:rsidP="00B31AB4" w:rsidR="00B31AB4" w:rsidRPr="00B31AB4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B31AB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31AB4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B31AB4" w:rsidP="00B31AB4" w:rsidR="00B31AB4" w:rsidRPr="00B31AB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B31AB4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1AB4">
        <w:rPr>
          <w:rFonts w:cs="Times New Roman" w:eastAsia="Times New Roman"/>
          <w:b/>
          <w:lang w:eastAsia="hr-HR"/>
        </w:rPr>
        <w:t>R J E Š E N J E</w:t>
      </w: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31AB4">
        <w:rPr>
          <w:rFonts w:cs="Times New Roman" w:eastAsia="Calibri" w:hAnsi="Calibri" w:ascii="Calibri"/>
          <w:lang w:val="en-US"/>
        </w:rPr>
        <w:tab/>
      </w:r>
      <w:proofErr w:type="spellStart"/>
      <w:r w:rsidRPr="00B31AB4">
        <w:rPr>
          <w:rFonts w:cs="Times New Roman" w:eastAsia="Calibri" w:hAnsi="Calibri" w:ascii="Calibri"/>
          <w:lang w:val="en-US"/>
        </w:rPr>
        <w:t>Trgovački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sud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31AB4">
        <w:rPr>
          <w:rFonts w:cs="Times New Roman" w:eastAsia="Calibri" w:hAnsi="Calibri" w:ascii="Calibri"/>
          <w:lang w:val="en-US"/>
        </w:rPr>
        <w:t>Splitu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31AB4">
        <w:rPr>
          <w:rFonts w:cs="Times New Roman" w:eastAsia="Calibri" w:hAnsi="Calibri" w:ascii="Calibri"/>
          <w:lang w:val="en-US"/>
        </w:rPr>
        <w:t>po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stečajnom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sudcu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Jozi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Ćaleti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31AB4">
        <w:rPr>
          <w:rFonts w:cs="Times New Roman" w:eastAsia="Calibri" w:hAnsi="Calibri" w:ascii="Calibri"/>
          <w:lang w:val="en-US"/>
        </w:rPr>
        <w:t>stečajnom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postupku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31AB4">
        <w:rPr>
          <w:rFonts w:cs="Times New Roman" w:eastAsia="Calibri" w:hAnsi="Calibri" w:ascii="Calibri"/>
          <w:lang w:val="en-US"/>
        </w:rPr>
        <w:t>nad</w:t>
      </w:r>
      <w:proofErr w:type="spellEnd"/>
      <w:proofErr w:type="gram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stečajnim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Dužnikom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: RE VERA, </w:t>
      </w:r>
      <w:proofErr w:type="spellStart"/>
      <w:r w:rsidRPr="00B31AB4">
        <w:rPr>
          <w:rFonts w:cs="Times New Roman" w:eastAsia="Calibri" w:hAnsi="Calibri" w:ascii="Calibri"/>
          <w:lang w:val="en-US"/>
        </w:rPr>
        <w:t>d.o.o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B31AB4">
        <w:rPr>
          <w:rFonts w:cs="Times New Roman" w:eastAsia="Calibri" w:hAnsi="Calibri" w:ascii="Calibri"/>
          <w:lang w:val="en-US"/>
        </w:rPr>
        <w:t>Solin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31AB4">
        <w:rPr>
          <w:rFonts w:cs="Times New Roman" w:eastAsia="Calibri" w:hAnsi="Calibri" w:ascii="Calibri"/>
          <w:lang w:val="en-US"/>
        </w:rPr>
        <w:t>Vranjički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put bb, OIB: 10341953998. (</w:t>
      </w:r>
      <w:proofErr w:type="spellStart"/>
      <w:proofErr w:type="gramStart"/>
      <w:r w:rsidRPr="00B31AB4">
        <w:rPr>
          <w:rFonts w:cs="Times New Roman" w:eastAsia="Calibri" w:hAnsi="Calibri" w:ascii="Calibri"/>
          <w:lang w:val="en-US"/>
        </w:rPr>
        <w:t>prijašnje</w:t>
      </w:r>
      <w:proofErr w:type="spellEnd"/>
      <w:proofErr w:type="gram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tvrtke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: CROIT, </w:t>
      </w:r>
      <w:proofErr w:type="spellStart"/>
      <w:r w:rsidRPr="00B31AB4">
        <w:rPr>
          <w:rFonts w:cs="Times New Roman" w:eastAsia="Calibri" w:hAnsi="Calibri" w:ascii="Calibri"/>
          <w:lang w:val="en-US"/>
        </w:rPr>
        <w:t>d.o.o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.), </w:t>
      </w:r>
      <w:proofErr w:type="spellStart"/>
      <w:r w:rsidRPr="00B31AB4">
        <w:rPr>
          <w:rFonts w:cs="Times New Roman" w:eastAsia="Calibri" w:hAnsi="Calibri" w:ascii="Calibri"/>
          <w:lang w:val="en-US"/>
        </w:rPr>
        <w:t>kojega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zastupa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stečajna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upraviteljica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Natalija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Mladineo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B31AB4">
        <w:rPr>
          <w:rFonts w:cs="Times New Roman" w:eastAsia="Calibri" w:hAnsi="Calibri" w:ascii="Calibri"/>
          <w:lang w:val="en-US"/>
        </w:rPr>
        <w:t>Viška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24, OIB: 62875698528, </w:t>
      </w:r>
      <w:proofErr w:type="spellStart"/>
      <w:r w:rsidRPr="00B31AB4">
        <w:rPr>
          <w:rFonts w:cs="Times New Roman" w:eastAsia="Calibri" w:hAnsi="Calibri" w:ascii="Calibri"/>
          <w:lang w:val="en-US"/>
        </w:rPr>
        <w:t>odlučujući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31AB4">
        <w:rPr>
          <w:rFonts w:cs="Times New Roman" w:eastAsia="Calibri" w:hAnsi="Calibri" w:ascii="Calibri"/>
          <w:lang w:val="en-US"/>
        </w:rPr>
        <w:t>nagradi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naknadi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troškova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Stečajne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31AB4">
        <w:rPr>
          <w:rFonts w:cs="Times New Roman" w:eastAsia="Calibri" w:hAnsi="Calibri" w:ascii="Calibri"/>
          <w:lang w:val="en-US"/>
        </w:rPr>
        <w:t>upraviteljice</w:t>
      </w:r>
      <w:proofErr w:type="spellEnd"/>
      <w:r w:rsidRPr="00B31AB4">
        <w:rPr>
          <w:rFonts w:cs="Times New Roman" w:eastAsia="Calibri" w:hAnsi="Calibri" w:ascii="Calibri"/>
          <w:lang w:val="en-US"/>
        </w:rPr>
        <w:t xml:space="preserve">, 23. </w:t>
      </w:r>
      <w:proofErr w:type="spellStart"/>
      <w:proofErr w:type="gramStart"/>
      <w:r w:rsidRPr="00B31AB4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B31AB4">
        <w:rPr>
          <w:rFonts w:cs="Times New Roman" w:eastAsia="Calibri" w:hAnsi="Calibri" w:ascii="Calibri"/>
          <w:lang w:val="en-US"/>
        </w:rPr>
        <w:t xml:space="preserve"> 2017, </w:t>
      </w:r>
    </w:p>
    <w:p w:rsidRDefault="00B31AB4" w:rsidP="00B31AB4" w:rsidR="00B31AB4" w:rsidRPr="00B31AB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b/>
          <w:bCs/>
          <w:lang w:eastAsia="hr-HR"/>
        </w:rPr>
        <w:t xml:space="preserve">          1.</w:t>
      </w:r>
      <w:r w:rsidRPr="00B31AB4">
        <w:rPr>
          <w:rFonts w:cs="Times New Roman" w:eastAsia="Times New Roman"/>
          <w:lang w:eastAsia="hr-HR"/>
        </w:rPr>
        <w:t xml:space="preserve"> Nataliji </w:t>
      </w:r>
      <w:proofErr w:type="spellStart"/>
      <w:r w:rsidRPr="00B31AB4">
        <w:rPr>
          <w:rFonts w:cs="Times New Roman" w:eastAsia="Times New Roman"/>
          <w:lang w:eastAsia="hr-HR"/>
        </w:rPr>
        <w:t>Mladineo</w:t>
      </w:r>
      <w:proofErr w:type="spellEnd"/>
      <w:r w:rsidRPr="00B31AB4">
        <w:rPr>
          <w:rFonts w:cs="Times New Roman" w:eastAsia="Times New Roman"/>
          <w:lang w:eastAsia="hr-HR"/>
        </w:rPr>
        <w:t xml:space="preserve">, Split, Viška 24, OIB: 62875698528, stečajnoj upraviteljici stečajnog Dužnika: RE VERA, d.o.o., Solin, </w:t>
      </w:r>
      <w:proofErr w:type="spellStart"/>
      <w:r w:rsidRPr="00B31AB4">
        <w:rPr>
          <w:rFonts w:cs="Times New Roman" w:eastAsia="Times New Roman"/>
          <w:lang w:eastAsia="hr-HR"/>
        </w:rPr>
        <w:t>Vranjički</w:t>
      </w:r>
      <w:proofErr w:type="spellEnd"/>
      <w:r w:rsidRPr="00B31AB4">
        <w:rPr>
          <w:rFonts w:cs="Times New Roman" w:eastAsia="Times New Roman"/>
          <w:lang w:eastAsia="hr-HR"/>
        </w:rPr>
        <w:t xml:space="preserve"> put </w:t>
      </w:r>
      <w:proofErr w:type="spellStart"/>
      <w:r w:rsidRPr="00B31AB4">
        <w:rPr>
          <w:rFonts w:cs="Times New Roman" w:eastAsia="Times New Roman"/>
          <w:lang w:eastAsia="hr-HR"/>
        </w:rPr>
        <w:t>bb</w:t>
      </w:r>
      <w:proofErr w:type="spellEnd"/>
      <w:r w:rsidRPr="00B31AB4">
        <w:rPr>
          <w:rFonts w:cs="Times New Roman" w:eastAsia="Times New Roman"/>
          <w:lang w:eastAsia="hr-HR"/>
        </w:rPr>
        <w:t xml:space="preserve">, OIB: 10341953998. (prijašnje tvrtke: CROIT, d.o.o.), određuje se nagrada u ovome stečajnom postupku u iznosu od: </w:t>
      </w:r>
      <w:r w:rsidRPr="00B31AB4">
        <w:rPr>
          <w:rFonts w:cs="Times New Roman" w:eastAsia="Times New Roman"/>
          <w:lang w:eastAsia="hr-HR" w:val="fr-FR"/>
        </w:rPr>
        <w:t xml:space="preserve">od: 615.000,00 kuna bruto, uvećano još i za doprinos na zdravstveno osiguranje (ZO) na nagradu u iznosu od: 46.125,00 kuna, </w:t>
      </w:r>
      <w:r w:rsidRPr="00B31AB4">
        <w:rPr>
          <w:rFonts w:cs="Times New Roman" w:eastAsia="Times New Roman"/>
          <w:lang w:eastAsia="hr-HR"/>
        </w:rPr>
        <w:t>u koji iznos nagrade od 615.000,00 kuna bruto je uključen i već isplaćeni predujam nagrade od 29.741,40 kuna bruto (15.000,00 kuna neto). Stečajnoj se upraviteljici određuje i naknada troškova koje je ista imala u ovome stečajnom postupku i to u iznosu od 30.743,67 kuna.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</w:t>
      </w:r>
      <w:r w:rsidRPr="00B31AB4">
        <w:rPr>
          <w:rFonts w:cs="Times New Roman" w:eastAsia="Times New Roman"/>
          <w:b/>
          <w:lang w:eastAsia="hr-HR"/>
        </w:rPr>
        <w:t>2.</w:t>
      </w:r>
      <w:r w:rsidRPr="00B31AB4">
        <w:rPr>
          <w:rFonts w:cs="Times New Roman" w:eastAsia="Times New Roman"/>
          <w:lang w:eastAsia="hr-HR"/>
        </w:rPr>
        <w:t xml:space="preserve">  Upućuje se Stečajna upraviteljica isplatiti si neisplaćene iznose nagrade i naknade troškova iz točke 1. ovog Rješenja te prilikom isplate na neto iznose obračunati pripadajuće poreze, prireze i doprinose i iste uplatiti na odgovarajuće račune proračunskih korisnika sve to nakon pravomoćnosti ovog Rješenja.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B31AB4">
        <w:rPr>
          <w:rFonts w:cs="Times New Roman" w:eastAsia="Arial Unicode MS"/>
          <w:lang w:eastAsia="hr-HR"/>
        </w:rPr>
        <w:t>Obrazloženje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 </w:t>
      </w:r>
      <w:r w:rsidRPr="00B31AB4">
        <w:rPr>
          <w:rFonts w:cs="Times New Roman" w:eastAsia="Times New Roman"/>
          <w:b/>
          <w:lang w:eastAsia="hr-HR"/>
        </w:rPr>
        <w:t>1.</w:t>
      </w:r>
      <w:r w:rsidRPr="00B31AB4">
        <w:rPr>
          <w:rFonts w:cs="Times New Roman" w:eastAsia="Times New Roman"/>
          <w:lang w:eastAsia="hr-HR"/>
        </w:rPr>
        <w:t xml:space="preserve">  Rješenjem ovog Suda od 23. prosinca 2011, broj: 14. St-498/11, otvoren je stečajni postupak nad trgovačkim društvom: RE VERA, d.o.o., Solin, </w:t>
      </w:r>
      <w:proofErr w:type="spellStart"/>
      <w:r w:rsidRPr="00B31AB4">
        <w:rPr>
          <w:rFonts w:cs="Times New Roman" w:eastAsia="Times New Roman"/>
          <w:lang w:eastAsia="hr-HR"/>
        </w:rPr>
        <w:t>Vranjički</w:t>
      </w:r>
      <w:proofErr w:type="spellEnd"/>
      <w:r w:rsidRPr="00B31AB4">
        <w:rPr>
          <w:rFonts w:cs="Times New Roman" w:eastAsia="Times New Roman"/>
          <w:lang w:eastAsia="hr-HR"/>
        </w:rPr>
        <w:t xml:space="preserve"> put </w:t>
      </w:r>
      <w:proofErr w:type="spellStart"/>
      <w:r w:rsidRPr="00B31AB4">
        <w:rPr>
          <w:rFonts w:cs="Times New Roman" w:eastAsia="Times New Roman"/>
          <w:lang w:eastAsia="hr-HR"/>
        </w:rPr>
        <w:t>bb</w:t>
      </w:r>
      <w:proofErr w:type="spellEnd"/>
      <w:r w:rsidRPr="00B31AB4">
        <w:rPr>
          <w:rFonts w:cs="Times New Roman" w:eastAsia="Times New Roman"/>
          <w:lang w:eastAsia="hr-HR"/>
        </w:rPr>
        <w:t xml:space="preserve">, OIB: 10341953998. (prijašnje tvrtke: CROIT, d.o.o.), kao stečajnim Dužnikom (dalje: Dužnik, stečajni Dužnik). </w:t>
      </w: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- 2 -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</w:t>
      </w:r>
      <w:r w:rsidRPr="00B31AB4">
        <w:rPr>
          <w:rFonts w:cs="Times New Roman" w:eastAsia="Times New Roman"/>
          <w:b/>
          <w:szCs w:val="20"/>
          <w:lang w:eastAsia="hr-HR"/>
        </w:rPr>
        <w:t>Broj</w:t>
      </w:r>
      <w:r w:rsidRPr="00B31AB4">
        <w:rPr>
          <w:rFonts w:cs="Times New Roman" w:eastAsia="Times New Roman"/>
          <w:b/>
          <w:szCs w:val="20"/>
          <w:lang w:eastAsia="hr-HR" w:val="en-AU"/>
        </w:rPr>
        <w:t>:</w:t>
      </w:r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r w:rsidRPr="00B31AB4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31AB4">
        <w:rPr>
          <w:rFonts w:cs="Times New Roman" w:eastAsia="Times New Roman"/>
          <w:b/>
          <w:szCs w:val="20"/>
          <w:lang w:eastAsia="hr-HR"/>
        </w:rPr>
        <w:t>St</w:t>
      </w:r>
      <w:r w:rsidRPr="00B31AB4">
        <w:rPr>
          <w:rFonts w:cs="Times New Roman" w:eastAsia="Times New Roman"/>
          <w:b/>
          <w:szCs w:val="20"/>
          <w:lang w:eastAsia="hr-HR" w:val="en-AU"/>
        </w:rPr>
        <w:t>-498/2011.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t xml:space="preserve">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2.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Tijekom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trajanja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sve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unovčena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vjerovnicima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raspodijeljena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imovine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održano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Završno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ročište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B31AB4">
        <w:rPr>
          <w:rFonts w:cs="Times New Roman" w:eastAsia="Times New Roman"/>
          <w:szCs w:val="20"/>
          <w:lang w:eastAsia="hr-HR" w:val="en-AU"/>
        </w:rPr>
        <w:t>te</w:t>
      </w:r>
      <w:proofErr w:type="spellEnd"/>
      <w:proofErr w:type="gramEnd"/>
      <w:r w:rsidRPr="00B31AB4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od 19. </w:t>
      </w:r>
      <w:proofErr w:type="spellStart"/>
      <w:proofErr w:type="gramStart"/>
      <w:r w:rsidRPr="00B31AB4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B31AB4">
        <w:rPr>
          <w:rFonts w:cs="Times New Roman" w:eastAsia="Times New Roman"/>
          <w:szCs w:val="20"/>
          <w:lang w:eastAsia="hr-HR" w:val="en-AU"/>
        </w:rPr>
        <w:t xml:space="preserve"> 2017,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: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gornji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ovaj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zaključen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određeno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brisati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sudskog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31AB4">
        <w:rPr>
          <w:rFonts w:cs="Times New Roman" w:eastAsia="Times New Roman"/>
          <w:szCs w:val="20"/>
          <w:lang w:eastAsia="hr-HR" w:val="en-AU"/>
        </w:rPr>
        <w:t>registra</w:t>
      </w:r>
      <w:proofErr w:type="spellEnd"/>
      <w:r w:rsidRPr="00B31AB4">
        <w:rPr>
          <w:rFonts w:cs="Times New Roman" w:eastAsia="Times New Roman"/>
          <w:szCs w:val="20"/>
          <w:lang w:eastAsia="hr-HR" w:val="en-AU"/>
        </w:rPr>
        <w:t>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31AB4" w:rsidP="00B31AB4" w:rsidR="00B31AB4" w:rsidRPr="00B31AB4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 </w:t>
      </w:r>
      <w:r w:rsidRPr="00B31AB4">
        <w:rPr>
          <w:rFonts w:cs="Times New Roman" w:eastAsia="Times New Roman"/>
          <w:b/>
          <w:lang w:eastAsia="hr-HR"/>
        </w:rPr>
        <w:t>3.</w:t>
      </w:r>
      <w:r w:rsidRPr="00B31AB4">
        <w:rPr>
          <w:rFonts w:cs="Times New Roman" w:eastAsia="Times New Roman"/>
          <w:lang w:eastAsia="hr-HR"/>
        </w:rPr>
        <w:t xml:space="preserve">  Završnim računom Stečajne upraviteljice od 14. srpnja 2017, u Sudu fizički zaprimljenom 17. srpnja, Stečajna je upraviteljica predložila Sudu odrediti joj nagradu koja je pripada u provođenju ovoga stečajnog postupka. Sud je prijedlog prihvatio i riješio kao u izrijeci ovog Rješenja zbog niže navedenih razloga.</w:t>
      </w:r>
    </w:p>
    <w:p w:rsidRDefault="00B31AB4" w:rsidP="00B31AB4" w:rsidR="00B31AB4" w:rsidRPr="00B31AB4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4.</w:t>
      </w:r>
      <w:r w:rsidRPr="00B31AB4">
        <w:rPr>
          <w:rFonts w:cs="Times New Roman" w:eastAsia="Times New Roman"/>
          <w:lang w:eastAsia="hr-HR"/>
        </w:rPr>
        <w:t xml:space="preserve">  Naime, člankom 94. a u vezi sa člankom 441, Stečajnog zakona (</w:t>
      </w:r>
      <w:r w:rsidRPr="00B31AB4">
        <w:rPr>
          <w:rFonts w:cs="Times New Roman" w:eastAsia="Times New Roman"/>
          <w:i/>
          <w:lang w:eastAsia="hr-HR"/>
        </w:rPr>
        <w:t>Narodne novine</w:t>
      </w:r>
      <w:r w:rsidRPr="00B31AB4">
        <w:rPr>
          <w:rFonts w:cs="Times New Roman" w:eastAsia="Times New Roman"/>
          <w:lang w:eastAsia="hr-HR"/>
        </w:rPr>
        <w:t xml:space="preserve">, br.: 71/15, dalje: SZ), propisano je kako stečajni upravitelj ima pravo na nagradu za svoj rad te kako nagradu rješenjem određuje sud prema Uredbi kojom Vlada Republike Hrvatske utvrđuje kriterije i način obračuna i plaćanja nagrade stečajnim upraviteljima.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5.</w:t>
      </w:r>
      <w:r w:rsidRPr="00B31AB4">
        <w:rPr>
          <w:rFonts w:cs="Times New Roman" w:eastAsia="Times New Roman"/>
          <w:lang w:eastAsia="hr-HR"/>
        </w:rPr>
        <w:t xml:space="preserve">  Člankom 2, Uredbe o kriterijima i načinu obračuna i plaćanje nagrade stečajnim upraviteljima (</w:t>
      </w:r>
      <w:r w:rsidRPr="00B31AB4">
        <w:rPr>
          <w:rFonts w:cs="Times New Roman" w:eastAsia="Times New Roman"/>
          <w:i/>
          <w:lang w:eastAsia="hr-HR"/>
        </w:rPr>
        <w:t>Narodne novine</w:t>
      </w:r>
      <w:r w:rsidRPr="00B31AB4">
        <w:rPr>
          <w:rFonts w:cs="Times New Roman" w:eastAsia="Times New Roman"/>
          <w:lang w:eastAsia="hr-HR"/>
        </w:rPr>
        <w:t xml:space="preserve">, br.: 105/15, dalje: Uredba, </w:t>
      </w:r>
      <w:r w:rsidRPr="00B31AB4">
        <w:rPr>
          <w:rFonts w:cs="Times New Roman" w:eastAsia="Times New Roman"/>
          <w:i/>
          <w:lang w:eastAsia="hr-HR"/>
        </w:rPr>
        <w:t>nova</w:t>
      </w:r>
      <w:r w:rsidRPr="00B31AB4">
        <w:rPr>
          <w:rFonts w:cs="Times New Roman" w:eastAsia="Times New Roman"/>
          <w:lang w:eastAsia="hr-HR"/>
        </w:rPr>
        <w:t xml:space="preserve"> Uredba), propisano je kako Stečajni upravitelj (...) ima pravo na nagradu za obavljene poslove a koju određuje sud nakon što isti obavi poslove za koje je imenovan.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color w:val="666666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6.</w:t>
      </w:r>
      <w:r w:rsidRPr="00B31AB4">
        <w:rPr>
          <w:rFonts w:cs="Times New Roman" w:eastAsia="Times New Roman"/>
          <w:lang w:eastAsia="hr-HR"/>
        </w:rPr>
        <w:t xml:space="preserve">  </w:t>
      </w:r>
      <w:r w:rsidRPr="00B31AB4">
        <w:rPr>
          <w:rFonts w:cs="Times New Roman" w:eastAsia="Times New Roman"/>
          <w:lang w:eastAsia="hr-HR" w:val="fr-FR"/>
        </w:rPr>
        <w:t>Člankom 5, Uredbe je propisano kako pored glavne, stečajni upravitelj ima pravo i na dodatnu te još i na posebnu nagradu a člankom 6, Uredbe je propisano kako nagrada – glavna, dodatna i posebna – može iznositi najviše 795.000,00 kuna, od čega temeljem vrijednosti unovčene stečajne mase: 630.000,00 kuna, što je po Sudu glavna nagrada; temeljem dodatne nagrade najviše: 150.000,00 kuna i temeljem posebne nagrade najviše: 15.000,00 kuna. Člankom 8. i 9, Uredbe jesu određene pretpostavke pod kojima se može odrediti dodatna i posebna nagrada. Također, č</w:t>
      </w:r>
      <w:proofErr w:type="spellStart"/>
      <w:r w:rsidRPr="00B31AB4">
        <w:rPr>
          <w:rFonts w:cs="Times New Roman" w:eastAsia="Times New Roman"/>
          <w:lang w:eastAsia="hr-HR"/>
        </w:rPr>
        <w:t>lankom</w:t>
      </w:r>
      <w:proofErr w:type="spellEnd"/>
      <w:r w:rsidRPr="00B31AB4">
        <w:rPr>
          <w:rFonts w:cs="Times New Roman" w:eastAsia="Times New Roman"/>
          <w:lang w:eastAsia="hr-HR"/>
        </w:rPr>
        <w:t xml:space="preserve"> 16, stavkom 2. i 3, </w:t>
      </w:r>
      <w:r w:rsidRPr="00B31AB4">
        <w:rPr>
          <w:rFonts w:cs="Times New Roman" w:eastAsia="Times New Roman"/>
          <w:i/>
          <w:lang w:eastAsia="hr-HR"/>
        </w:rPr>
        <w:t>nove</w:t>
      </w:r>
      <w:r w:rsidRPr="00B31AB4">
        <w:rPr>
          <w:rFonts w:cs="Times New Roman" w:eastAsia="Times New Roman"/>
          <w:lang w:eastAsia="hr-HR"/>
        </w:rPr>
        <w:t xml:space="preserve"> Uredbe je propisano:</w:t>
      </w:r>
      <w:r w:rsidRPr="00B31AB4">
        <w:rPr>
          <w:rFonts w:cs="Times New Roman" w:eastAsia="Times New Roman"/>
          <w:color w:val="666666"/>
          <w:lang w:eastAsia="hr-HR"/>
        </w:rPr>
        <w:t xml:space="preserve">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i/>
          <w:lang w:eastAsia="hr-HR"/>
        </w:rPr>
        <w:t xml:space="preserve">(2) Za rad stečajnom upravitelju koji je obavljen do stupanja na snagu ove Uredbe obračunat će se nagrada po pravilima Uredbe o kriterijima i načinu obračuna i plaćanja nagrada stečajnim upraviteljima (»Narodne novine«, broj 189/03) pri čemu je sud dužan utvrditi postotak nagrade koja stečajnom upravitelju pripada prema pravilima te Uredbe.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31AB4">
        <w:rPr>
          <w:rFonts w:cs="Times New Roman" w:eastAsia="Times New Roman"/>
          <w:i/>
          <w:lang w:eastAsia="hr-HR"/>
        </w:rPr>
        <w:t>(3) Za poslove obavljene nakon stupanja na snagu ove Uredbe, nagrada će se odrediti po njenim pravilima, vodeći računa o postotku namirenja iz stavka 2. ovoga članka.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7.</w:t>
      </w:r>
      <w:r w:rsidRPr="00B31AB4">
        <w:rPr>
          <w:rFonts w:cs="Times New Roman" w:eastAsia="Times New Roman"/>
          <w:lang w:eastAsia="hr-HR"/>
        </w:rPr>
        <w:t xml:space="preserve">  Uredbom je, člankom 7, postavljena i tablica za izračun nagrade stečajnog upravitelja. Prema istoj Uredbi, ako je vrijednost  unovčene stečajne mase do: 100.000,00 kuna, tada stečajni upravitelj ima pravo na nagradu u visini od 16% od unovčene stečajne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- 3 -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</w:t>
      </w:r>
      <w:r w:rsidRPr="00B31AB4">
        <w:rPr>
          <w:rFonts w:cs="Times New Roman" w:eastAsia="Times New Roman"/>
          <w:b/>
          <w:szCs w:val="20"/>
          <w:lang w:eastAsia="hr-HR"/>
        </w:rPr>
        <w:t>Broj</w:t>
      </w:r>
      <w:r w:rsidRPr="00B31AB4">
        <w:rPr>
          <w:rFonts w:cs="Times New Roman" w:eastAsia="Times New Roman"/>
          <w:b/>
          <w:szCs w:val="20"/>
          <w:lang w:eastAsia="hr-HR" w:val="en-AU"/>
        </w:rPr>
        <w:t>:</w:t>
      </w:r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r w:rsidRPr="00B31AB4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31AB4">
        <w:rPr>
          <w:rFonts w:cs="Times New Roman" w:eastAsia="Times New Roman"/>
          <w:b/>
          <w:szCs w:val="20"/>
          <w:lang w:eastAsia="hr-HR"/>
        </w:rPr>
        <w:t>St</w:t>
      </w:r>
      <w:r w:rsidRPr="00B31AB4">
        <w:rPr>
          <w:rFonts w:cs="Times New Roman" w:eastAsia="Times New Roman"/>
          <w:b/>
          <w:szCs w:val="20"/>
          <w:lang w:eastAsia="hr-HR" w:val="en-AU"/>
        </w:rPr>
        <w:t>-498/2011.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/>
        </w:rPr>
        <w:t xml:space="preserve">mase. Na razliku od 100.000,01 do 300.000,00 kuna stečajni upravitelj ima pravo na nagradu u visini od 12%, na razliku od 300.000,01 do 500.000,00 kuna stečajni upravitelj ima pravo na nagradu u visini od 10%, na razliku od 500.000,01 do 1.000.000,00 kuna stečajni upravitelj ima pravo na nagradu u visini od 8%, na razliku od 1.000.000,01 do 5.000.000,00 kuna stečajni upravitelj ima pravo na nagradu u visini od 7%, na razliku od 5.000.000,01 kuna do 10.000.000,00 kuna stečajni upravitelj ima pravo na nagradu u visini do 6%, na razliku od 10.000.000,01 kuna do 12.000.000,00 kuna stečajni upravitelj ima pravo na nagradu u visini od 5% i na razliku iznad 12.000.000,01 kuna stečajni upravitelj ima pravo na nagradu u visini od 1% </w:t>
      </w:r>
      <w:r w:rsidRPr="00B31AB4">
        <w:rPr>
          <w:rFonts w:cs="Times New Roman" w:eastAsia="Times New Roman"/>
          <w:lang w:eastAsia="hr-HR" w:val="fr-FR"/>
        </w:rPr>
        <w:t xml:space="preserve">Ovako određena nagrada određuje se u bruto iznosu, kako je to propisano člankom 15, Uredbe.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8.</w:t>
      </w:r>
      <w:r w:rsidRPr="00B31AB4">
        <w:rPr>
          <w:rFonts w:cs="Times New Roman" w:eastAsia="Times New Roman"/>
          <w:lang w:eastAsia="hr-HR"/>
        </w:rPr>
        <w:t xml:space="preserve">  </w:t>
      </w:r>
      <w:r w:rsidRPr="00B31AB4">
        <w:rPr>
          <w:rFonts w:cs="Times New Roman" w:eastAsia="Times New Roman"/>
          <w:lang w:eastAsia="hr-HR" w:val="fr-FR"/>
        </w:rPr>
        <w:t xml:space="preserve">Podneskom zaprimljenim u Sudu 03. listopada 2017, Stečajna je upraviteljica izvjestila Sud o iznosima stečajne mase koji su unovčeni do i nakon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Uredbe. Tako je istakla kako je do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 (10. listopada 2015) stečajna masa unovčena u iznosu od : 2.637.928,08 kuna a nakon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 je stečajna masa unovčena u iznosu od : 13.315.940,47 kuna.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ind w:firstLine="72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 xml:space="preserve">Po shvaćanju ovog Suda, nagrada stečajnom upravitelju određena po </w:t>
      </w:r>
      <w:r w:rsidRPr="00B31AB4">
        <w:rPr>
          <w:rFonts w:cs="Times New Roman" w:eastAsia="Times New Roman"/>
          <w:i/>
          <w:lang w:eastAsia="hr-HR" w:val="fr-FR"/>
        </w:rPr>
        <w:t xml:space="preserve">staroj </w:t>
      </w:r>
      <w:r w:rsidRPr="00B31AB4">
        <w:rPr>
          <w:rFonts w:cs="Times New Roman" w:eastAsia="Times New Roman"/>
          <w:lang w:eastAsia="hr-HR"/>
        </w:rPr>
        <w:t xml:space="preserve">Uredbi, Uredbi o kriterijima i načinu obračuna i plaćanja nagrada stečajnim upraviteljima </w:t>
      </w:r>
      <w:r w:rsidRPr="00B31AB4">
        <w:rPr>
          <w:rFonts w:cs="Times New Roman" w:eastAsia="Times New Roman"/>
          <w:i/>
          <w:lang w:eastAsia="hr-HR"/>
        </w:rPr>
        <w:t>(Narodne novine,</w:t>
      </w:r>
      <w:r w:rsidRPr="00B31AB4">
        <w:rPr>
          <w:rFonts w:cs="Times New Roman" w:eastAsia="Times New Roman"/>
          <w:lang w:eastAsia="hr-HR"/>
        </w:rPr>
        <w:t xml:space="preserve"> broj 189/03, dalje: </w:t>
      </w:r>
      <w:r w:rsidRPr="00B31AB4">
        <w:rPr>
          <w:rFonts w:cs="Times New Roman" w:eastAsia="Times New Roman"/>
          <w:i/>
          <w:lang w:eastAsia="hr-HR"/>
        </w:rPr>
        <w:t>stara</w:t>
      </w:r>
      <w:r w:rsidRPr="00B31AB4">
        <w:rPr>
          <w:rFonts w:cs="Times New Roman" w:eastAsia="Times New Roman"/>
          <w:lang w:eastAsia="hr-HR"/>
        </w:rPr>
        <w:t xml:space="preserve"> Uredba)</w:t>
      </w:r>
      <w:r w:rsidRPr="00B31AB4">
        <w:rPr>
          <w:rFonts w:cs="Times New Roman" w:eastAsia="Times New Roman"/>
          <w:lang w:eastAsia="hr-HR" w:val="fr-FR"/>
        </w:rPr>
        <w:t xml:space="preserve"> i po </w:t>
      </w:r>
      <w:r w:rsidRPr="00B31AB4">
        <w:rPr>
          <w:rFonts w:cs="Times New Roman" w:eastAsia="Times New Roman"/>
          <w:i/>
          <w:lang w:eastAsia="hr-HR" w:val="fr-FR"/>
        </w:rPr>
        <w:t>novoj</w:t>
      </w:r>
      <w:r w:rsidRPr="00B31AB4">
        <w:rPr>
          <w:rFonts w:cs="Times New Roman" w:eastAsia="Times New Roman"/>
          <w:lang w:eastAsia="hr-HR" w:val="fr-FR"/>
        </w:rPr>
        <w:t xml:space="preserve"> Uredbi, ne može prelaziti iznos nagrade propisan </w:t>
      </w:r>
      <w:r w:rsidRPr="00B31AB4">
        <w:rPr>
          <w:rFonts w:cs="Times New Roman" w:eastAsia="Times New Roman"/>
          <w:i/>
          <w:lang w:eastAsia="hr-HR" w:val="fr-FR"/>
        </w:rPr>
        <w:t>novom</w:t>
      </w:r>
      <w:r w:rsidRPr="00B31AB4">
        <w:rPr>
          <w:rFonts w:cs="Times New Roman" w:eastAsia="Times New Roman"/>
          <w:lang w:eastAsia="hr-HR" w:val="fr-FR"/>
        </w:rPr>
        <w:t xml:space="preserve"> Uredbom u članku 6.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9.</w:t>
      </w:r>
      <w:r w:rsidRPr="00B31AB4">
        <w:rPr>
          <w:rFonts w:cs="Times New Roman" w:eastAsia="Times New Roman"/>
          <w:lang w:eastAsia="hr-HR"/>
        </w:rPr>
        <w:t xml:space="preserve">  </w:t>
      </w:r>
      <w:r w:rsidRPr="00B31AB4">
        <w:rPr>
          <w:rFonts w:cs="Times New Roman" w:eastAsia="Times New Roman"/>
          <w:lang w:eastAsia="hr-HR" w:val="fr-FR"/>
        </w:rPr>
        <w:t xml:space="preserve">U ovome je stečajnom postupku, do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Uredbe, stečajna masa unovčena je u iznosu od : 2.637.928,08 kuna pa Stečajnoj upraviteljici, sukladno Tablici iz članka 4, </w:t>
      </w:r>
      <w:r w:rsidRPr="00B31AB4">
        <w:rPr>
          <w:rFonts w:cs="Times New Roman" w:eastAsia="Times New Roman"/>
          <w:i/>
          <w:lang w:eastAsia="hr-HR" w:val="fr-FR"/>
        </w:rPr>
        <w:t>stare</w:t>
      </w:r>
      <w:r w:rsidRPr="00B31AB4">
        <w:rPr>
          <w:rFonts w:cs="Times New Roman" w:eastAsia="Times New Roman"/>
          <w:lang w:eastAsia="hr-HR" w:val="fr-FR"/>
        </w:rPr>
        <w:t xml:space="preserve"> Uredbe, pripada nagrada u visini od 5% od iznosa unovčene stečajne mase a to je iznos od : 131.896,40 kuna (2.637.928,08 x 5% = 131.896,40 kuna). Ovdje Sud ističe kako po </w:t>
      </w:r>
      <w:r w:rsidRPr="00B31AB4">
        <w:rPr>
          <w:rFonts w:cs="Times New Roman" w:eastAsia="Times New Roman"/>
          <w:i/>
          <w:lang w:eastAsia="hr-HR" w:val="fr-FR"/>
        </w:rPr>
        <w:t>staroj</w:t>
      </w:r>
      <w:r w:rsidRPr="00B31AB4">
        <w:rPr>
          <w:rFonts w:cs="Times New Roman" w:eastAsia="Times New Roman"/>
          <w:lang w:eastAsia="hr-HR" w:val="fr-FR"/>
        </w:rPr>
        <w:t xml:space="preserve"> Uredbi iznos unovčene stečajne mase do 3.000.000,00 kuna predstavlja jednu osnovicu za određivanje nagrade stečajnog upravitelja i koja se nagrada određuje između 2%-5% od iznosa unovčene stečajne mase.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 xml:space="preserve">Nakon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Uredbe, stečajna masa unovčena je u iznosu od : 13.315.940,47 kuna pa Stečajnoj upraviteljici, sukladno Tablici iz članka 7,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Uredbe, pripada nagrada u visini postotka određenog na osnovicu, sve kako slijedi: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do 100.000,00 kuna je 16% ..............................................................   =16.000,00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100.000,01 do 300.000,00 kuna =199.999,99 kuna je 12% ........   =23.999,99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300.000,01 do 500.000,00 kuna =199.999,99 je 10%  ................   =19.999,99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500.000,01 do 1.000.000,00 kuna =499.999,99 je 8%: ...............   =39.999,99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1.000.0000,01 do 5.000,000,00 kuna =3.999.999,99 je 7%:  ......  =279.999,99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5.000.0000,01 do 10.000,000,00 kuna =4.999.999,99 je 6%:  ..... =299.999,99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- 4 -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</w:t>
      </w:r>
      <w:r w:rsidRPr="00B31AB4">
        <w:rPr>
          <w:rFonts w:cs="Times New Roman" w:eastAsia="Times New Roman"/>
          <w:b/>
          <w:szCs w:val="20"/>
          <w:lang w:eastAsia="hr-HR"/>
        </w:rPr>
        <w:t>Broj</w:t>
      </w:r>
      <w:r w:rsidRPr="00B31AB4">
        <w:rPr>
          <w:rFonts w:cs="Times New Roman" w:eastAsia="Times New Roman"/>
          <w:b/>
          <w:szCs w:val="20"/>
          <w:lang w:eastAsia="hr-HR" w:val="en-AU"/>
        </w:rPr>
        <w:t>:</w:t>
      </w:r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r w:rsidRPr="00B31AB4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31AB4">
        <w:rPr>
          <w:rFonts w:cs="Times New Roman" w:eastAsia="Times New Roman"/>
          <w:b/>
          <w:szCs w:val="20"/>
          <w:lang w:eastAsia="hr-HR"/>
        </w:rPr>
        <w:t>St</w:t>
      </w:r>
      <w:r w:rsidRPr="00B31AB4">
        <w:rPr>
          <w:rFonts w:cs="Times New Roman" w:eastAsia="Times New Roman"/>
          <w:b/>
          <w:szCs w:val="20"/>
          <w:lang w:eastAsia="hr-HR" w:val="en-AU"/>
        </w:rPr>
        <w:t>-498/2011.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10.000.0000,01 do 12.000,000,00 kuna =1.999.999,99 je 5%: .....  =99.999,99 kuna,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>od 12.000.0000,01 do 13.315,940,47 kuna =1.315.940,46 je 1%:  ..... =13.159,40 kuna.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 w:val="fr-FR"/>
        </w:rPr>
        <w:t xml:space="preserve">Kada se zbroje svi navedeni iznosi koji pripadaju Stečajnu upraviteljicu po </w:t>
      </w:r>
      <w:r w:rsidRPr="00B31AB4">
        <w:rPr>
          <w:rFonts w:cs="Times New Roman" w:eastAsia="Times New Roman"/>
          <w:i/>
          <w:lang w:eastAsia="hr-HR" w:val="fr-FR"/>
        </w:rPr>
        <w:t>novoj</w:t>
      </w:r>
      <w:r w:rsidRPr="00B31AB4">
        <w:rPr>
          <w:rFonts w:cs="Times New Roman" w:eastAsia="Times New Roman"/>
          <w:lang w:eastAsia="hr-HR" w:val="fr-FR"/>
        </w:rPr>
        <w:t xml:space="preserve"> Uredbi, dobije se iznos od : 793.159,34 kune na ime nagrade. Ovdje Sud ističe kako po </w:t>
      </w:r>
      <w:r w:rsidRPr="00B31AB4">
        <w:rPr>
          <w:rFonts w:cs="Times New Roman" w:eastAsia="Times New Roman"/>
          <w:i/>
          <w:lang w:eastAsia="hr-HR" w:val="fr-FR"/>
        </w:rPr>
        <w:t>novoj</w:t>
      </w:r>
      <w:r w:rsidRPr="00B31AB4">
        <w:rPr>
          <w:rFonts w:cs="Times New Roman" w:eastAsia="Times New Roman"/>
          <w:lang w:eastAsia="hr-HR" w:val="fr-FR"/>
        </w:rPr>
        <w:t xml:space="preserve"> Uredbi, svaki gore navedeni iznos unovčene stečajne mase predstavlja zasebnu i samostalnu osnovicu za određivanje nagrade stečajnog upravitelja i koja se nagrada određuje u propisanom postotku od iznosa unovčene stečajne mase. Kako je najviša propisana nagrada </w:t>
      </w:r>
      <w:r w:rsidRPr="00B31AB4">
        <w:rPr>
          <w:rFonts w:cs="Times New Roman" w:eastAsia="Times New Roman"/>
          <w:i/>
          <w:lang w:eastAsia="hr-HR" w:val="fr-FR"/>
        </w:rPr>
        <w:t>...s osnove vrijednosti unovčene stečajne mase...</w:t>
      </w:r>
      <w:r w:rsidRPr="00B31AB4">
        <w:rPr>
          <w:rFonts w:cs="Times New Roman" w:eastAsia="Times New Roman"/>
          <w:lang w:eastAsia="hr-HR" w:val="fr-FR"/>
        </w:rPr>
        <w:t xml:space="preserve"> određena u iznosu od: 630.000,00 kuna, bez obzira je li stečajna masa unovčena prije ili nakon stupanja na snagu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 a sukladno članku 6. i 16,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 a Stečajna je upraviteljica predložila nagradu u iznosu od : 615.000,00 kuna uvećano još i za doprinos na zdravstveno osiguranje (ZO) na nagradu, to je Sud Stečajnoj upraviteljici i odredio nagradu u predloženom iznosu od: 615.000,00 kuna, uvećano još i za doprinos na zdravstveno osiguranje (ZO) na nagradu u iznosu od: 46.125,00 kuna, </w:t>
      </w:r>
      <w:r w:rsidRPr="00B31AB4">
        <w:rPr>
          <w:rFonts w:cs="Times New Roman" w:eastAsia="Times New Roman"/>
          <w:lang w:eastAsia="hr-HR"/>
        </w:rPr>
        <w:t>u koji iznos je uključen i već isplaćeni predujam nagrade od 29.741,40 kuna bruto (15.000,00 kuna neto), kako je to Sud i riješio u točki 1, izrijeke ovog Rješenja. Upravo toliko je Stečajna upraviteljica i rezervirala novčanih sredstava za nagradu, kako to Sud utvrđuje iz Završnog izvješća i Završnog računa zaprimljenog u Sudu 17. srpnja 2017.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31AB4">
        <w:rPr>
          <w:rFonts w:cs="Times New Roman" w:eastAsia="Times New Roman"/>
          <w:lang w:eastAsia="hr-HR" w:val="fr-FR"/>
        </w:rPr>
        <w:t xml:space="preserve"> </w:t>
      </w: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10.</w:t>
      </w:r>
      <w:r w:rsidRPr="00B31AB4">
        <w:rPr>
          <w:rFonts w:cs="Times New Roman" w:eastAsia="Times New Roman"/>
          <w:lang w:eastAsia="hr-HR"/>
        </w:rPr>
        <w:t xml:space="preserve">  Pri svemu gore navedenom Sud ističe kako je s</w:t>
      </w:r>
      <w:r w:rsidRPr="00B31AB4">
        <w:rPr>
          <w:rFonts w:cs="Times New Roman" w:eastAsia="Times New Roman"/>
          <w:lang w:eastAsia="hr-HR" w:val="fr-FR"/>
        </w:rPr>
        <w:t>tečajna upraviteljica Natalija Mladineo na tu dužnost imenovan Rješenjem o otvaranju stečajnog postupka od 23. prosinca 2011, broj: 14. St-498/11. i tu dužnost obnaša sve do sada. Za vrijeme obnašanja dužnosti ista je unovčila cijelokupnu imovinu Dužnika za iznose gore navedene. Ista je obavila sve radnje vezane za ispitivanje tražbina vjerovnika, sređivanje i vođenje poslovnih knjiga Dužnika. Iz unovčene stečajne mase, nakon što su namireni razlučni vjerovnici u okvirima raspoložve stečajne mase, podmireni su svi troškovi stečajnog postupka i ostale obveze stečajne mase te stečajni vjerovnici prvoga višega isplatnog reda u visini od 100% utvrđenih im tražbina u ovome stečajnom postupku i stečajni vjerovnici drugoga višega isplatnog reda u visini od 1,28190723% utvrđenih im tražbina u ovome stečajnom postupku. Sve su to činjenice koje se utvrđuju iz spisa predmeta.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11.</w:t>
      </w:r>
      <w:r w:rsidRPr="00B31AB4">
        <w:rPr>
          <w:rFonts w:cs="Times New Roman" w:eastAsia="Times New Roman"/>
          <w:lang w:eastAsia="hr-HR"/>
        </w:rPr>
        <w:t xml:space="preserve">  </w:t>
      </w:r>
      <w:r w:rsidRPr="00B31AB4">
        <w:rPr>
          <w:rFonts w:cs="Times New Roman" w:eastAsia="Times New Roman"/>
          <w:lang w:eastAsia="hr-HR" w:val="fr-FR"/>
        </w:rPr>
        <w:t xml:space="preserve">Sukladno vrijednosti unovčene stečajne mase i gore navedenim pozitivnim propisima, Stečajnoj upraviteljici na ime nagrade pripada maksimalan iznos nagrade od 630.000,00 kuna </w:t>
      </w:r>
      <w:r w:rsidRPr="00B31AB4">
        <w:rPr>
          <w:rFonts w:cs="Times New Roman" w:eastAsia="Times New Roman"/>
          <w:i/>
          <w:lang w:eastAsia="hr-HR" w:val="fr-FR"/>
        </w:rPr>
        <w:t>...s osnove vrijednosti unovčene stečajne mase...</w:t>
      </w:r>
      <w:r w:rsidRPr="00B31AB4">
        <w:rPr>
          <w:rFonts w:cs="Times New Roman" w:eastAsia="Times New Roman"/>
          <w:lang w:eastAsia="hr-HR" w:val="fr-FR"/>
        </w:rPr>
        <w:t xml:space="preserve"> iz članka 6. u vezi sa člankom 16, </w:t>
      </w:r>
      <w:r w:rsidRPr="00B31AB4">
        <w:rPr>
          <w:rFonts w:cs="Times New Roman" w:eastAsia="Times New Roman"/>
          <w:i/>
          <w:lang w:eastAsia="hr-HR" w:val="fr-FR"/>
        </w:rPr>
        <w:t>nove</w:t>
      </w:r>
      <w:r w:rsidRPr="00B31AB4">
        <w:rPr>
          <w:rFonts w:cs="Times New Roman" w:eastAsia="Times New Roman"/>
          <w:lang w:eastAsia="hr-HR" w:val="fr-FR"/>
        </w:rPr>
        <w:t xml:space="preserve"> Uredbe a kako je ista zatražila odrediti joj iznos od: 615.000,00 kuna, uvećano još i za doprinos na zdravstveno osiguranje (ZO) na nagradu u iznosu od: 46.125,00 kuna, </w:t>
      </w:r>
      <w:r w:rsidRPr="00B31AB4">
        <w:rPr>
          <w:rFonts w:cs="Times New Roman" w:eastAsia="Times New Roman"/>
          <w:lang w:eastAsia="hr-HR"/>
        </w:rPr>
        <w:t>to joj je Sud toliko i odredio te i riješio kao u točki 1, izrijeke ovog Rješenja. U određeni iznos nagrade je uključen i već isplaćeni predujam nagrade od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- 5 -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</w:t>
      </w:r>
      <w:r w:rsidRPr="00B31AB4">
        <w:rPr>
          <w:rFonts w:cs="Times New Roman" w:eastAsia="Times New Roman"/>
          <w:b/>
          <w:szCs w:val="20"/>
          <w:lang w:eastAsia="hr-HR"/>
        </w:rPr>
        <w:t>Broj</w:t>
      </w:r>
      <w:r w:rsidRPr="00B31AB4">
        <w:rPr>
          <w:rFonts w:cs="Times New Roman" w:eastAsia="Times New Roman"/>
          <w:b/>
          <w:szCs w:val="20"/>
          <w:lang w:eastAsia="hr-HR" w:val="en-AU"/>
        </w:rPr>
        <w:t>:</w:t>
      </w:r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r w:rsidRPr="00B31AB4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31AB4">
        <w:rPr>
          <w:rFonts w:cs="Times New Roman" w:eastAsia="Times New Roman"/>
          <w:b/>
          <w:szCs w:val="20"/>
          <w:lang w:eastAsia="hr-HR"/>
        </w:rPr>
        <w:t>St</w:t>
      </w:r>
      <w:r w:rsidRPr="00B31AB4">
        <w:rPr>
          <w:rFonts w:cs="Times New Roman" w:eastAsia="Times New Roman"/>
          <w:b/>
          <w:szCs w:val="20"/>
          <w:lang w:eastAsia="hr-HR" w:val="en-AU"/>
        </w:rPr>
        <w:t>-498/2011.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29.741,40 kuna bruto (15.000,00 kuna neto), kako je to Stečajna upraviteljica </w:t>
      </w:r>
      <w:proofErr w:type="spellStart"/>
      <w:r w:rsidRPr="00B31AB4">
        <w:rPr>
          <w:rFonts w:cs="Times New Roman" w:eastAsia="Times New Roman"/>
          <w:lang w:eastAsia="hr-HR"/>
        </w:rPr>
        <w:t>izvjestila</w:t>
      </w:r>
      <w:proofErr w:type="spellEnd"/>
      <w:r w:rsidRPr="00B31AB4">
        <w:rPr>
          <w:rFonts w:cs="Times New Roman" w:eastAsia="Times New Roman"/>
          <w:lang w:eastAsia="hr-HR"/>
        </w:rPr>
        <w:t xml:space="preserve"> Sud podneskom od 29. rujna 2017. a u Sudu fizički zaprimljenom 03. listopada 2017.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12.</w:t>
      </w:r>
      <w:r w:rsidRPr="00B31AB4">
        <w:rPr>
          <w:rFonts w:cs="Times New Roman" w:eastAsia="Times New Roman"/>
          <w:lang w:eastAsia="hr-HR"/>
        </w:rPr>
        <w:t xml:space="preserve">  Na Završnom ročištu vjerovnika održanom 14. rujna 2017, prisutni su vjerovnici prihvatili Završno izvješće Stečajne upraviteljice i Završni račun, nije bilo prigovora na Završni diobni popis niti na predloženi iznos nagrade Stečajne upraviteljice te je Stečajna upraviteljica upućena provesti Završnu diobu sukladno Završnom diobnom popisu.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13.</w:t>
      </w:r>
      <w:r w:rsidRPr="00B31AB4">
        <w:rPr>
          <w:rFonts w:cs="Times New Roman" w:eastAsia="Times New Roman"/>
          <w:lang w:eastAsia="hr-HR"/>
        </w:rPr>
        <w:t xml:space="preserve">  Zbog svega navedenog je Sud ovim Rješenjem i odredio iznos nagrade Stečajne upraviteljice za cijelo razdoblje trajanja ovoga stečajnog postupka u iznosu kako je to i navedeno u izrijeci Rješenja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14.</w:t>
      </w:r>
      <w:r w:rsidRPr="00B31AB4">
        <w:rPr>
          <w:rFonts w:cs="Times New Roman" w:eastAsia="Times New Roman"/>
          <w:lang w:eastAsia="hr-HR"/>
        </w:rPr>
        <w:t xml:space="preserve">  Stečajna je upraviteljica zatražila odrediti joj i naknadu troškova koje je ista imala u ovome stečajnom postupku pa je Sud njezin prijedlog prihvatio i odredio joj zatraženi iznos naknade troškova u zatraženom iznosu od 30.743,67 kuna smatrajući taj iznos prihvatljivim vremenu trajanja ovoga stečajnog postupka i imajući na umu kako je sjedište Dužnika u Gradu Solinu a imovina se je stečajnog Dužnika nalazila u </w:t>
      </w:r>
      <w:proofErr w:type="spellStart"/>
      <w:r w:rsidRPr="00B31AB4">
        <w:rPr>
          <w:rFonts w:cs="Times New Roman" w:eastAsia="Times New Roman"/>
          <w:lang w:eastAsia="hr-HR"/>
        </w:rPr>
        <w:t>Dugopolju</w:t>
      </w:r>
      <w:proofErr w:type="spellEnd"/>
      <w:r w:rsidRPr="00B31AB4">
        <w:rPr>
          <w:rFonts w:cs="Times New Roman" w:eastAsia="Times New Roman"/>
          <w:lang w:eastAsia="hr-HR"/>
        </w:rPr>
        <w:t>, što je zahtijevalo dosta česte odlaske u ta mjesta.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15.</w:t>
      </w:r>
      <w:r w:rsidRPr="00B31AB4">
        <w:rPr>
          <w:rFonts w:cs="Times New Roman" w:eastAsia="Times New Roman"/>
          <w:lang w:eastAsia="hr-HR"/>
        </w:rPr>
        <w:t xml:space="preserve"> Točkom 2, izrijeke Rješenja je Stečajna upraviteljica ovlaštena isplatiti si određeni a neisplaćeni iznos nagrade i naknade troškova, u sklopu istog iznosa obračunati pripadajuće poreze, prireze i doprinose i iste uplatiti na odgovarajuće račune proračunskih korisnika sve to nakon pravomoćnosti ovog Rješenja.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</w:t>
      </w:r>
      <w:r w:rsidRPr="00B31AB4">
        <w:rPr>
          <w:rFonts w:cs="Times New Roman" w:eastAsia="Times New Roman"/>
          <w:b/>
          <w:lang w:eastAsia="hr-HR"/>
        </w:rPr>
        <w:t>16.</w:t>
      </w:r>
      <w:r w:rsidRPr="00B31AB4">
        <w:rPr>
          <w:rFonts w:cs="Times New Roman" w:eastAsia="Times New Roman"/>
          <w:lang w:eastAsia="hr-HR"/>
        </w:rPr>
        <w:t xml:space="preserve">  Sukladno svemu navedenom i temeljem navedenih odredaba pozitivnih propisa, riješeno je kao u izrijeci Rješenja.</w:t>
      </w: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center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>U Splitu, 23. listopada 2017.</w:t>
      </w: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B31AB4">
          <w:rPr>
            <w:rFonts w:cs="Times New Roman" w:eastAsia="Times New Roman"/>
            <w:lang w:eastAsia="hr-HR"/>
          </w:rPr>
          <w:t>Jozo Ćaleta</w:t>
        </w:r>
      </w:smartTag>
      <w:r w:rsidRPr="00B31AB4">
        <w:rPr>
          <w:rFonts w:cs="Times New Roman" w:eastAsia="Times New Roman"/>
          <w:lang w:eastAsia="hr-HR"/>
        </w:rPr>
        <w:t>, v.r.,</w:t>
      </w:r>
    </w:p>
    <w:p w:rsidRDefault="00B31AB4" w:rsidP="00B31AB4" w:rsidR="00B31AB4" w:rsidRPr="00B31AB4">
      <w:pPr>
        <w:spacing w:after="0"/>
        <w:rPr>
          <w:rFonts w:cs="Times New Roman" w:eastAsia="Times New Roman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lang w:eastAsia="hr-HR"/>
        </w:rPr>
      </w:pPr>
      <w:r w:rsidRPr="00B31AB4">
        <w:rPr>
          <w:rFonts w:cs="Times New Roman" w:eastAsia="Times New Roman"/>
          <w:u w:val="single"/>
          <w:lang w:eastAsia="hr-HR"/>
        </w:rPr>
        <w:t>Pravna pouka:</w:t>
      </w:r>
      <w:r w:rsidRPr="00B31AB4">
        <w:rPr>
          <w:rFonts w:cs="Times New Roman" w:eastAsia="Times New Roman"/>
          <w:lang w:eastAsia="hr-HR"/>
        </w:rP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B31AB4" w:rsidP="00B31AB4" w:rsidR="00B31AB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1AB4" w:rsidP="00B31AB4" w:rsidR="00B31AB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1AB4" w:rsidP="00B31AB4" w:rsidR="00B31AB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1AB4" w:rsidP="00B31AB4" w:rsidR="00B31AB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B31AB4">
        <w:rPr>
          <w:rFonts w:cs="Times New Roman" w:eastAsia="Times New Roman"/>
          <w:b/>
          <w:szCs w:val="20"/>
          <w:lang w:eastAsia="hr-HR" w:val="en-AU"/>
        </w:rPr>
        <w:t>- 6 -</w:t>
      </w:r>
      <w:r w:rsidRPr="00B31AB4">
        <w:rPr>
          <w:rFonts w:cs="Times New Roman" w:eastAsia="Times New Roman"/>
          <w:szCs w:val="20"/>
          <w:lang w:eastAsia="hr-HR" w:val="en-AU"/>
        </w:rPr>
        <w:t xml:space="preserve">                        </w:t>
      </w:r>
      <w:r w:rsidRPr="00B31AB4">
        <w:rPr>
          <w:rFonts w:cs="Times New Roman" w:eastAsia="Times New Roman"/>
          <w:b/>
          <w:szCs w:val="20"/>
          <w:lang w:eastAsia="hr-HR"/>
        </w:rPr>
        <w:t>Broj</w:t>
      </w:r>
      <w:r w:rsidRPr="00B31AB4">
        <w:rPr>
          <w:rFonts w:cs="Times New Roman" w:eastAsia="Times New Roman"/>
          <w:b/>
          <w:szCs w:val="20"/>
          <w:lang w:eastAsia="hr-HR" w:val="en-AU"/>
        </w:rPr>
        <w:t>:</w:t>
      </w:r>
      <w:r w:rsidRPr="00B31AB4">
        <w:rPr>
          <w:rFonts w:cs="Times New Roman" w:eastAsia="Times New Roman"/>
          <w:szCs w:val="20"/>
          <w:lang w:eastAsia="hr-HR" w:val="en-AU"/>
        </w:rPr>
        <w:t xml:space="preserve"> </w:t>
      </w:r>
      <w:r w:rsidRPr="00B31AB4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31AB4">
        <w:rPr>
          <w:rFonts w:cs="Times New Roman" w:eastAsia="Times New Roman"/>
          <w:b/>
          <w:szCs w:val="20"/>
          <w:lang w:eastAsia="hr-HR"/>
        </w:rPr>
        <w:t>St</w:t>
      </w:r>
      <w:r w:rsidRPr="00B31AB4">
        <w:rPr>
          <w:rFonts w:cs="Times New Roman" w:eastAsia="Times New Roman"/>
          <w:b/>
          <w:szCs w:val="20"/>
          <w:lang w:eastAsia="hr-HR" w:val="en-AU"/>
        </w:rPr>
        <w:t>-498/2011.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1AB4" w:rsidP="00B31AB4" w:rsidR="00B31AB4" w:rsidRPr="00B31AB4">
      <w:pPr>
        <w:spacing w:after="0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/>
          <w:bCs/>
          <w:lang w:eastAsia="hr-HR"/>
        </w:rPr>
        <w:t xml:space="preserve">DNA:  </w:t>
      </w:r>
      <w:r w:rsidRPr="00B31AB4">
        <w:rPr>
          <w:rFonts w:cs="Times New Roman" w:eastAsia="Times New Roman"/>
          <w:bCs/>
          <w:lang w:eastAsia="hr-HR"/>
        </w:rPr>
        <w:t xml:space="preserve">  1.</w:t>
      </w:r>
      <w:r w:rsidRPr="00B31AB4">
        <w:rPr>
          <w:rFonts w:cs="Times New Roman" w:eastAsia="Times New Roman"/>
          <w:b/>
          <w:bCs/>
          <w:lang w:eastAsia="hr-HR"/>
        </w:rPr>
        <w:t xml:space="preserve">  </w:t>
      </w:r>
      <w:r w:rsidRPr="00B31AB4">
        <w:rPr>
          <w:rFonts w:cs="Times New Roman" w:eastAsia="Times New Roman"/>
          <w:bCs/>
          <w:lang w:eastAsia="hr-HR"/>
        </w:rPr>
        <w:t>S</w:t>
      </w:r>
      <w:r w:rsidRPr="00B31AB4">
        <w:rPr>
          <w:rFonts w:cs="Times New Roman" w:eastAsia="Times New Roman"/>
          <w:lang w:eastAsia="hr-HR"/>
        </w:rPr>
        <w:t xml:space="preserve">tečajna upraviteljica Natalija </w:t>
      </w:r>
      <w:proofErr w:type="spellStart"/>
      <w:r w:rsidRPr="00B31AB4">
        <w:rPr>
          <w:rFonts w:cs="Times New Roman" w:eastAsia="Times New Roman"/>
          <w:lang w:eastAsia="hr-HR"/>
        </w:rPr>
        <w:t>Mladineo</w:t>
      </w:r>
      <w:proofErr w:type="spellEnd"/>
      <w:r w:rsidRPr="00B31AB4">
        <w:rPr>
          <w:rFonts w:cs="Times New Roman" w:eastAsia="Times New Roman"/>
          <w:lang w:eastAsia="hr-HR"/>
        </w:rPr>
        <w:t>, Split, Viška 24,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Cs/>
          <w:lang w:eastAsia="hr-HR"/>
        </w:rPr>
        <w:t xml:space="preserve">              2.  Mrežna stranica e- Oglasna ploča sudova - rok: 30. dana,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Cs/>
          <w:lang w:eastAsia="hr-HR"/>
        </w:rPr>
        <w:t xml:space="preserve">              3.  Spis.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Cs/>
          <w:lang w:eastAsia="hr-HR"/>
        </w:rPr>
        <w:t>Split, 23. listopada 2017.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Cs/>
          <w:lang w:eastAsia="hr-HR"/>
        </w:rPr>
        <w:t xml:space="preserve">                              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31A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S U D A C:</w:t>
      </w:r>
    </w:p>
    <w:p w:rsidRDefault="00B31AB4" w:rsidP="00B31AB4" w:rsidR="00B31AB4" w:rsidRPr="00B31A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31AB4" w:rsidP="00B31AB4" w:rsidR="00AE649C" w:rsidRPr="00B76F3C">
      <w:pPr>
        <w:spacing w:after="0"/>
        <w:jc w:val="both"/>
      </w:pPr>
      <w:r w:rsidRPr="00B31A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AB4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5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St-498/2011-324</izvorni_sadrzaj>
    <derivirana_varijabla naziv="DomainObject.Oznaka_1">St-498/2011-324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 bb, 21210 Solin</izvorni_sadrzaj>
    <derivirana_varijabla naziv="DomainObject.Predmet.ProtustrankaFormatedWithAdress_1"> RE VERA, d.o.o. za trgovinu i usluge "u stečaju", Vranjički put bb, 21210 Solin</derivirana_varijabla>
  </DomainObject.Predmet.ProtustrankaFormatedWithAdress>
  <DomainObject.Predmet.ProtustrankaFormatedWithAdressOIB>
    <izvorni_sadrzaj> RE VERA, d.o.o. za trgovinu i usluge "u stečaju", OIB 10341953998, Vranjički put bb, 21210 Solin</izvorni_sadrzaj>
    <derivirana_varijabla naziv="DomainObject.Predmet.ProtustrankaFormatedWithAdressOIB_1"> RE VERA, d.o.o. za trgovinu i usluge "u stečaju", OIB 10341953998, Vranjički put bb, 21210 Solin</derivirana_varijabla>
  </DomainObject.Predmet.ProtustrankaFormatedWithAdressOIB>
  <DomainObject.Predmet.ProtustrankaWithAdress>
    <izvorni_sadrzaj>RE VERA, d.o.o. za trgovinu i usluge "u stečaju" Vranjički put bb, 21210 Solin</izvorni_sadrzaj>
    <derivirana_varijabla naziv="DomainObject.Predmet.ProtustrankaWithAdress_1">RE VERA, d.o.o. za trgovinu i usluge "u stečaju" Vranjički put bb, 21210 Solin</derivirana_varijabla>
  </DomainObject.Predmet.ProtustrankaWithAdress>
  <DomainObject.Predmet.ProtustrankaWithAdressOIB>
    <izvorni_sadrzaj>RE VERA, d.o.o. za trgovinu i usluge "u stečaju", OIB 10341953998, Vranjički put bb, 21210 Solin</izvorni_sadrzaj>
    <derivirana_varijabla naziv="DomainObject.Predmet.ProtustrankaWithAdressOIB_1">RE VERA, d.o.o. za trgovinu i usluge "u stečaju", OIB 10341953998, Vranjički put bb, 21210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 bb, 21210 Solin</item>
    </izvorni_sadrzaj>
    <derivirana_varijabla naziv="DomainObject.Predmet.ProtuStrankaListFormatedWithAdress_1">
      <item>RE VERA, d.o.o. za trgovinu i usluge "u stečaju", Vranjički put bb, 21210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 bb, 21210 Solin</item>
    </izvorni_sadrzaj>
    <derivirana_varijabla naziv="DomainObject.Predmet.ProtuStrankaListFormatedWithAdressOIB_1">
      <item>RE VERA, d.o.o. za trgovinu i usluge "u stečaju", OIB 10341953998, Vranjički put bb, 21210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St-498/2011-324</izvorni_sadrzaj>
    <derivirana_varijabla naziv="DomainObject.PoslovniBrojDokumenta_1">St-498/2011-324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 bb, 21210 Solin</izvorni_sadrzaj>
    <derivirana_varijabla naziv="DomainObject.Predmet.ProtustrankaIDrugiAdressOIB_1">RE VERA, d.o.o. za trgovinu i usluge "u stečaju", OIB 10341953998, Vranjički put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St-498/2011-322</izvorni_sadrzaj>
    <derivirana_varijabla naziv="DomainObject.Predmet.OdlukaRjesenje.Oznaka_1">St-498/2011-322</derivirana_varijabla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63576-D29A-4AF1-8063-CF6A20775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1937</properties:Words>
  <properties:Characters>10655</properties:Characters>
  <properties:Lines>258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2017-10-23T11:30:00Z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St-498/2011-324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