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e517" w14:paraId="71ae517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u stečajnom postupku nad </w:t>
      </w:r>
      <w:r w:rsidR="0020537E">
        <w:rPr>
          <w:rFonts w:hAnsi="Times New Roman" w:ascii="Times New Roman"/>
        </w:rPr>
        <w:t>Stečajnom masom</w:t>
      </w:r>
      <w:r w:rsidR="0020537E" w:rsidRPr="0020537E">
        <w:rPr>
          <w:rFonts w:hAnsi="Times New Roman" w:ascii="Times New Roman"/>
        </w:rPr>
        <w:t xml:space="preserve"> iza LUKAČ d.o.o. u stečaju, Miholjanec, A. Mihanovića 131, OIB: 74289759780</w:t>
      </w:r>
      <w:r w:rsidR="00E538C4" w:rsidRPr="00E538C4">
        <w:rPr>
          <w:rFonts w:hAnsi="Times New Roman" w:ascii="Times New Roman"/>
        </w:rPr>
        <w:t xml:space="preserve">, </w:t>
      </w:r>
      <w:r w:rsidR="0020537E">
        <w:rPr>
          <w:rFonts w:hAnsi="Times New Roman" w:ascii="Times New Roman"/>
        </w:rPr>
        <w:t>8. svibnja</w:t>
      </w:r>
      <w:r w:rsidR="00E538C4" w:rsidRPr="00E538C4">
        <w:rPr>
          <w:rFonts w:hAnsi="Times New Roman" w:ascii="Times New Roman"/>
        </w:rPr>
        <w:t xml:space="preserve"> 2018.,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C5412">
        <w:rPr>
          <w:rFonts w:hAnsi="Times New Roman" w:ascii="Times New Roman"/>
        </w:rPr>
        <w:t xml:space="preserve">Daje se suglasnost stečajnom upravitelju za diobu radi namirenja stečajnih vjerovnika </w:t>
      </w:r>
      <w:r w:rsidR="00E538C4">
        <w:rPr>
          <w:rFonts w:hAnsi="Times New Roman" w:ascii="Times New Roman"/>
        </w:rPr>
        <w:t xml:space="preserve">drugog </w:t>
      </w:r>
      <w:r w:rsidR="00BC5412">
        <w:rPr>
          <w:rFonts w:hAnsi="Times New Roman" w:ascii="Times New Roman"/>
        </w:rPr>
        <w:t xml:space="preserve">višeg isplatnog reda u iznosu od </w:t>
      </w:r>
      <w:r w:rsidR="0020537E">
        <w:rPr>
          <w:rFonts w:hAnsi="Times New Roman" w:ascii="Times New Roman"/>
        </w:rPr>
        <w:t xml:space="preserve">76.296,92 </w:t>
      </w:r>
      <w:r w:rsidR="00E538C4">
        <w:rPr>
          <w:rFonts w:hAnsi="Times New Roman" w:ascii="Times New Roman"/>
        </w:rPr>
        <w:t xml:space="preserve">kn, što predstavlja 100% utvrđenih tražbina stečajnih </w:t>
      </w:r>
      <w:r w:rsidR="00BC5412">
        <w:rPr>
          <w:rFonts w:hAnsi="Times New Roman" w:ascii="Times New Roman"/>
        </w:rPr>
        <w:t xml:space="preserve">vjerovnika u stečajnom postupku nad stečajnim dužnikom </w:t>
      </w:r>
      <w:r w:rsidR="0020537E" w:rsidRPr="0020537E">
        <w:rPr>
          <w:rFonts w:hAnsi="Times New Roman" w:ascii="Times New Roman"/>
        </w:rPr>
        <w:t>Stečajna masa iza LUKAČ d.o.o. u stečaju, Miholjanec, A. Mihanovića 131, OIB: 74289759780</w:t>
      </w:r>
      <w:r w:rsidR="00BC5412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BC541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podnio sudu temeljem odredbe čl. 273. </w:t>
      </w:r>
      <w:r w:rsidR="00BC5412" w:rsidRPr="00BC5412">
        <w:rPr>
          <w:rFonts w:hAnsi="Times New Roman" w:ascii="Times New Roman"/>
        </w:rPr>
        <w:t>Stečajnog zakona ("Narodne novine" broj 71/15– dalje SZ)</w:t>
      </w:r>
      <w:r w:rsidR="00BC5412">
        <w:rPr>
          <w:rFonts w:hAnsi="Times New Roman" w:ascii="Times New Roman"/>
        </w:rPr>
        <w:t xml:space="preserve">, pisani prijedlog za diobu radi namirenja stečajnih vjerovnika </w:t>
      </w:r>
      <w:r w:rsidR="00E538C4">
        <w:rPr>
          <w:rFonts w:hAnsi="Times New Roman" w:ascii="Times New Roman"/>
        </w:rPr>
        <w:t>drugog</w:t>
      </w:r>
      <w:r w:rsidR="00BC5412">
        <w:rPr>
          <w:rFonts w:hAnsi="Times New Roman" w:ascii="Times New Roman"/>
        </w:rPr>
        <w:t xml:space="preserve"> višeg isplatnog reda u iznosu od </w:t>
      </w:r>
      <w:r w:rsidR="00245EB6">
        <w:rPr>
          <w:rFonts w:hAnsi="Times New Roman" w:ascii="Times New Roman"/>
        </w:rPr>
        <w:t xml:space="preserve"> </w:t>
      </w:r>
      <w:r w:rsidR="00245EB6" w:rsidRPr="00245EB6">
        <w:rPr>
          <w:rFonts w:hAnsi="Times New Roman" w:ascii="Times New Roman"/>
        </w:rPr>
        <w:t xml:space="preserve">76.296,92 </w:t>
      </w:r>
      <w:r w:rsidR="00E538C4">
        <w:rPr>
          <w:rFonts w:hAnsi="Times New Roman" w:ascii="Times New Roman"/>
        </w:rPr>
        <w:t>kn, a čime bi se isti naplatili u 100% -om iznosu utvrđenih tražbina.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273. st. 3. SZ-a, odlučeno je kao u izreci. 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7B6BF6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BC5412">
        <w:rPr>
          <w:rFonts w:hAnsi="Times New Roman" w:ascii="Times New Roman"/>
        </w:rPr>
        <w:t>opis</w:t>
      </w:r>
      <w:r>
        <w:rPr>
          <w:rFonts w:hAnsi="Times New Roman" w:ascii="Times New Roman"/>
        </w:rPr>
        <w:t xml:space="preserve"> zbroja tražbina i raspoloživi iznos iz stečajne mase koji će se raspodijeliti vjerovnicima </w:t>
      </w:r>
      <w:r w:rsidR="00BC5412">
        <w:rPr>
          <w:rFonts w:hAnsi="Times New Roman" w:ascii="Times New Roman"/>
        </w:rPr>
        <w:t xml:space="preserve">je temeljem odredbe čl. 274. st. 2. </w:t>
      </w:r>
      <w:r w:rsidR="00AB0397">
        <w:rPr>
          <w:rFonts w:hAnsi="Times New Roman" w:ascii="Times New Roman"/>
        </w:rPr>
        <w:t xml:space="preserve">SZ-a, </w:t>
      </w:r>
      <w:r w:rsidR="00BC5412">
        <w:rPr>
          <w:rFonts w:hAnsi="Times New Roman" w:ascii="Times New Roman"/>
        </w:rPr>
        <w:t xml:space="preserve">objavljen na mrežnoj stranici e-Oglasna ploča suda. 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20537E">
        <w:rPr>
          <w:rFonts w:hAnsi="Times New Roman" w:ascii="Times New Roman"/>
        </w:rPr>
        <w:t>8. 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D0170">
        <w:rPr>
          <w:rFonts w:hAnsi="Times New Roman" w:ascii="Times New Roman"/>
        </w:rPr>
        <w:t>, v.r.</w:t>
      </w:r>
    </w:p>
    <w:p w:rsidRDefault="002D0170" w:rsidP="005808FA" w:rsidR="002D0170">
      <w:pPr>
        <w:jc w:val="right"/>
        <w:rPr>
          <w:rFonts w:hAnsi="Times New Roman" w:ascii="Times New Roman"/>
        </w:rPr>
      </w:pPr>
    </w:p>
    <w:p w:rsidRDefault="002D0170" w:rsidP="005808FA" w:rsidR="002D01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D0170" w:rsidP="002D0170" w:rsidR="002D01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službenik-</w:t>
      </w:r>
    </w:p>
    <w:p w:rsidRDefault="002D0170" w:rsidP="002D0170" w:rsidR="002D01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BC5412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D77CD5" w:rsidP="002D0170" w:rsidR="002D0170" w:rsidRPr="001A1A01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</w:t>
      </w: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AB039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170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C670FA" w:rsidRPr="00C670FA">
          <w:rPr>
            <w:rFonts w:hAnsi="Times New Roman" w:ascii="Times New Roman"/>
          </w:rPr>
          <w:t>St-4</w:t>
        </w:r>
        <w:r w:rsidR="0022174E">
          <w:rPr>
            <w:rFonts w:hAnsi="Times New Roman" w:ascii="Times New Roman"/>
          </w:rPr>
          <w:t>769</w:t>
        </w:r>
        <w:r w:rsidR="00C670FA" w:rsidRPr="00C670FA">
          <w:rPr>
            <w:rFonts w:hAnsi="Times New Roman" w:ascii="Times New Roman"/>
          </w:rPr>
          <w:t>/16</w:t>
        </w:r>
        <w:r w:rsidR="00BC5412">
          <w:rPr>
            <w:rFonts w:hAnsi="Times New Roman" w:ascii="Times New Roman"/>
          </w:rPr>
          <w:t>-40</w:t>
        </w:r>
      </w:p>
      <w:p w:rsidRDefault="002D0170" w:rsidR="0060670C">
        <w:pPr>
          <w:pStyle w:val="Zaglavlje"/>
          <w:jc w:val="center"/>
        </w:pPr>
      </w:p>
    </w:sdtContent>
  </w:sdt>
  <w:p w:rsidRDefault="002D0170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20537E">
      <w:rPr>
        <w:rFonts w:hAnsi="Times New Roman" w:ascii="Times New Roman"/>
      </w:rPr>
      <w:t>443/18-9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0537E"/>
    <w:rsid w:val="00210B7B"/>
    <w:rsid w:val="002138AB"/>
    <w:rsid w:val="002207BD"/>
    <w:rsid w:val="0022174E"/>
    <w:rsid w:val="002246F6"/>
    <w:rsid w:val="0023380A"/>
    <w:rsid w:val="00245EB6"/>
    <w:rsid w:val="002775D1"/>
    <w:rsid w:val="00277787"/>
    <w:rsid w:val="00277D1E"/>
    <w:rsid w:val="002A79F8"/>
    <w:rsid w:val="002D0170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1AA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D09E2"/>
    <w:rsid w:val="00AE1E7E"/>
    <w:rsid w:val="00B028D4"/>
    <w:rsid w:val="00B10043"/>
    <w:rsid w:val="00B12C85"/>
    <w:rsid w:val="00B531B6"/>
    <w:rsid w:val="00B82999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1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1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1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1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1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1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1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1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LUKAČ d.o.o. u stečaju</izvorni_sadrzaj>
    <derivirana_varijabla naziv="DomainObject.Predmet.ProtustrankaFormated_1">  Stečajna masa iza LUKAČ d.o.o. u stečaju</derivirana_varijabla>
  </DomainObject.Predmet.ProtustrankaFormated>
  <DomainObject.Predmet.ProtustrankaFormatedOIB>
    <izvorni_sadrzaj>  Stečajna masa iza LUKAČ d.o.o. u stečaju, OIB 74289759780</izvorni_sadrzaj>
    <derivirana_varijabla naziv="DomainObject.Predmet.ProtustrankaFormatedOIB_1">  Stečajna masa iza LUKAČ d.o.o. u stečaju, OIB 74289759780</derivirana_varijabla>
  </DomainObject.Predmet.ProtustrankaFormatedOIB>
  <DomainObject.Predmet.ProtustrankaFormatedWithAdress>
    <izvorni_sadrzaj> Stečajna masa iza LUKAČ d.o.o. u stečaju, A. Mihanovića 131, 48350 Miholjanec</izvorni_sadrzaj>
    <derivirana_varijabla naziv="DomainObject.Predmet.ProtustrankaFormatedWithAdress_1"> Stečajna masa iza LUKAČ d.o.o. u stečaju, A. Mihanovića 131, 48350 Miholjanec</derivirana_varijabla>
  </DomainObject.Predmet.ProtustrankaFormatedWithAdress>
  <DomainObject.Predmet.ProtustrankaFormatedWithAdressOIB>
    <izvorni_sadrzaj> Stečajna masa iza LUKAČ d.o.o. u stečaju, OIB 74289759780, A. Mihanovića 131, 48350 Miholjanec</izvorni_sadrzaj>
    <derivirana_varijabla naziv="DomainObject.Predmet.ProtustrankaFormatedWithAdressOIB_1"> Stečajna masa iza LUKAČ d.o.o. u stečaju, OIB 74289759780, A. Mihanovića 131, 48350 Miholjanec</derivirana_varijabla>
  </DomainObject.Predmet.ProtustrankaFormatedWithAdressOIB>
  <DomainObject.Predmet.ProtustrankaWithAdress>
    <izvorni_sadrzaj>Stečajna masa iza LUKAČ d.o.o. u stečaju A. Mihanovića 131, 48350 Miholjanec</izvorni_sadrzaj>
    <derivirana_varijabla naziv="DomainObject.Predmet.ProtustrankaWithAdress_1">Stečajna masa iza LUKAČ d.o.o. u stečaju A. Mihanovića 131, 48350 Miholjanec</derivirana_varijabla>
  </DomainObject.Predmet.ProtustrankaWithAdress>
  <DomainObject.Predmet.ProtustrankaWithAdressOIB>
    <izvorni_sadrzaj>Stečajna masa iza LUKAČ d.o.o. u stečaju, OIB 74289759780, A. Mihanovića 131, 48350 Miholjanec</izvorni_sadrzaj>
    <derivirana_varijabla naziv="DomainObject.Predmet.ProtustrankaWithAdressOIB_1">Stečajna masa iza LUKAČ d.o.o. u stečaju, OIB 74289759780, A. Mihanovića 131, 48350 Miholjanec</derivirana_varijabla>
  </DomainObject.Predmet.ProtustrankaWithAdressOIB>
  <DomainObject.Predmet.ProtustrankaNazivFormated>
    <izvorni_sadrzaj>Stečajna masa iza LUKAČ d.o.o. u stečaju</izvorni_sadrzaj>
    <derivirana_varijabla naziv="DomainObject.Predmet.ProtustrankaNazivFormated_1">Stečajna masa iza LUKAČ d.o.o. u stečaju</derivirana_varijabla>
  </DomainObject.Predmet.ProtustrankaNazivFormated>
  <DomainObject.Predmet.ProtustrankaNazivFormatedOIB>
    <izvorni_sadrzaj>Stečajna masa iza LUKAČ d.o.o. u stečaju, OIB 74289759780</izvorni_sadrzaj>
    <derivirana_varijabla naziv="DomainObject.Predmet.ProtustrankaNazivFormatedOIB_1">Stečajna masa iza LUKAČ d.o.o. u stečaju, OIB 74289759780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LUKAČ d.o.o. u stečaju</item>
    </izvorni_sadrzaj>
    <derivirana_varijabla naziv="DomainObject.Predmet.ProtuStrankaListFormated_1">
      <item>Stečajna masa iza LUKAČ d.o.o. u stečaju</item>
    </derivirana_varijabla>
  </DomainObject.Predmet.ProtuStrankaListFormated>
  <DomainObject.Predmet.ProtuStrankaListFormatedOIB>
    <izvorni_sadrzaj>
      <item>Stečajna masa iza LUKAČ d.o.o. u stečaju, OIB 74289759780</item>
    </izvorni_sadrzaj>
    <derivirana_varijabla naziv="DomainObject.Predmet.ProtuStrankaListFormatedOIB_1">
      <item>Stečajna masa iza LUKAČ d.o.o. u stečaju, OIB 74289759780</item>
    </derivirana_varijabla>
  </DomainObject.Predmet.ProtuStrankaListFormatedOIB>
  <DomainObject.Predmet.ProtuStrankaListFormatedWithAdress>
    <izvorni_sadrzaj>
      <item>Stečajna masa iza LUKAČ d.o.o. u stečaju, A. Mihanovića 131, 48350 Miholjanec</item>
    </izvorni_sadrzaj>
    <derivirana_varijabla naziv="DomainObject.Predmet.ProtuStrankaListFormatedWithAdress_1">
      <item>Stečajna masa iza LUKAČ d.o.o. u stečaju, A. Mihanovića 131, 48350 Miholjanec</item>
    </derivirana_varijabla>
  </DomainObject.Predmet.ProtuStrankaListFormatedWithAdress>
  <DomainObject.Predmet.ProtuStrankaListFormatedWithAdressOIB>
    <izvorni_sadrzaj>
      <item>Stečajna masa iza LUKAČ d.o.o. u stečaju, OIB 74289759780, A. Mihanovića 131, 48350 Miholjanec</item>
    </izvorni_sadrzaj>
    <derivirana_varijabla naziv="DomainObject.Predmet.ProtuStrankaListFormatedWithAdressOIB_1">
      <item>Stečajna masa iza LUKAČ d.o.o. u stečaju, OIB 74289759780, A. Mihanovića 131, 48350 Miholjanec</item>
    </derivirana_varijabla>
  </DomainObject.Predmet.ProtuStrankaListFormatedWithAdressOIB>
  <DomainObject.Predmet.ProtuStrankaListNazivFormated>
    <izvorni_sadrzaj>
      <item>Stečajna masa iza LUKAČ d.o.o. u stečaju</item>
    </izvorni_sadrzaj>
    <derivirana_varijabla naziv="DomainObject.Predmet.ProtuStrankaListNazivFormated_1">
      <item>Stečajna masa iza LUKAČ d.o.o. u stečaju</item>
    </derivirana_varijabla>
  </DomainObject.Predmet.ProtuStrankaListNazivFormated>
  <DomainObject.Predmet.ProtuStrankaListNazivFormatedOIB>
    <izvorni_sadrzaj>
      <item>Stečajna masa iza LUKAČ d.o.o. u stečaju, OIB 74289759780</item>
    </izvorni_sadrzaj>
    <derivirana_varijabla naziv="DomainObject.Predmet.ProtuStrankaListNazivFormatedOIB_1">
      <item>Stečajna masa iza LUKAČ d.o.o. u stečaju, OIB 74289759780</item>
    </derivirana_varijabla>
  </DomainObject.Predmet.ProtuStrankaListNazivFormatedOIB>
  <DomainObject.Predmet.OstaliListFormated>
    <izvorni_sadrzaj>
      <item>Vera Lukač</item>
      <item>Marko Lukač</item>
      <item>Vlasta Jurašin</item>
    </izvorni_sadrzaj>
    <derivirana_varijabla naziv="DomainObject.Predmet.OstaliListFormated_1">
      <item>Vera Lukač</item>
      <item>Marko Lukač</item>
      <item>Vlasta Jurašin</item>
    </derivirana_varijabla>
  </DomainObject.Predmet.OstaliListFormated>
  <DomainObject.Predmet.OstaliListFormatedOIB>
    <izvorni_sadrzaj>
      <item>Vera Lukač, OIB 78626984222</item>
      <item>Marko Lukač, OIB 02699557697</item>
      <item>Vlasta Jurašin, OIB 03137133010</item>
    </izvorni_sadrzaj>
    <derivirana_varijabla naziv="DomainObject.Predmet.OstaliListFormatedOIB_1">
      <item>Vera Lukač, OIB 78626984222</item>
      <item>Marko Lukač, OIB 02699557697</item>
      <item>Vlasta Jurašin, OIB 03137133010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  <item>Vlasta Jurašin, Domobranska 31, 47000 Karlovac</item>
    </izvorni_sadrzaj>
    <derivirana_varijabla naziv="DomainObject.Predmet.OstaliListFormatedWithAdress_1">
      <item>Vera Lukač, Gornje Taborište 9, 47240 Gornje Taborište</item>
      <item>Marko Lukač, Gornje Taborište 9, 47240 Gornje Taborište</item>
      <item>Vlasta Jurašin, Domobranska 31, 47000 Karlovac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derivirana_varijabla>
  </DomainObject.Predmet.OstaliListFormatedWithAdressOIB>
  <DomainObject.Predmet.OstaliListNazivFormated>
    <izvorni_sadrzaj>
      <item>Vera Lukač</item>
      <item>Marko Lukač</item>
      <item>Vlasta Jurašin</item>
    </izvorni_sadrzaj>
    <derivirana_varijabla naziv="DomainObject.Predmet.OstaliListNazivFormated_1">
      <item>Vera Lukač</item>
      <item>Marko Lukač</item>
      <item>Vlasta Jurašin</item>
    </derivirana_varijabla>
  </DomainObject.Predmet.OstaliListNazivFormated>
  <DomainObject.Predmet.OstaliListNazivFormatedOIB>
    <izvorni_sadrzaj>
      <item>Vera Lukač, OIB 78626984222</item>
      <item>Marko Lukač, OIB 02699557697</item>
      <item>Vlasta Jurašin, OIB 03137133010</item>
    </izvorni_sadrzaj>
    <derivirana_varijabla naziv="DomainObject.Predmet.OstaliListNazivFormatedOIB_1">
      <item>Vera Lukač, OIB 78626984222</item>
      <item>Marko Lukač, OIB 02699557697</item>
      <item>Vlasta Jurašin, OIB 03137133010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LUKAČ d.o.o. u stečaju</izvorni_sadrzaj>
    <derivirana_varijabla naziv="DomainObject.Predmet.ProtustrankaIDrugi_1">Stečajna masa iza LUKAČ d.o.o.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LUKAČ d.o.o. u stečaju, OIB 74289759780, A. Mihanovića 131, 48350 Miholjanec</izvorni_sadrzaj>
    <derivirana_varijabla naziv="DomainObject.Predmet.ProtustrankaIDrugiAdressOIB_1">Stečajna masa iza LUKAČ d.o.o. u stečaju, OIB 74289759780, A.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Vera Lukač</item>
      <item>Marko Lukač</item>
      <item>Vlasta Jurašin</item>
      <item>Stečajna masa iza LUKAČ d.o.o. u stečaju</item>
    </izvorni_sadrzaj>
    <derivirana_varijabla naziv="DomainObject.Predmet.SudioniciListNaziv_1">
      <item>Fina Regionalni centar Zagreb Podružnica Karlovac</item>
      <item>Vera Lukač</item>
      <item>Marko Lukač</item>
      <item>Vlasta Jurašin</item>
      <item>Stečajna masa iza LUKAČ d.o.o. u stečaju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izvorni_sadrzaj>
    <derivirana_varijabla naziv="DomainObject.Predmet.SudioniciListAdressOIB_1"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78626984222</item>
      <item>, OIB 02699557697</item>
      <item>, OIB 03137133010</item>
      <item>, OIB 74289759780</item>
    </izvorni_sadrzaj>
    <derivirana_varijabla naziv="DomainObject.Predmet.SudioniciListNazivOIB_1">
      <item>, OIB 85821130368</item>
      <item>, OIB 78626984222</item>
      <item>, OIB 02699557697</item>
      <item>, OIB 03137133010</item>
      <item>, OIB 74289759780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BEC1D-1EE2-42E9-AB53-A53D8E695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1348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2018-05-08T08:01:00Z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2018-05-08T08:10:00Z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(St-443-18- SUGLASNOST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