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5360" w14:paraId="d9b536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2012E" w:rsidR="0052012E" w:rsidRPr="0052012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012E" w:rsidRPr="0052012E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52012E" w:rsidRPr="0052012E">
        <w:rPr>
          <w:rFonts w:cs="Times New Roman" w:eastAsia="Times New Roman"/>
          <w:lang w:eastAsia="hr-HR"/>
        </w:rPr>
        <w:t>Broj: 14. St-2095/2016.</w:t>
      </w:r>
    </w:p>
    <w:p w:rsidRDefault="0052012E" w:rsidP="0052012E" w:rsidR="0052012E" w:rsidRPr="0052012E">
      <w:pPr>
        <w:spacing w:after="0"/>
        <w:rPr>
          <w:rFonts w:cs="Times New Roman" w:eastAsia="Times New Roman"/>
          <w:lang w:eastAsia="hr-HR"/>
        </w:rPr>
      </w:pPr>
      <w:r w:rsidRPr="0052012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2012E" w:rsidP="0052012E" w:rsidR="0052012E" w:rsidRPr="0052012E">
      <w:pPr>
        <w:spacing w:after="0"/>
        <w:rPr>
          <w:rFonts w:cs="Times New Roman" w:eastAsia="Times New Roman"/>
          <w:b/>
          <w:lang w:eastAsia="hr-HR"/>
        </w:rPr>
      </w:pPr>
      <w:r w:rsidRPr="0052012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2012E">
        <w:rPr>
          <w:rFonts w:cs="Times New Roman" w:eastAsia="Times New Roman"/>
          <w:b/>
          <w:lang w:eastAsia="hr-HR"/>
        </w:rPr>
        <w:t>Sukoišanska</w:t>
      </w:r>
      <w:proofErr w:type="spellEnd"/>
      <w:r w:rsidRPr="0052012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2012E" w:rsidP="0052012E" w:rsidR="0052012E" w:rsidRPr="00520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012E" w:rsidP="0052012E" w:rsidR="0052012E" w:rsidRPr="00520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012E" w:rsidP="0052012E" w:rsidR="0052012E" w:rsidRPr="0052012E">
      <w:pPr>
        <w:spacing w:after="0"/>
        <w:jc w:val="both"/>
        <w:rPr>
          <w:rFonts w:cs="Times New Roman" w:eastAsia="Times New Roman"/>
          <w:lang w:eastAsia="hr-HR" w:val="en-US"/>
        </w:rPr>
      </w:pPr>
      <w:r w:rsidRPr="0052012E">
        <w:rPr>
          <w:rFonts w:cs="Times New Roman" w:eastAsia="Times New Roman"/>
          <w:lang w:eastAsia="hr-HR" w:val="en-US"/>
        </w:rPr>
        <w:tab/>
      </w:r>
      <w:r w:rsidRPr="0052012E">
        <w:rPr>
          <w:rFonts w:cs="Times New Roman" w:eastAsia="Times New Roman"/>
          <w:lang w:eastAsia="hr-HR" w:val="en-US"/>
        </w:rPr>
        <w:tab/>
      </w:r>
      <w:proofErr w:type="spellStart"/>
      <w:r w:rsidRPr="0052012E">
        <w:rPr>
          <w:rFonts w:cs="Times New Roman" w:eastAsia="Times New Roman"/>
          <w:lang w:eastAsia="hr-HR" w:val="en-US"/>
        </w:rPr>
        <w:t>Trgovački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sud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2012E">
        <w:rPr>
          <w:rFonts w:cs="Times New Roman" w:eastAsia="Times New Roman"/>
          <w:lang w:eastAsia="hr-HR" w:val="en-US"/>
        </w:rPr>
        <w:t>Splitu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2012E">
        <w:rPr>
          <w:rFonts w:cs="Times New Roman" w:eastAsia="Times New Roman"/>
          <w:lang w:eastAsia="hr-HR" w:val="en-US"/>
        </w:rPr>
        <w:t>po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sudcu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tog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suda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Jozi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Ćaleta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2012E">
        <w:rPr>
          <w:rFonts w:cs="Times New Roman" w:eastAsia="Times New Roman"/>
          <w:lang w:eastAsia="hr-HR" w:val="en-US"/>
        </w:rPr>
        <w:t>kao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stečajnom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sucu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2012E">
        <w:rPr>
          <w:rFonts w:cs="Times New Roman" w:eastAsia="Times New Roman"/>
          <w:lang w:eastAsia="hr-HR" w:val="en-US"/>
        </w:rPr>
        <w:t>skraćenom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stečajnom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postupku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povodom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zahtjeva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52012E">
        <w:rPr>
          <w:rFonts w:cs="Times New Roman" w:eastAsia="Times New Roman"/>
          <w:lang w:eastAsia="hr-HR" w:val="en-US"/>
        </w:rPr>
        <w:t>Regionalni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centar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52012E">
        <w:rPr>
          <w:rFonts w:cs="Times New Roman" w:eastAsia="Times New Roman"/>
          <w:lang w:eastAsia="hr-HR" w:val="en-US"/>
        </w:rPr>
        <w:t>Mažuranićevo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šetalište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52012E">
        <w:rPr>
          <w:rFonts w:cs="Times New Roman" w:eastAsia="Times New Roman"/>
          <w:lang w:eastAsia="hr-HR" w:val="en-US"/>
        </w:rPr>
        <w:t>za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provedbu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skraćenog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stečajnog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postupka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nad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Dužnikom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: INTRAFIX </w:t>
      </w:r>
      <w:proofErr w:type="spellStart"/>
      <w:r w:rsidRPr="0052012E">
        <w:rPr>
          <w:rFonts w:cs="Times New Roman" w:eastAsia="Times New Roman"/>
          <w:lang w:eastAsia="hr-HR" w:val="en-US"/>
        </w:rPr>
        <w:t>d.o.o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završni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i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obrtnički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radovi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2012E">
        <w:rPr>
          <w:rFonts w:cs="Times New Roman" w:eastAsia="Times New Roman"/>
          <w:lang w:eastAsia="hr-HR" w:val="en-US"/>
        </w:rPr>
        <w:t>građevinarstvu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i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trgovina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52012E">
        <w:rPr>
          <w:rFonts w:cs="Times New Roman" w:eastAsia="Times New Roman"/>
          <w:lang w:eastAsia="hr-HR" w:val="en-US"/>
        </w:rPr>
        <w:t>Ulica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Antuna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Gustava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Matoša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1., OIB: 59287431967., MBS: 060079026., dana 30. </w:t>
      </w:r>
      <w:proofErr w:type="spellStart"/>
      <w:r w:rsidRPr="0052012E">
        <w:rPr>
          <w:rFonts w:cs="Times New Roman" w:eastAsia="Times New Roman"/>
          <w:lang w:eastAsia="hr-HR" w:val="en-US"/>
        </w:rPr>
        <w:t>prosinca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52012E">
        <w:rPr>
          <w:rFonts w:cs="Times New Roman" w:eastAsia="Times New Roman"/>
          <w:lang w:eastAsia="hr-HR" w:val="en-US"/>
        </w:rPr>
        <w:t>godine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2012E">
        <w:rPr>
          <w:rFonts w:cs="Times New Roman" w:eastAsia="Times New Roman"/>
          <w:lang w:eastAsia="hr-HR" w:val="en-US"/>
        </w:rPr>
        <w:t>temeljem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čl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52012E">
        <w:rPr>
          <w:rFonts w:cs="Times New Roman" w:eastAsia="Times New Roman"/>
          <w:lang w:eastAsia="hr-HR" w:val="en-US"/>
        </w:rPr>
        <w:t>Stečajnog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zakona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52012E">
        <w:rPr>
          <w:rFonts w:cs="Times New Roman" w:eastAsia="Times New Roman"/>
          <w:lang w:eastAsia="hr-HR" w:val="en-US"/>
        </w:rPr>
        <w:t>Narodne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novine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broj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52012E">
        <w:rPr>
          <w:rFonts w:cs="Times New Roman" w:eastAsia="Times New Roman"/>
          <w:lang w:eastAsia="hr-HR" w:val="en-US"/>
        </w:rPr>
        <w:t>objavljuje</w:t>
      </w:r>
      <w:proofErr w:type="spellEnd"/>
      <w:r w:rsidRPr="0052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12E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52012E" w:rsidP="0052012E" w:rsidR="0052012E" w:rsidRPr="00520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012E" w:rsidP="0052012E" w:rsidR="0052012E" w:rsidRPr="0052012E">
      <w:pPr>
        <w:spacing w:after="0"/>
        <w:jc w:val="center"/>
        <w:rPr>
          <w:rFonts w:cs="Times New Roman" w:eastAsia="Calibri"/>
          <w:b/>
        </w:rPr>
      </w:pPr>
      <w:r w:rsidRPr="0052012E">
        <w:rPr>
          <w:rFonts w:cs="Times New Roman" w:eastAsia="Calibri"/>
          <w:b/>
        </w:rPr>
        <w:t>O G L A S</w:t>
      </w:r>
    </w:p>
    <w:p w:rsidRDefault="0052012E" w:rsidP="0052012E" w:rsidR="0052012E" w:rsidRPr="0052012E">
      <w:pPr>
        <w:spacing w:after="0"/>
        <w:jc w:val="both"/>
        <w:rPr>
          <w:rFonts w:cs="Times New Roman" w:eastAsia="Calibri"/>
        </w:rPr>
      </w:pPr>
    </w:p>
    <w:p w:rsidRDefault="0052012E" w:rsidP="0052012E" w:rsidR="0052012E" w:rsidRPr="0052012E">
      <w:pPr>
        <w:spacing w:after="0"/>
        <w:ind w:firstLine="708"/>
        <w:jc w:val="both"/>
        <w:rPr>
          <w:rFonts w:cs="Times New Roman" w:eastAsia="Calibri"/>
        </w:rPr>
      </w:pPr>
      <w:r w:rsidRPr="0052012E">
        <w:rPr>
          <w:rFonts w:cs="Times New Roman" w:eastAsia="Calibri"/>
          <w:b/>
        </w:rPr>
        <w:t>1)</w:t>
      </w:r>
      <w:r w:rsidRPr="0052012E">
        <w:rPr>
          <w:rFonts w:cs="Times New Roman" w:eastAsia="Calibri"/>
        </w:rPr>
        <w:t xml:space="preserve">  Dužnik:</w:t>
      </w:r>
      <w:r w:rsidRPr="0052012E">
        <w:rPr>
          <w:rFonts w:cs="Times New Roman" w:eastAsia="Calibri"/>
          <w:lang w:val="en-US"/>
        </w:rPr>
        <w:t xml:space="preserve"> INTRAFIX </w:t>
      </w:r>
      <w:proofErr w:type="spellStart"/>
      <w:r w:rsidRPr="0052012E">
        <w:rPr>
          <w:rFonts w:cs="Times New Roman" w:eastAsia="Calibri"/>
          <w:lang w:val="en-US"/>
        </w:rPr>
        <w:t>d.o.o</w:t>
      </w:r>
      <w:proofErr w:type="spellEnd"/>
      <w:r w:rsidRPr="0052012E">
        <w:rPr>
          <w:rFonts w:cs="Times New Roman" w:eastAsia="Calibri"/>
          <w:lang w:val="en-US"/>
        </w:rPr>
        <w:t xml:space="preserve"> </w:t>
      </w:r>
      <w:proofErr w:type="spellStart"/>
      <w:r w:rsidRPr="0052012E">
        <w:rPr>
          <w:rFonts w:cs="Times New Roman" w:eastAsia="Calibri"/>
          <w:lang w:val="en-US"/>
        </w:rPr>
        <w:t>završni</w:t>
      </w:r>
      <w:proofErr w:type="spellEnd"/>
      <w:r w:rsidRPr="0052012E">
        <w:rPr>
          <w:rFonts w:cs="Times New Roman" w:eastAsia="Calibri"/>
          <w:lang w:val="en-US"/>
        </w:rPr>
        <w:t xml:space="preserve"> </w:t>
      </w:r>
      <w:proofErr w:type="spellStart"/>
      <w:r w:rsidRPr="0052012E">
        <w:rPr>
          <w:rFonts w:cs="Times New Roman" w:eastAsia="Calibri"/>
          <w:lang w:val="en-US"/>
        </w:rPr>
        <w:t>i</w:t>
      </w:r>
      <w:proofErr w:type="spellEnd"/>
      <w:r w:rsidRPr="0052012E">
        <w:rPr>
          <w:rFonts w:cs="Times New Roman" w:eastAsia="Calibri"/>
          <w:lang w:val="en-US"/>
        </w:rPr>
        <w:t xml:space="preserve"> </w:t>
      </w:r>
      <w:proofErr w:type="spellStart"/>
      <w:r w:rsidRPr="0052012E">
        <w:rPr>
          <w:rFonts w:cs="Times New Roman" w:eastAsia="Calibri"/>
          <w:lang w:val="en-US"/>
        </w:rPr>
        <w:t>obrtnički</w:t>
      </w:r>
      <w:proofErr w:type="spellEnd"/>
      <w:r w:rsidRPr="0052012E">
        <w:rPr>
          <w:rFonts w:cs="Times New Roman" w:eastAsia="Calibri"/>
          <w:lang w:val="en-US"/>
        </w:rPr>
        <w:t xml:space="preserve"> </w:t>
      </w:r>
      <w:proofErr w:type="spellStart"/>
      <w:r w:rsidRPr="0052012E">
        <w:rPr>
          <w:rFonts w:cs="Times New Roman" w:eastAsia="Calibri"/>
          <w:lang w:val="en-US"/>
        </w:rPr>
        <w:t>radovi</w:t>
      </w:r>
      <w:proofErr w:type="spellEnd"/>
      <w:r w:rsidRPr="0052012E">
        <w:rPr>
          <w:rFonts w:cs="Times New Roman" w:eastAsia="Calibri"/>
          <w:lang w:val="en-US"/>
        </w:rPr>
        <w:t xml:space="preserve"> u </w:t>
      </w:r>
      <w:proofErr w:type="spellStart"/>
      <w:r w:rsidRPr="0052012E">
        <w:rPr>
          <w:rFonts w:cs="Times New Roman" w:eastAsia="Calibri"/>
          <w:lang w:val="en-US"/>
        </w:rPr>
        <w:t>građevinarstvu</w:t>
      </w:r>
      <w:proofErr w:type="spellEnd"/>
      <w:r w:rsidRPr="0052012E">
        <w:rPr>
          <w:rFonts w:cs="Times New Roman" w:eastAsia="Calibri"/>
          <w:lang w:val="en-US"/>
        </w:rPr>
        <w:t xml:space="preserve"> </w:t>
      </w:r>
      <w:proofErr w:type="spellStart"/>
      <w:r w:rsidRPr="0052012E">
        <w:rPr>
          <w:rFonts w:cs="Times New Roman" w:eastAsia="Calibri"/>
          <w:lang w:val="en-US"/>
        </w:rPr>
        <w:t>i</w:t>
      </w:r>
      <w:proofErr w:type="spellEnd"/>
      <w:r w:rsidRPr="0052012E">
        <w:rPr>
          <w:rFonts w:cs="Times New Roman" w:eastAsia="Calibri"/>
          <w:lang w:val="en-US"/>
        </w:rPr>
        <w:t xml:space="preserve"> </w:t>
      </w:r>
      <w:proofErr w:type="spellStart"/>
      <w:r w:rsidRPr="0052012E">
        <w:rPr>
          <w:rFonts w:cs="Times New Roman" w:eastAsia="Calibri"/>
          <w:lang w:val="en-US"/>
        </w:rPr>
        <w:t>trgovina</w:t>
      </w:r>
      <w:proofErr w:type="spellEnd"/>
      <w:r w:rsidRPr="0052012E">
        <w:rPr>
          <w:rFonts w:cs="Times New Roman" w:eastAsia="Calibri"/>
          <w:lang w:val="en-US"/>
        </w:rPr>
        <w:t xml:space="preserve">, Split, </w:t>
      </w:r>
      <w:proofErr w:type="spellStart"/>
      <w:r w:rsidRPr="0052012E">
        <w:rPr>
          <w:rFonts w:cs="Times New Roman" w:eastAsia="Calibri"/>
          <w:lang w:val="en-US"/>
        </w:rPr>
        <w:t>Ulica</w:t>
      </w:r>
      <w:proofErr w:type="spellEnd"/>
      <w:r w:rsidRPr="0052012E">
        <w:rPr>
          <w:rFonts w:cs="Times New Roman" w:eastAsia="Calibri"/>
          <w:lang w:val="en-US"/>
        </w:rPr>
        <w:t xml:space="preserve"> </w:t>
      </w:r>
      <w:proofErr w:type="spellStart"/>
      <w:r w:rsidRPr="0052012E">
        <w:rPr>
          <w:rFonts w:cs="Times New Roman" w:eastAsia="Calibri"/>
          <w:lang w:val="en-US"/>
        </w:rPr>
        <w:t>Antuna</w:t>
      </w:r>
      <w:proofErr w:type="spellEnd"/>
      <w:r w:rsidRPr="0052012E">
        <w:rPr>
          <w:rFonts w:cs="Times New Roman" w:eastAsia="Calibri"/>
          <w:lang w:val="en-US"/>
        </w:rPr>
        <w:t xml:space="preserve"> </w:t>
      </w:r>
      <w:proofErr w:type="spellStart"/>
      <w:r w:rsidRPr="0052012E">
        <w:rPr>
          <w:rFonts w:cs="Times New Roman" w:eastAsia="Calibri"/>
          <w:lang w:val="en-US"/>
        </w:rPr>
        <w:t>Gustava</w:t>
      </w:r>
      <w:proofErr w:type="spellEnd"/>
      <w:r w:rsidRPr="0052012E">
        <w:rPr>
          <w:rFonts w:cs="Times New Roman" w:eastAsia="Calibri"/>
          <w:lang w:val="en-US"/>
        </w:rPr>
        <w:t xml:space="preserve"> </w:t>
      </w:r>
      <w:proofErr w:type="spellStart"/>
      <w:r w:rsidRPr="0052012E">
        <w:rPr>
          <w:rFonts w:cs="Times New Roman" w:eastAsia="Calibri"/>
          <w:lang w:val="en-US"/>
        </w:rPr>
        <w:t>Matoša</w:t>
      </w:r>
      <w:proofErr w:type="spellEnd"/>
      <w:r w:rsidRPr="0052012E">
        <w:rPr>
          <w:rFonts w:cs="Times New Roman" w:eastAsia="Calibri"/>
          <w:lang w:val="en-US"/>
        </w:rPr>
        <w:t xml:space="preserve"> 1., OIB: 59287431967., MBS: 060079026., </w:t>
      </w:r>
      <w:proofErr w:type="spellStart"/>
      <w:r w:rsidRPr="0052012E">
        <w:rPr>
          <w:rFonts w:cs="Times New Roman" w:eastAsia="Calibri"/>
          <w:lang w:val="en-US"/>
        </w:rPr>
        <w:t>na</w:t>
      </w:r>
      <w:proofErr w:type="spellEnd"/>
      <w:r w:rsidRPr="0052012E">
        <w:rPr>
          <w:rFonts w:cs="Times New Roman" w:eastAsia="Calibri"/>
          <w:lang w:val="en-US"/>
        </w:rPr>
        <w:t xml:space="preserve"> </w:t>
      </w:r>
      <w:proofErr w:type="spellStart"/>
      <w:r w:rsidRPr="0052012E">
        <w:rPr>
          <w:rFonts w:cs="Times New Roman" w:eastAsia="Calibri"/>
          <w:lang w:val="en-US"/>
        </w:rPr>
        <w:t>dan</w:t>
      </w:r>
      <w:proofErr w:type="spellEnd"/>
      <w:r w:rsidRPr="0052012E">
        <w:rPr>
          <w:rFonts w:cs="Times New Roman" w:eastAsia="Calibri"/>
          <w:lang w:val="en-US"/>
        </w:rPr>
        <w:t xml:space="preserve"> 22. </w:t>
      </w:r>
      <w:proofErr w:type="spellStart"/>
      <w:r w:rsidRPr="0052012E">
        <w:rPr>
          <w:rFonts w:cs="Times New Roman" w:eastAsia="Calibri"/>
          <w:lang w:val="en-US"/>
        </w:rPr>
        <w:t>prosinca</w:t>
      </w:r>
      <w:proofErr w:type="spellEnd"/>
      <w:r w:rsidRPr="0052012E">
        <w:rPr>
          <w:rFonts w:cs="Times New Roman" w:eastAsia="Calibri"/>
          <w:lang w:val="en-US"/>
        </w:rPr>
        <w:t xml:space="preserve"> 2016. </w:t>
      </w:r>
      <w:proofErr w:type="spellStart"/>
      <w:r w:rsidRPr="0052012E">
        <w:rPr>
          <w:rFonts w:cs="Times New Roman" w:eastAsia="Calibri"/>
          <w:lang w:val="en-US"/>
        </w:rPr>
        <w:t>godine</w:t>
      </w:r>
      <w:proofErr w:type="spellEnd"/>
      <w:r w:rsidRPr="0052012E">
        <w:rPr>
          <w:rFonts w:cs="Times New Roman" w:eastAsia="Calibri"/>
          <w:lang w:val="en-US"/>
        </w:rPr>
        <w:t xml:space="preserve"> u </w:t>
      </w:r>
      <w:r w:rsidRPr="0052012E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50.764,07 kuna. </w:t>
      </w:r>
    </w:p>
    <w:p w:rsidRDefault="0052012E" w:rsidP="0052012E" w:rsidR="0052012E" w:rsidRPr="0052012E">
      <w:pPr>
        <w:spacing w:after="0"/>
        <w:ind w:firstLine="708"/>
        <w:jc w:val="both"/>
        <w:rPr>
          <w:rFonts w:cs="Times New Roman" w:eastAsia="Calibri"/>
        </w:rPr>
      </w:pPr>
      <w:r w:rsidRPr="0052012E">
        <w:rPr>
          <w:rFonts w:cs="Times New Roman" w:eastAsia="Calibri"/>
          <w:b/>
        </w:rPr>
        <w:t>2)</w:t>
      </w:r>
      <w:r w:rsidRPr="0052012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2012E" w:rsidP="0052012E" w:rsidR="0052012E" w:rsidRPr="0052012E">
      <w:pPr>
        <w:spacing w:after="0"/>
        <w:ind w:firstLine="708"/>
        <w:jc w:val="both"/>
        <w:rPr>
          <w:rFonts w:cs="Times New Roman" w:eastAsia="Calibri"/>
        </w:rPr>
      </w:pPr>
      <w:r w:rsidRPr="0052012E">
        <w:rPr>
          <w:rFonts w:cs="Times New Roman" w:eastAsia="Calibri"/>
          <w:b/>
        </w:rPr>
        <w:t>3)</w:t>
      </w:r>
      <w:r w:rsidRPr="0052012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2012E" w:rsidP="0052012E" w:rsidR="0052012E" w:rsidRPr="0052012E">
      <w:pPr>
        <w:spacing w:after="0"/>
        <w:ind w:firstLine="708"/>
        <w:jc w:val="both"/>
        <w:rPr>
          <w:rFonts w:cs="Times New Roman" w:eastAsia="Calibri"/>
        </w:rPr>
      </w:pPr>
      <w:r w:rsidRPr="0052012E">
        <w:rPr>
          <w:rFonts w:cs="Times New Roman" w:eastAsia="Calibri"/>
          <w:b/>
        </w:rPr>
        <w:t>4)</w:t>
      </w:r>
      <w:r w:rsidRPr="0052012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2012E" w:rsidP="0052012E" w:rsidR="0052012E" w:rsidRPr="0052012E">
      <w:pPr>
        <w:spacing w:after="0"/>
        <w:ind w:firstLine="708"/>
        <w:jc w:val="both"/>
        <w:rPr>
          <w:rFonts w:cs="Times New Roman" w:eastAsia="Calibri"/>
        </w:rPr>
      </w:pPr>
      <w:r w:rsidRPr="0052012E">
        <w:rPr>
          <w:rFonts w:cs="Times New Roman" w:eastAsia="Calibri"/>
          <w:b/>
        </w:rPr>
        <w:t>5)</w:t>
      </w:r>
      <w:r w:rsidRPr="0052012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2012E" w:rsidP="0052012E" w:rsidR="0052012E" w:rsidRPr="005201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012E" w:rsidP="0052012E" w:rsidR="0052012E" w:rsidRPr="0052012E">
      <w:pPr>
        <w:spacing w:after="0"/>
        <w:jc w:val="center"/>
        <w:rPr>
          <w:rFonts w:cs="Times New Roman" w:eastAsia="Times New Roman"/>
          <w:lang w:eastAsia="hr-HR"/>
        </w:rPr>
      </w:pPr>
      <w:r w:rsidRPr="0052012E">
        <w:rPr>
          <w:rFonts w:cs="Times New Roman" w:eastAsia="Times New Roman"/>
          <w:lang w:eastAsia="hr-HR"/>
        </w:rPr>
        <w:t>(Oglas broj: 14. St-2095/2016., od 30. prosinca 2016. godine.).</w:t>
      </w:r>
    </w:p>
    <w:p w:rsidRDefault="0052012E" w:rsidP="0052012E" w:rsidR="0052012E" w:rsidRPr="00520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012E" w:rsidP="0052012E" w:rsidR="0052012E" w:rsidRPr="00520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012E" w:rsidP="0052012E" w:rsidR="0052012E" w:rsidRPr="0052012E">
      <w:pPr>
        <w:spacing w:after="0"/>
        <w:jc w:val="both"/>
        <w:rPr>
          <w:rFonts w:cs="Times New Roman" w:eastAsia="Times New Roman"/>
          <w:lang w:eastAsia="hr-HR"/>
        </w:rPr>
      </w:pPr>
      <w:r w:rsidRPr="0052012E">
        <w:rPr>
          <w:rFonts w:cs="Times New Roman" w:eastAsia="Times New Roman"/>
          <w:lang w:eastAsia="hr-HR"/>
        </w:rPr>
        <w:t xml:space="preserve">DNA:  </w:t>
      </w:r>
      <w:r w:rsidRPr="0052012E">
        <w:rPr>
          <w:rFonts w:cs="Times New Roman" w:eastAsia="Times New Roman"/>
          <w:b/>
          <w:lang w:eastAsia="hr-HR"/>
        </w:rPr>
        <w:t>1)</w:t>
      </w:r>
      <w:r w:rsidRPr="0052012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2012E" w:rsidP="0052012E" w:rsidR="0052012E" w:rsidRPr="0052012E">
      <w:pPr>
        <w:spacing w:after="0"/>
        <w:jc w:val="both"/>
        <w:rPr>
          <w:rFonts w:cs="Times New Roman" w:eastAsia="Times New Roman"/>
          <w:lang w:eastAsia="hr-HR"/>
        </w:rPr>
      </w:pPr>
      <w:r w:rsidRPr="0052012E">
        <w:rPr>
          <w:rFonts w:cs="Times New Roman" w:eastAsia="Times New Roman"/>
          <w:lang w:eastAsia="hr-HR"/>
        </w:rPr>
        <w:t xml:space="preserve">            </w:t>
      </w:r>
      <w:r w:rsidRPr="0052012E">
        <w:rPr>
          <w:rFonts w:cs="Times New Roman" w:eastAsia="Times New Roman"/>
          <w:b/>
          <w:lang w:eastAsia="hr-HR"/>
        </w:rPr>
        <w:t>2)</w:t>
      </w:r>
      <w:r w:rsidRPr="0052012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2012E" w:rsidP="0052012E" w:rsidR="0052012E" w:rsidRPr="0052012E">
      <w:pPr>
        <w:spacing w:after="0"/>
        <w:jc w:val="both"/>
        <w:rPr>
          <w:rFonts w:cs="Times New Roman" w:eastAsia="Times New Roman"/>
          <w:lang w:eastAsia="hr-HR"/>
        </w:rPr>
      </w:pPr>
      <w:r w:rsidRPr="0052012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12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37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St-2095/2016-4</izvorni_sadrzaj>
    <derivirana_varijabla naziv="DomainObject.Oznaka_1">St-2095/2016-4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2095</izvorni_sadrzaj>
    <derivirana_varijabla naziv="DomainObject.Predmet.Broj_1">2095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St-2095/2016</izvorni_sadrzaj>
    <derivirana_varijabla naziv="DomainObject.Predmet.OznakaBroj_1">St-2095/2016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INTRAFIX d.o.o. završni i obrtnički radovi u građevinarstvu i trgovina</izvorni_sadrzaj>
    <derivirana_varijabla naziv="DomainObject.Predmet.ProtustrankaFormated_1">  INTRAFIX d.o.o. završni i obrtnički radovi u građevinarstvu i trgovina</derivirana_varijabla>
  </DomainObject.Predmet.ProtustrankaFormated>
  <DomainObject.Predmet.ProtustrankaFormatedOIB>
    <izvorni_sadrzaj>  INTRAFIX d.o.o. završni i obrtnički radovi u građevinarstvu i trgovina, OIB 59287431967</izvorni_sadrzaj>
    <derivirana_varijabla naziv="DomainObject.Predmet.ProtustrankaFormatedOIB_1">  INTRAFIX d.o.o. završni i obrtnički radovi u građevinarstvu i trgovina, OIB 59287431967</derivirana_varijabla>
  </DomainObject.Predmet.ProtustrankaFormatedOIB>
  <DomainObject.Predmet.ProtustrankaFormatedWithAdress>
    <izvorni_sadrzaj> INTRAFIX d.o.o. završni i obrtnički radovi u građevinarstvu i trgovina, Ulica Antuna Gustava Matoša 1, 21000 Split</izvorni_sadrzaj>
    <derivirana_varijabla naziv="DomainObject.Predmet.ProtustrankaFormatedWithAdress_1"> INTRAFIX d.o.o. završni i obrtnički radovi u građevinarstvu i trgovina, Ulica Antuna Gustava Matoša 1, 21000 Split</derivirana_varijabla>
  </DomainObject.Predmet.ProtustrankaFormatedWithAdress>
  <DomainObject.Predmet.ProtustrankaFormatedWithAdressOIB>
    <izvorni_sadrzaj> INTRAFIX d.o.o. završni i obrtnički radovi u građevinarstvu i trgovina, OIB 59287431967, Ulica Antuna Gustava Matoša 1, 21000 Split</izvorni_sadrzaj>
    <derivirana_varijabla naziv="DomainObject.Predmet.ProtustrankaFormatedWithAdressOIB_1"> INTRAFIX d.o.o. završni i obrtnički radovi u građevinarstvu i trgovina, OIB 59287431967, Ulica Antuna Gustava Matoša 1, 21000 Split</derivirana_varijabla>
  </DomainObject.Predmet.ProtustrankaFormatedWithAdressOIB>
  <DomainObject.Predmet.ProtustrankaWithAdress>
    <izvorni_sadrzaj>INTRAFIX d.o.o. završni i obrtnički radovi u građevinarstvu i trgovina Ulica Antuna Gustava Matoša 1, 21000 Split</izvorni_sadrzaj>
    <derivirana_varijabla naziv="DomainObject.Predmet.ProtustrankaWithAdress_1">INTRAFIX d.o.o. završni i obrtnički radovi u građevinarstvu i trgovina Ulica Antuna Gustava Matoša 1, 21000 Split</derivirana_varijabla>
  </DomainObject.Predmet.ProtustrankaWithAdress>
  <DomainObject.Predmet.ProtustrankaWithAdressOIB>
    <izvorni_sadrzaj>INTRAFIX d.o.o. završni i obrtnički radovi u građevinarstvu i trgovina, OIB 59287431967, Ulica Antuna Gustava Matoša 1, 21000 Split</izvorni_sadrzaj>
    <derivirana_varijabla naziv="DomainObject.Predmet.ProtustrankaWithAdressOIB_1">INTRAFIX d.o.o. završni i obrtnički radovi u građevinarstvu i trgovina, OIB 59287431967, Ulica Antuna Gustava Matoša 1, 21000 Split</derivirana_varijabla>
  </DomainObject.Predmet.ProtustrankaWithAdressOIB>
  <DomainObject.Predmet.ProtustrankaNazivFormated>
    <izvorni_sadrzaj>INTRAFIX d.o.o. završni i obrtnički radovi u građevinarstvu i trgovina</izvorni_sadrzaj>
    <derivirana_varijabla naziv="DomainObject.Predmet.ProtustrankaNazivFormated_1">INTRAFIX d.o.o. završni i obrtnički radovi u građevinarstvu i trgovina</derivirana_varijabla>
  </DomainObject.Predmet.ProtustrankaNazivFormated>
  <DomainObject.Predmet.ProtustrankaNazivFormatedOIB>
    <izvorni_sadrzaj>INTRAFIX d.o.o. završni i obrtnički radovi u građevinarstvu i trgovina, OIB 59287431967</izvorni_sadrzaj>
    <derivirana_varijabla naziv="DomainObject.Predmet.ProtustrankaNazivFormatedOIB_1">INTRAFIX d.o.o. završni i obrtnički radovi u građevinarstvu i trgovina, OIB 59287431967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50764.07</izvorni_sadrzaj>
    <derivirana_varijabla naziv="DomainObject.Predmet.TrenutnaVrijednost_1">50764.07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INTRAFIX d.o.o. završni i obrtnički radovi u građevinarstvu i trgovina</item>
    </izvorni_sadrzaj>
    <derivirana_varijabla naziv="DomainObject.Predmet.ProtuStrankaListFormated_1">
      <item>INTRAFIX d.o.o. završni i obrtnički radovi u građevinarstvu i trgovina</item>
    </derivirana_varijabla>
  </DomainObject.Predmet.ProtuStrankaListFormated>
  <DomainObject.Predmet.ProtuStrankaListFormatedOIB>
    <izvorni_sadrzaj>
      <item>INTRAFIX d.o.o. završni i obrtnički radovi u građevinarstvu i trgovina, OIB 59287431967</item>
    </izvorni_sadrzaj>
    <derivirana_varijabla naziv="DomainObject.Predmet.ProtuStrankaListFormatedOIB_1">
      <item>INTRAFIX d.o.o. završni i obrtnički radovi u građevinarstvu i trgovina, OIB 59287431967</item>
    </derivirana_varijabla>
  </DomainObject.Predmet.ProtuStrankaListFormatedOIB>
  <DomainObject.Predmet.ProtuStrankaListFormatedWithAdress>
    <izvorni_sadrzaj>
      <item>INTRAFIX d.o.o. završni i obrtnički radovi u građevinarstvu i trgovina, Ulica Antuna Gustava Matoša 1, 21000 Split</item>
    </izvorni_sadrzaj>
    <derivirana_varijabla naziv="DomainObject.Predmet.ProtuStrankaListFormatedWithAdress_1">
      <item>INTRAFIX d.o.o. završni i obrtnički radovi u građevinarstvu i trgovina, Ulica Antuna Gustava Matoša 1, 21000 Split</item>
    </derivirana_varijabla>
  </DomainObject.Predmet.ProtuStrankaListFormatedWithAdress>
  <DomainObject.Predmet.ProtuStrankaListFormatedWithAdressOIB>
    <izvorni_sadrzaj>
      <item>INTRAFIX d.o.o. završni i obrtnički radovi u građevinarstvu i trgovina, OIB 59287431967, Ulica Antuna Gustava Matoša 1, 21000 Split</item>
    </izvorni_sadrzaj>
    <derivirana_varijabla naziv="DomainObject.Predmet.ProtuStrankaListFormatedWithAdressOIB_1">
      <item>INTRAFIX d.o.o. završni i obrtnički radovi u građevinarstvu i trgovina, OIB 59287431967, Ulica Antuna Gustava Matoša 1, 21000 Split</item>
    </derivirana_varijabla>
  </DomainObject.Predmet.ProtuStrankaListFormatedWithAdressOIB>
  <DomainObject.Predmet.ProtuStrankaListNazivFormated>
    <izvorni_sadrzaj>
      <item>INTRAFIX d.o.o. završni i obrtnički radovi u građevinarstvu i trgovina</item>
    </izvorni_sadrzaj>
    <derivirana_varijabla naziv="DomainObject.Predmet.ProtuStrankaListNazivFormated_1">
      <item>INTRAFIX d.o.o. završni i obrtnički radovi u građevinarstvu i trgovina</item>
    </derivirana_varijabla>
  </DomainObject.Predmet.ProtuStrankaListNazivFormated>
  <DomainObject.Predmet.ProtuStrankaListNazivFormatedOIB>
    <izvorni_sadrzaj>
      <item>INTRAFIX d.o.o. završni i obrtnički radovi u građevinarstvu i trgovina, OIB 59287431967</item>
    </izvorni_sadrzaj>
    <derivirana_varijabla naziv="DomainObject.Predmet.ProtuStrankaListNazivFormatedOIB_1">
      <item>INTRAFIX d.o.o. završni i obrtnički radovi u građevinarstvu i trgovina, OIB 59287431967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St-2095/2016-4</izvorni_sadrzaj>
    <derivirana_varijabla naziv="DomainObject.PoslovniBrojDokumenta_1">St-2095/2016-4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INTRAFIX d.o.o. završni i obrtnički radovi u građevinarstvu i trgovina</izvorni_sadrzaj>
    <derivirana_varijabla naziv="DomainObject.Predmet.ProtustrankaIDrugi_1">INTRAFIX d.o.o. završni i obrtnički radovi u građevinarstvu i trgovina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INTRAFIX d.o.o. završni i obrtnički radovi u građevinarstvu i trgovina, OIB 59287431967, Ulica Antuna Gustava Matoša 1, 21000 Split</izvorni_sadrzaj>
    <derivirana_varijabla naziv="DomainObject.Predmet.ProtustrankaIDrugiAdressOIB_1">INTRAFIX d.o.o. završni i obrtnički radovi u građevinarstvu i trgovina, OIB 59287431967, Ulica Antuna Gustava Matoša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INTRAFIX d.o.o. završni i obrtnički radovi u građevinarstvu i trgovina</item>
      <item>FINANCIJSKA AGENCIJA, RC SPLIT</item>
    </izvorni_sadrzaj>
    <derivirana_varijabla naziv="DomainObject.Predmet.SudioniciListNaziv_1">
      <item>INTRAFIX d.o.o. završni i obrtnički radovi u građevinarstvu i trgovina</item>
      <item>FINANCIJSKA AGENCIJA, RC SPLIT</item>
    </derivirana_varijabla>
  </DomainObject.Predmet.SudioniciListNaziv>
  <DomainObject.Predmet.SudioniciListAdressOIB>
    <izvorni_sadrzaj>
      <item>INTRAFIX d.o.o. završni i obrtnički radovi u građevinarstvu i trgovina, OIB 59287431967, Ulica Antuna Gustava Matoša 1,21000 Split</item>
      <item>FINANCIJSKA AGENCIJA, RC SPLIT, OIB 85821130368, Mažuranićevo šetalište 24 b,21000 Split</item>
    </izvorni_sadrzaj>
    <derivirana_varijabla naziv="DomainObject.Predmet.SudioniciListAdressOIB_1">
      <item>INTRAFIX d.o.o. završni i obrtnički radovi u građevinarstvu i trgovina, OIB 59287431967, Ulica Antuna Gustava Matoša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7F5F8-81A3-49AF-AB15-5C7E804E6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2216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2016-12-30T08:46:00Z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St-2095/2016-4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