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2520" w14:paraId="e57252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D4B23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>Trgovački s</w:t>
      </w:r>
      <w:r w:rsidR="0041550C">
        <w:rPr>
          <w:rFonts w:hAnsi="Times New Roman" w:ascii="Times New Roman"/>
          <w:szCs w:val="24"/>
          <w:lang w:val="hr-HR"/>
        </w:rPr>
        <w:t>ud u Zagrebu po sucu pojedincu Nadi Nekić Plevko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C7839" w:rsidRPr="005C7839">
        <w:rPr>
          <w:rFonts w:hAnsi="Times New Roman" w:ascii="Times New Roman"/>
          <w:szCs w:val="24"/>
          <w:lang w:val="hr-HR"/>
        </w:rPr>
        <w:t xml:space="preserve">TECRA </w:t>
      </w:r>
      <w:r w:rsidR="005C7839">
        <w:rPr>
          <w:rFonts w:hAnsi="Times New Roman" w:ascii="Times New Roman"/>
          <w:szCs w:val="24"/>
          <w:lang w:val="hr-HR"/>
        </w:rPr>
        <w:t>d.o.o.</w:t>
      </w:r>
      <w:r w:rsidR="005C7839" w:rsidRPr="005C7839">
        <w:rPr>
          <w:rFonts w:hAnsi="Times New Roman" w:ascii="Times New Roman"/>
          <w:szCs w:val="24"/>
          <w:lang w:val="hr-HR"/>
        </w:rPr>
        <w:t xml:space="preserve"> za građenje, trgovinu i usluge</w:t>
      </w:r>
      <w:r w:rsidR="0041550C">
        <w:rPr>
          <w:rFonts w:hAnsi="Times New Roman" w:ascii="Times New Roman"/>
          <w:szCs w:val="24"/>
          <w:lang w:val="hr-HR"/>
        </w:rPr>
        <w:t xml:space="preserve">, </w:t>
      </w:r>
      <w:r w:rsidR="005C7839">
        <w:rPr>
          <w:rFonts w:hAnsi="Times New Roman" w:ascii="Times New Roman"/>
          <w:szCs w:val="24"/>
          <w:lang w:val="hr-HR"/>
        </w:rPr>
        <w:t xml:space="preserve">OIB: </w:t>
      </w:r>
      <w:r w:rsidR="005C7839" w:rsidRPr="005C7839">
        <w:rPr>
          <w:rFonts w:hAnsi="Times New Roman" w:ascii="Times New Roman"/>
          <w:szCs w:val="24"/>
          <w:lang w:val="hr-HR"/>
        </w:rPr>
        <w:t>65590005239</w:t>
      </w:r>
      <w:r w:rsidR="005C7839">
        <w:rPr>
          <w:rFonts w:hAnsi="Times New Roman" w:ascii="Times New Roman"/>
          <w:szCs w:val="24"/>
          <w:lang w:val="hr-HR"/>
        </w:rPr>
        <w:t xml:space="preserve">, Zagreb (Grad Zagreb), Preradovićeva 19,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3D4B23">
        <w:rPr>
          <w:rFonts w:hAnsi="Times New Roman" w:ascii="Times New Roman"/>
          <w:szCs w:val="24"/>
          <w:lang w:val="hr-HR"/>
        </w:rPr>
        <w:t>02. kolovoza 2016.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1177" w:rsidP="00921177" w:rsidR="00921177" w:rsidRPr="009211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>Obustavlja se skraćeni</w:t>
      </w:r>
      <w:r w:rsidR="005C7839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5C7839" w:rsidRPr="005C7839">
        <w:rPr>
          <w:rFonts w:hAnsi="Times New Roman" w:ascii="Times New Roman"/>
          <w:szCs w:val="24"/>
          <w:lang w:val="hr-HR"/>
        </w:rPr>
        <w:t xml:space="preserve">TECRA </w:t>
      </w:r>
      <w:r w:rsidR="005C7839">
        <w:rPr>
          <w:rFonts w:hAnsi="Times New Roman" w:ascii="Times New Roman"/>
          <w:szCs w:val="24"/>
          <w:lang w:val="hr-HR"/>
        </w:rPr>
        <w:t>d.o.o.</w:t>
      </w:r>
      <w:r w:rsidR="005C7839" w:rsidRPr="005C7839">
        <w:rPr>
          <w:rFonts w:hAnsi="Times New Roman" w:ascii="Times New Roman"/>
          <w:szCs w:val="24"/>
          <w:lang w:val="hr-HR"/>
        </w:rPr>
        <w:t xml:space="preserve"> za građenje, trgovinu i usluge</w:t>
      </w:r>
      <w:r w:rsidR="005C7839">
        <w:rPr>
          <w:rFonts w:hAnsi="Times New Roman" w:ascii="Times New Roman"/>
          <w:szCs w:val="24"/>
          <w:lang w:val="hr-HR"/>
        </w:rPr>
        <w:t xml:space="preserve">, OIB: </w:t>
      </w:r>
      <w:r w:rsidR="005C7839" w:rsidRPr="005C7839">
        <w:rPr>
          <w:rFonts w:hAnsi="Times New Roman" w:ascii="Times New Roman"/>
          <w:szCs w:val="24"/>
          <w:lang w:val="hr-HR"/>
        </w:rPr>
        <w:t>65590005239</w:t>
      </w:r>
      <w:r w:rsidR="005C7839">
        <w:rPr>
          <w:rFonts w:hAnsi="Times New Roman" w:ascii="Times New Roman"/>
          <w:szCs w:val="24"/>
          <w:lang w:val="hr-HR"/>
        </w:rPr>
        <w:t>, Zagreb (Grad Zagreb), Preradovićeva</w:t>
      </w:r>
      <w:r w:rsidR="005B0AAF">
        <w:rPr>
          <w:rFonts w:hAnsi="Times New Roman" w:ascii="Times New Roman"/>
          <w:szCs w:val="24"/>
          <w:lang w:val="hr-HR"/>
        </w:rPr>
        <w:t xml:space="preserve"> 19</w:t>
      </w:r>
      <w:r w:rsidR="0041550C">
        <w:rPr>
          <w:rFonts w:hAnsi="Times New Roman" w:ascii="Times New Roman"/>
          <w:szCs w:val="24"/>
          <w:lang w:val="hr-HR"/>
        </w:rPr>
        <w:t>.</w:t>
      </w:r>
    </w:p>
    <w:p w:rsidRDefault="00921177" w:rsidP="00921177" w:rsidR="00921177" w:rsidRPr="0041550C">
      <w:pPr>
        <w:jc w:val="both"/>
        <w:rPr>
          <w:rFonts w:hAnsi="Times New Roman" w:ascii="Times New Roman"/>
          <w:szCs w:val="24"/>
          <w:lang w:val="hr-HR"/>
        </w:rPr>
      </w:pPr>
    </w:p>
    <w:p w:rsidRDefault="00921177" w:rsidP="00921177" w:rsidR="00921177" w:rsidRPr="0041550C">
      <w:pPr>
        <w:jc w:val="center"/>
        <w:rPr>
          <w:rFonts w:hAnsi="Times New Roman" w:ascii="Times New Roman"/>
          <w:szCs w:val="24"/>
          <w:lang w:val="hr-HR"/>
        </w:rPr>
      </w:pPr>
      <w:r w:rsidRPr="0041550C">
        <w:rPr>
          <w:rFonts w:hAnsi="Times New Roman" w:ascii="Times New Roman"/>
          <w:szCs w:val="24"/>
          <w:lang w:val="hr-HR"/>
        </w:rPr>
        <w:t>Obrazloženje</w:t>
      </w:r>
    </w:p>
    <w:p w:rsidRDefault="00921177" w:rsidP="00921177" w:rsidR="00921177" w:rsidRPr="0041550C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812A05" w:rsidR="00812A05" w:rsidRPr="004155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prijedlogu Financijske agencije, Regionalni </w:t>
      </w:r>
      <w:r w:rsidRPr="00B31C61">
        <w:rPr>
          <w:rFonts w:hAnsi="Times New Roman" w:ascii="Times New Roman"/>
          <w:szCs w:val="24"/>
          <w:lang w:val="hr-HR"/>
        </w:rPr>
        <w:t xml:space="preserve">centar </w:t>
      </w:r>
      <w:r w:rsidR="0041550C" w:rsidRPr="00B31C61">
        <w:rPr>
          <w:rFonts w:hAnsi="Times New Roman" w:ascii="Times New Roman"/>
          <w:szCs w:val="24"/>
          <w:lang w:val="hr-HR"/>
        </w:rPr>
        <w:t>Zagreb,</w:t>
      </w:r>
      <w:r w:rsidR="00B31C61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Pr="00B31C6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ovaj je sud rješenjem </w:t>
      </w:r>
      <w:r w:rsidR="0041550C">
        <w:rPr>
          <w:rFonts w:hAnsi="Times New Roman" w:ascii="Times New Roman"/>
          <w:szCs w:val="24"/>
          <w:lang w:val="hr-HR"/>
        </w:rPr>
        <w:t>St-</w:t>
      </w:r>
      <w:r w:rsidR="00DC7CBB">
        <w:rPr>
          <w:rFonts w:hAnsi="Times New Roman" w:ascii="Times New Roman"/>
          <w:szCs w:val="24"/>
          <w:lang w:val="hr-HR"/>
        </w:rPr>
        <w:t>1610</w:t>
      </w:r>
      <w:r w:rsidR="0041550C">
        <w:rPr>
          <w:rFonts w:hAnsi="Times New Roman" w:ascii="Times New Roman"/>
          <w:szCs w:val="24"/>
          <w:lang w:val="hr-HR"/>
        </w:rPr>
        <w:t>/15</w:t>
      </w:r>
      <w:r w:rsidR="00B31C61">
        <w:rPr>
          <w:rFonts w:hAnsi="Times New Roman" w:ascii="Times New Roman"/>
          <w:szCs w:val="24"/>
          <w:lang w:val="hr-HR"/>
        </w:rPr>
        <w:t xml:space="preserve"> od 11. prosinca 2015. godine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</w:t>
      </w:r>
      <w:r w:rsidR="0041550C">
        <w:rPr>
          <w:rFonts w:hAnsi="Times New Roman" w:ascii="Times New Roman"/>
          <w:szCs w:val="24"/>
          <w:lang w:val="hr-HR"/>
        </w:rPr>
        <w:t>anka 428. i 429. Stečajnog zakona ("Narodne novine" 71/15; dalje SZ)</w:t>
      </w:r>
      <w:r w:rsidR="00B178A8">
        <w:rPr>
          <w:rFonts w:hAnsi="Times New Roman" w:ascii="Times New Roman"/>
          <w:szCs w:val="24"/>
          <w:lang w:val="hr-HR"/>
        </w:rPr>
        <w:t>, po</w:t>
      </w:r>
      <w:r>
        <w:rPr>
          <w:rFonts w:hAnsi="Times New Roman" w:ascii="Times New Roman"/>
          <w:szCs w:val="24"/>
          <w:lang w:val="hr-HR"/>
        </w:rPr>
        <w:t xml:space="preserve">sebnim zaključkom 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 xml:space="preserve">dostaviti javnobilježnički ovjerovljeni popis imovine i obveza, </w:t>
      </w:r>
      <w:r w:rsidR="0041550C">
        <w:rPr>
          <w:rFonts w:hAnsi="Times New Roman" w:ascii="Times New Roman"/>
          <w:szCs w:val="24"/>
          <w:lang w:val="hr-HR"/>
        </w:rPr>
        <w:t>te temeljem članka 13.,</w:t>
      </w:r>
      <w:r w:rsidR="00B178A8">
        <w:rPr>
          <w:rFonts w:hAnsi="Times New Roman" w:ascii="Times New Roman"/>
          <w:szCs w:val="24"/>
          <w:lang w:val="hr-HR"/>
        </w:rPr>
        <w:t xml:space="preserve"> 17.</w:t>
      </w:r>
      <w:r w:rsidR="00B31C61">
        <w:rPr>
          <w:rFonts w:hAnsi="Times New Roman" w:ascii="Times New Roman"/>
          <w:szCs w:val="24"/>
          <w:lang w:val="hr-HR"/>
        </w:rPr>
        <w:t xml:space="preserve">, </w:t>
      </w:r>
      <w:r w:rsidR="00B178A8">
        <w:rPr>
          <w:rFonts w:hAnsi="Times New Roman" w:ascii="Times New Roman"/>
          <w:szCs w:val="24"/>
          <w:lang w:val="hr-HR"/>
        </w:rPr>
        <w:t>117.</w:t>
      </w:r>
      <w:r w:rsidR="0041550C">
        <w:rPr>
          <w:rFonts w:hAnsi="Times New Roman" w:ascii="Times New Roman"/>
          <w:szCs w:val="24"/>
          <w:lang w:val="hr-HR"/>
        </w:rPr>
        <w:t xml:space="preserve"> stavak 3</w:t>
      </w:r>
      <w:r w:rsidR="00B31C61">
        <w:rPr>
          <w:rFonts w:hAnsi="Times New Roman" w:ascii="Times New Roman"/>
          <w:szCs w:val="24"/>
          <w:lang w:val="hr-HR"/>
        </w:rPr>
        <w:t>.</w:t>
      </w:r>
      <w:r w:rsidR="0041550C">
        <w:rPr>
          <w:rFonts w:hAnsi="Times New Roman" w:ascii="Times New Roman"/>
          <w:szCs w:val="24"/>
          <w:lang w:val="hr-HR"/>
        </w:rPr>
        <w:t xml:space="preserve"> i </w:t>
      </w:r>
      <w:r w:rsidR="00B31C61">
        <w:rPr>
          <w:rFonts w:hAnsi="Times New Roman" w:ascii="Times New Roman"/>
          <w:szCs w:val="24"/>
          <w:lang w:val="hr-HR"/>
        </w:rPr>
        <w:t xml:space="preserve">članka </w:t>
      </w:r>
      <w:r w:rsidR="0041550C">
        <w:rPr>
          <w:rFonts w:hAnsi="Times New Roman" w:ascii="Times New Roman"/>
          <w:szCs w:val="24"/>
          <w:lang w:val="hr-HR"/>
        </w:rPr>
        <w:t>430. SZ-a</w:t>
      </w:r>
      <w:r w:rsidR="00B31C61">
        <w:rPr>
          <w:rFonts w:hAnsi="Times New Roman" w:ascii="Times New Roman"/>
          <w:szCs w:val="24"/>
          <w:lang w:val="hr-HR"/>
        </w:rPr>
        <w:t xml:space="preserve"> posebnim zaključkom pozvao dužnikove vjerovnike </w:t>
      </w:r>
      <w:r>
        <w:rPr>
          <w:rFonts w:hAnsi="Times New Roman" w:ascii="Times New Roman"/>
          <w:szCs w:val="24"/>
          <w:lang w:val="hr-HR"/>
        </w:rPr>
        <w:t>predložiti otvaranje redovnog stečajnog postupka uz upozorenje o pravnim posljedicama nepodnošenja takovog prijedloga</w:t>
      </w:r>
      <w:r w:rsidR="00B178A8">
        <w:rPr>
          <w:rFonts w:hAnsi="Times New Roman" w:ascii="Times New Roman"/>
          <w:szCs w:val="24"/>
          <w:lang w:val="hr-HR"/>
        </w:rPr>
        <w:t>, sve temeljem čl</w:t>
      </w:r>
      <w:r w:rsidR="0041550C">
        <w:rPr>
          <w:rFonts w:hAnsi="Times New Roman" w:ascii="Times New Roman"/>
          <w:szCs w:val="24"/>
          <w:lang w:val="hr-HR"/>
        </w:rPr>
        <w:t>anka</w:t>
      </w:r>
      <w:r w:rsidR="00B178A8">
        <w:rPr>
          <w:rFonts w:hAnsi="Times New Roman" w:ascii="Times New Roman"/>
          <w:szCs w:val="24"/>
          <w:lang w:val="hr-HR"/>
        </w:rPr>
        <w:t xml:space="preserve"> 430.</w:t>
      </w:r>
      <w:r w:rsidR="0041550C">
        <w:rPr>
          <w:rFonts w:hAnsi="Times New Roman" w:ascii="Times New Roman"/>
          <w:szCs w:val="24"/>
          <w:lang w:val="hr-HR"/>
        </w:rPr>
        <w:t xml:space="preserve"> SZ-a.</w:t>
      </w:r>
      <w:r w:rsidR="00921177" w:rsidRPr="0041550C">
        <w:rPr>
          <w:rFonts w:hAnsi="Times New Roman" w:ascii="Times New Roman"/>
          <w:szCs w:val="24"/>
          <w:lang w:val="hr-HR"/>
        </w:rPr>
        <w:tab/>
      </w:r>
    </w:p>
    <w:p w:rsidRDefault="00812A05" w:rsidP="00921177" w:rsidR="00812A05" w:rsidRPr="0041550C">
      <w:pPr>
        <w:jc w:val="both"/>
        <w:rPr>
          <w:rFonts w:hAnsi="Times New Roman" w:ascii="Times New Roman"/>
          <w:szCs w:val="24"/>
          <w:lang w:val="hr-HR"/>
        </w:rPr>
      </w:pPr>
    </w:p>
    <w:p w:rsidRDefault="0041550C" w:rsidP="00921177" w:rsidR="0041550C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Vjerovnik </w:t>
      </w:r>
      <w:r w:rsidR="00DC7CBB">
        <w:rPr>
          <w:rFonts w:hAnsi="Times New Roman" w:ascii="Times New Roman"/>
          <w:szCs w:val="24"/>
          <w:lang w:val="hr-HR"/>
        </w:rPr>
        <w:t>REPUBLIKA HRVATSKA, Ministarstvo financija, Porezna uprava, Područni ured Zagreb, OIB: 18683136487, Zagreb, Savska cesta 41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je podneskom </w:t>
      </w:r>
      <w:r w:rsidR="00B178A8">
        <w:rPr>
          <w:rFonts w:hAnsi="Times New Roman" w:ascii="Times New Roman"/>
          <w:szCs w:val="24"/>
          <w:lang w:val="hr-HR"/>
        </w:rPr>
        <w:t>od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C7CBB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. siječnja 2016. godine </w:t>
      </w:r>
      <w:r w:rsidR="00812A05">
        <w:rPr>
          <w:rFonts w:hAnsi="Times New Roman" w:ascii="Times New Roman"/>
          <w:szCs w:val="24"/>
          <w:lang w:val="hr-HR"/>
        </w:rPr>
        <w:t>predložio otvaranje redovnog s</w:t>
      </w:r>
      <w:r w:rsidR="000E0D45">
        <w:rPr>
          <w:rFonts w:hAnsi="Times New Roman" w:ascii="Times New Roman"/>
          <w:szCs w:val="24"/>
          <w:lang w:val="hr-HR"/>
        </w:rPr>
        <w:t>tečajnog postupka nad dužnikom navodeći da dužnik ima imovinu koja čini stečajnu masu upisanu u zk. ul. 14107 k.o. Grad Zagreb, a koju imovinu je potrebno unovčiti i njome namirit vjerovnike u stečajnom postupku.</w:t>
      </w:r>
    </w:p>
    <w:p w:rsidRDefault="00812A05" w:rsidP="00921177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812A05" w:rsidP="00921177" w:rsidR="00B178A8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Kako time proizlazi da nisu ispunjeni uvjeti </w:t>
      </w:r>
      <w:r w:rsidR="0041550C">
        <w:rPr>
          <w:rFonts w:hAnsi="Times New Roman" w:ascii="Times New Roman"/>
          <w:szCs w:val="24"/>
          <w:lang w:val="hr-HR"/>
        </w:rPr>
        <w:t>iz članka</w:t>
      </w:r>
      <w:r w:rsidR="00B178A8">
        <w:rPr>
          <w:rFonts w:hAnsi="Times New Roman" w:ascii="Times New Roman"/>
          <w:szCs w:val="24"/>
          <w:lang w:val="hr-HR"/>
        </w:rPr>
        <w:t xml:space="preserve"> 423. SZ</w:t>
      </w:r>
      <w:r w:rsidR="0041550C">
        <w:rPr>
          <w:rFonts w:hAnsi="Times New Roman" w:ascii="Times New Roman"/>
          <w:szCs w:val="24"/>
          <w:lang w:val="hr-HR"/>
        </w:rPr>
        <w:t>-a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41550C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B178A8">
        <w:rPr>
          <w:rFonts w:hAnsi="Times New Roman" w:ascii="Times New Roman"/>
          <w:szCs w:val="24"/>
          <w:lang w:val="hr-HR"/>
        </w:rPr>
        <w:t xml:space="preserve"> nad dužnikom , </w:t>
      </w:r>
      <w:r>
        <w:rPr>
          <w:rFonts w:hAnsi="Times New Roman" w:ascii="Times New Roman"/>
          <w:szCs w:val="24"/>
          <w:lang w:val="hr-HR"/>
        </w:rPr>
        <w:t>to je odlučeno kao u izreci ov</w:t>
      </w:r>
      <w:r w:rsidR="0041550C">
        <w:rPr>
          <w:rFonts w:hAnsi="Times New Roman" w:ascii="Times New Roman"/>
          <w:szCs w:val="24"/>
          <w:lang w:val="hr-HR"/>
        </w:rPr>
        <w:t>og rješenja temeljem odredbe članka</w:t>
      </w:r>
      <w:r>
        <w:rPr>
          <w:rFonts w:hAnsi="Times New Roman" w:ascii="Times New Roman"/>
          <w:szCs w:val="24"/>
          <w:lang w:val="hr-HR"/>
        </w:rPr>
        <w:t xml:space="preserve">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41550C" w:rsidP="00921177" w:rsidR="0041550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B31C61" w:rsidP="0041550C" w:rsidR="00B31C6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C53CA" w:rsidP="0041550C" w:rsidR="007C53C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C53CA" w:rsidP="0041550C" w:rsidR="007C53C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B178A8" w:rsidP="0041550C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>prethodni 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 w:rsidR="00812A05">
        <w:rPr>
          <w:rFonts w:hAnsi="Times New Roman" w:ascii="Times New Roman"/>
          <w:szCs w:val="24"/>
          <w:lang w:val="hr-HR"/>
        </w:rPr>
        <w:t>za otvaranje stečajnog postupka ili će odmah otvoriti stečajni po</w:t>
      </w:r>
      <w:r w:rsidR="0041550C">
        <w:rPr>
          <w:rFonts w:hAnsi="Times New Roman" w:ascii="Times New Roman"/>
          <w:szCs w:val="24"/>
          <w:lang w:val="hr-HR"/>
        </w:rPr>
        <w:t>stupak, sve sukladno odredbi članka</w:t>
      </w:r>
      <w:r w:rsidR="00812A05">
        <w:rPr>
          <w:rFonts w:hAnsi="Times New Roman" w:ascii="Times New Roman"/>
          <w:szCs w:val="24"/>
          <w:lang w:val="hr-HR"/>
        </w:rPr>
        <w:t xml:space="preserve"> 433</w:t>
      </w:r>
      <w:r w:rsidR="0041550C">
        <w:rPr>
          <w:rFonts w:hAnsi="Times New Roman" w:ascii="Times New Roman"/>
          <w:szCs w:val="24"/>
          <w:lang w:val="hr-HR"/>
        </w:rPr>
        <w:t>.</w:t>
      </w:r>
      <w:r w:rsidR="00812A05">
        <w:rPr>
          <w:rFonts w:hAnsi="Times New Roman" w:ascii="Times New Roman"/>
          <w:szCs w:val="24"/>
          <w:lang w:val="hr-HR"/>
        </w:rPr>
        <w:t xml:space="preserve"> SZ-a.</w:t>
      </w:r>
    </w:p>
    <w:p w:rsidRDefault="007C53CA" w:rsidP="0041550C" w:rsidR="007C53C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C53CA" w:rsidP="0041550C" w:rsidR="007C53C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1550C">
        <w:rPr>
          <w:rFonts w:hAnsi="Times New Roman" w:ascii="Times New Roman"/>
          <w:lang w:val="hr-HR"/>
        </w:rPr>
        <w:t xml:space="preserve">, </w:t>
      </w:r>
      <w:r w:rsidR="003D4B23">
        <w:rPr>
          <w:rFonts w:hAnsi="Times New Roman" w:ascii="Times New Roman"/>
          <w:lang w:val="hr-HR"/>
        </w:rPr>
        <w:t>02. kolovoza 2016.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B31C61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41550C" w:rsidP="00D44D4F" w:rsidR="003D4B2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7C53CA" w:rsidP="00D44D4F" w:rsidR="007C53CA">
      <w:pPr>
        <w:jc w:val="right"/>
        <w:rPr>
          <w:rFonts w:hAnsi="Times New Roman" w:ascii="Times New Roman"/>
          <w:lang w:val="hr-HR"/>
        </w:rPr>
      </w:pPr>
    </w:p>
    <w:p w:rsidRDefault="007C53CA" w:rsidP="00D44D4F" w:rsidR="007C53CA">
      <w:pPr>
        <w:jc w:val="right"/>
        <w:rPr>
          <w:rFonts w:hAnsi="Times New Roman" w:ascii="Times New Roman"/>
          <w:lang w:val="hr-HR"/>
        </w:rPr>
      </w:pPr>
    </w:p>
    <w:p w:rsidRDefault="007C53CA" w:rsidP="00D44D4F" w:rsidR="007C53CA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4B23" w:rsidR="003D4B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4B23" w:rsidR="003D4B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1C61" w:rsidR="00B31C6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1C61" w:rsidR="00B31C6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B31C61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AA0" w:rsidP="00DB4528" w:rsidR="00521AA0">
      <w:r>
        <w:separator/>
      </w:r>
    </w:p>
  </w:endnote>
  <w:endnote w:id="0" w:type="continuationSeparator">
    <w:p w:rsidRDefault="00521AA0" w:rsidP="00DB4528" w:rsidR="00521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AA0" w:rsidP="00DB4528" w:rsidR="00521AA0">
      <w:r>
        <w:separator/>
      </w:r>
    </w:p>
  </w:footnote>
  <w:footnote w:id="0" w:type="continuationSeparator">
    <w:p w:rsidRDefault="00521AA0" w:rsidP="00DB4528" w:rsidR="00521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53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1550C">
      <w:rPr>
        <w:lang w:val="hr-HR"/>
      </w:rPr>
      <w:t xml:space="preserve">   </w:t>
    </w:r>
    <w:r w:rsidR="0041550C" w:rsidRPr="0041550C">
      <w:rPr>
        <w:rFonts w:hAnsi="Times New Roman" w:ascii="Times New Roman"/>
        <w:lang w:val="hr-HR"/>
      </w:rPr>
      <w:t>Poslovni broj: 1. St-</w:t>
    </w:r>
    <w:r w:rsidR="005C7839">
      <w:rPr>
        <w:rFonts w:hAnsi="Times New Roman" w:ascii="Times New Roman"/>
        <w:lang w:val="hr-HR"/>
      </w:rPr>
      <w:t>1610</w:t>
    </w:r>
    <w:r w:rsidR="0041550C">
      <w:rPr>
        <w:rFonts w:hAnsi="Times New Roman" w:ascii="Times New Roman"/>
        <w:lang w:val="hr-HR"/>
      </w:rPr>
      <w:t>/15-</w:t>
    </w:r>
    <w:r w:rsidR="005C7839">
      <w:rPr>
        <w:rFonts w:hAnsi="Times New Roman" w:ascii="Times New Roman"/>
        <w:sz w:val="20"/>
        <w:lang w:val="hr-HR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50C" w:rsidP="00840E3D" w:rsidR="0041550C">
    <w:pPr>
      <w:pStyle w:val="Zaglavlje"/>
      <w:rPr>
        <w:lang w:val="hr-HR"/>
      </w:rPr>
    </w:pPr>
  </w:p>
  <w:p w:rsidRDefault="0041550C" w:rsidP="00840E3D" w:rsidR="0041550C">
    <w:pPr>
      <w:pStyle w:val="Zaglavlje"/>
      <w:rPr>
        <w:lang w:val="hr-HR"/>
      </w:rPr>
    </w:pPr>
  </w:p>
  <w:p w:rsidRDefault="0041550C" w:rsidP="00840E3D" w:rsidR="00840E3D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 xml:space="preserve"> </w:t>
    </w:r>
    <w:r>
      <w:rPr>
        <w:lang w:val="hr-HR"/>
      </w:rPr>
      <w:t xml:space="preserve">       </w:t>
    </w:r>
    <w:r w:rsidRPr="0041550C">
      <w:rPr>
        <w:rFonts w:hAnsi="Times New Roman" w:ascii="Times New Roman"/>
        <w:lang w:val="hr-HR"/>
      </w:rPr>
      <w:t>Poslovni broj: 1</w:t>
    </w:r>
    <w:r w:rsidR="00840E3D" w:rsidRPr="0041550C">
      <w:rPr>
        <w:rFonts w:hAnsi="Times New Roman" w:ascii="Times New Roman"/>
        <w:lang w:val="hr-HR"/>
      </w:rPr>
      <w:t>.</w:t>
    </w:r>
    <w:r w:rsidRPr="0041550C">
      <w:rPr>
        <w:rFonts w:hAnsi="Times New Roman" w:ascii="Times New Roman"/>
        <w:lang w:val="hr-HR"/>
      </w:rPr>
      <w:t xml:space="preserve"> </w:t>
    </w:r>
    <w:r w:rsidR="00840E3D" w:rsidRPr="0041550C">
      <w:rPr>
        <w:rFonts w:hAnsi="Times New Roman" w:ascii="Times New Roman"/>
        <w:lang w:val="hr-HR"/>
      </w:rPr>
      <w:t>St-</w:t>
    </w:r>
    <w:r w:rsidR="005C7839">
      <w:rPr>
        <w:rFonts w:hAnsi="Times New Roman" w:ascii="Times New Roman"/>
        <w:lang w:val="hr-HR"/>
      </w:rPr>
      <w:t>1610</w:t>
    </w:r>
    <w:r>
      <w:rPr>
        <w:rFonts w:hAnsi="Times New Roman" w:ascii="Times New Roman"/>
        <w:lang w:val="hr-HR"/>
      </w:rPr>
      <w:t>/15-</w:t>
    </w:r>
    <w:r w:rsidR="005C7839">
      <w:rPr>
        <w:rFonts w:hAnsi="Times New Roman" w:ascii="Times New Roman"/>
        <w:sz w:val="20"/>
        <w:lang w:val="hr-HR"/>
      </w:rPr>
      <w:t>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41550C" w:rsidR="00840E3D">
    <w:pPr>
      <w:pStyle w:val="Zaglavlje"/>
      <w:spacing w:lineRule="auto" w:line="360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41550C" w:rsidR="00840E3D" w:rsidRPr="0041550C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41550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FB12F9"/>
    <w:multiLevelType w:val="hybridMultilevel"/>
    <w:tmpl w:val="1A9893E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10B"/>
    <w:rsid w:val="000B609B"/>
    <w:rsid w:val="000C47B3"/>
    <w:rsid w:val="000E0D45"/>
    <w:rsid w:val="00112B50"/>
    <w:rsid w:val="00182088"/>
    <w:rsid w:val="0038515F"/>
    <w:rsid w:val="003D4B23"/>
    <w:rsid w:val="0041550C"/>
    <w:rsid w:val="0042162E"/>
    <w:rsid w:val="00492634"/>
    <w:rsid w:val="00521AA0"/>
    <w:rsid w:val="00532B71"/>
    <w:rsid w:val="005940E9"/>
    <w:rsid w:val="005B0AAF"/>
    <w:rsid w:val="005C7839"/>
    <w:rsid w:val="006356C5"/>
    <w:rsid w:val="00721730"/>
    <w:rsid w:val="00730EAB"/>
    <w:rsid w:val="007A29F9"/>
    <w:rsid w:val="007A6608"/>
    <w:rsid w:val="007C53CA"/>
    <w:rsid w:val="00812A05"/>
    <w:rsid w:val="00826A0B"/>
    <w:rsid w:val="00840E3D"/>
    <w:rsid w:val="00867F16"/>
    <w:rsid w:val="00921177"/>
    <w:rsid w:val="00997BA9"/>
    <w:rsid w:val="009F5765"/>
    <w:rsid w:val="00A45E76"/>
    <w:rsid w:val="00A95334"/>
    <w:rsid w:val="00AB7883"/>
    <w:rsid w:val="00AF40B4"/>
    <w:rsid w:val="00B03169"/>
    <w:rsid w:val="00B178A8"/>
    <w:rsid w:val="00B31C61"/>
    <w:rsid w:val="00BF37AB"/>
    <w:rsid w:val="00CF2939"/>
    <w:rsid w:val="00D44D4F"/>
    <w:rsid w:val="00D955F3"/>
    <w:rsid w:val="00DB29D2"/>
    <w:rsid w:val="00DB4528"/>
    <w:rsid w:val="00DC7CBB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5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3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3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3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3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5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3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3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3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3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St-1610/2015</izvorni_sadrzaj>
    <derivirana_varijabla naziv="DomainObject.Predmet.OznakaBroj_1">St-1610/2015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TECRA d.o.o.</izvorni_sadrzaj>
    <derivirana_varijabla naziv="DomainObject.Predmet.ProtustrankaFormated_1">  TECRA d.o.o.</derivirana_varijabla>
  </DomainObject.Predmet.ProtustrankaFormated>
  <DomainObject.Predmet.ProtustrankaFormatedOIB>
    <izvorni_sadrzaj>  TECRA d.o.o., OIB 65590005239</izvorni_sadrzaj>
    <derivirana_varijabla naziv="DomainObject.Predmet.ProtustrankaFormatedOIB_1">  TECRA d.o.o., OIB 65590005239</derivirana_varijabla>
  </DomainObject.Predmet.ProtustrankaFormatedOIB>
  <DomainObject.Predmet.ProtustrankaFormatedWithAdress>
    <izvorni_sadrzaj> TECRA d.o.o., Preradovićeva 19, 10000 Zagreb</izvorni_sadrzaj>
    <derivirana_varijabla naziv="DomainObject.Predmet.ProtustrankaFormatedWithAdress_1"> TECRA d.o.o., Preradovićeva 19, 10000 Zagreb</derivirana_varijabla>
  </DomainObject.Predmet.ProtustrankaFormatedWithAdress>
  <DomainObject.Predmet.ProtustrankaFormatedWithAdressOIB>
    <izvorni_sadrzaj> TECRA d.o.o., OIB 65590005239, Preradovićeva 19, 10000 Zagreb</izvorni_sadrzaj>
    <derivirana_varijabla naziv="DomainObject.Predmet.ProtustrankaFormatedWithAdressOIB_1"> TECRA d.o.o., OIB 65590005239, Preradovićeva 19, 10000 Zagreb</derivirana_varijabla>
  </DomainObject.Predmet.ProtustrankaFormatedWithAdressOIB>
  <DomainObject.Predmet.ProtustrankaWithAdress>
    <izvorni_sadrzaj>TECRA d.o.o. Preradovićeva 19, 10000 Zagreb</izvorni_sadrzaj>
    <derivirana_varijabla naziv="DomainObject.Predmet.ProtustrankaWithAdress_1">TECRA d.o.o. Preradovićeva 19, 10000 Zagreb</derivirana_varijabla>
  </DomainObject.Predmet.ProtustrankaWithAdress>
  <DomainObject.Predmet.ProtustrankaWithAdressOIB>
    <izvorni_sadrzaj>TECRA d.o.o., OIB 65590005239, Preradovićeva 19, 10000 Zagreb</izvorni_sadrzaj>
    <derivirana_varijabla naziv="DomainObject.Predmet.ProtustrankaWithAdressOIB_1">TECRA d.o.o., OIB 65590005239, Preradovićeva 19, 10000 Zagreb</derivirana_varijabla>
  </DomainObject.Predmet.ProtustrankaWithAdressOIB>
  <DomainObject.Predmet.ProtustrankaNazivFormated>
    <izvorni_sadrzaj>TECRA d.o.o.</izvorni_sadrzaj>
    <derivirana_varijabla naziv="DomainObject.Predmet.ProtustrankaNazivFormated_1">TECRA d.o.o.</derivirana_varijabla>
  </DomainObject.Predmet.ProtustrankaNazivFormated>
  <DomainObject.Predmet.ProtustrankaNazivFormatedOIB>
    <izvorni_sadrzaj>TECRA d.o.o., OIB 65590005239</izvorni_sadrzaj>
    <derivirana_varijabla naziv="DomainObject.Predmet.ProtustrankaNazivFormatedOIB_1">TECRA d.o.o., OIB 65590005239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TECRA d.o.o.</item>
    </izvorni_sadrzaj>
    <derivirana_varijabla naziv="DomainObject.Predmet.ProtuStrankaListFormated_1">
      <item>TECRA d.o.o.</item>
    </derivirana_varijabla>
  </DomainObject.Predmet.ProtuStrankaListFormated>
  <DomainObject.Predmet.ProtuStrankaListFormatedOIB>
    <izvorni_sadrzaj>
      <item>TECRA d.o.o., OIB 65590005239</item>
    </izvorni_sadrzaj>
    <derivirana_varijabla naziv="DomainObject.Predmet.ProtuStrankaListFormatedOIB_1">
      <item>TECRA d.o.o., OIB 65590005239</item>
    </derivirana_varijabla>
  </DomainObject.Predmet.ProtuStrankaListFormatedOIB>
  <DomainObject.Predmet.ProtuStrankaListFormatedWithAdress>
    <izvorni_sadrzaj>
      <item>TECRA d.o.o., Preradovićeva 19, 10000 Zagreb</item>
    </izvorni_sadrzaj>
    <derivirana_varijabla naziv="DomainObject.Predmet.ProtuStrankaListFormatedWithAdress_1">
      <item>TECRA d.o.o., Preradovićeva 19, 10000 Zagreb</item>
    </derivirana_varijabla>
  </DomainObject.Predmet.ProtuStrankaListFormatedWithAdress>
  <DomainObject.Predmet.ProtuStrankaListFormatedWithAdressOIB>
    <izvorni_sadrzaj>
      <item>TECRA d.o.o., OIB 65590005239, Preradovićeva 19, 10000 Zagreb</item>
    </izvorni_sadrzaj>
    <derivirana_varijabla naziv="DomainObject.Predmet.ProtuStrankaListFormatedWithAdressOIB_1">
      <item>TECRA d.o.o., OIB 65590005239, Preradovićeva 19, 10000 Zagreb</item>
    </derivirana_varijabla>
  </DomainObject.Predmet.ProtuStrankaListFormatedWithAdressOIB>
  <DomainObject.Predmet.ProtuStrankaListNazivFormated>
    <izvorni_sadrzaj>
      <item>TECRA d.o.o.</item>
    </izvorni_sadrzaj>
    <derivirana_varijabla naziv="DomainObject.Predmet.ProtuStrankaListNazivFormated_1">
      <item>TECRA d.o.o.</item>
    </derivirana_varijabla>
  </DomainObject.Predmet.ProtuStrankaListNazivFormated>
  <DomainObject.Predmet.ProtuStrankaListNazivFormatedOIB>
    <izvorni_sadrzaj>
      <item>TECRA d.o.o., OIB 65590005239</item>
    </izvorni_sadrzaj>
    <derivirana_varijabla naziv="DomainObject.Predmet.ProtuStrankaListNazivFormatedOIB_1">
      <item>TECRA d.o.o., OIB 65590005239</item>
    </derivirana_varijabla>
  </DomainObject.Predmet.ProtuStrankaListNazivFormatedOIB>
  <DomainObject.Predmet.OstaliListFormated>
    <izvorni_sadrzaj>
      <item>Stjepan Markobašić</item>
    </izvorni_sadrzaj>
    <derivirana_varijabla naziv="DomainObject.Predmet.OstaliListFormated_1">
      <item>Stjepan Markobašić</item>
    </derivirana_varijabla>
  </DomainObject.Predmet.OstaliListFormated>
  <DomainObject.Predmet.OstaliListFormatedOIB>
    <izvorni_sadrzaj>
      <item>Stjepan Markobašić, OIB 91880458604</item>
    </izvorni_sadrzaj>
    <derivirana_varijabla naziv="DomainObject.Predmet.OstaliListFormatedOIB_1">
      <item>Stjepan Markobašić, OIB 91880458604</item>
    </derivirana_varijabla>
  </DomainObject.Predmet.OstaliListFormatedOIB>
  <DomainObject.Predmet.OstaliListFormatedWithAdress>
    <izvorni_sadrzaj>
      <item>Stjepan Markobašić, Ulica Dvanaest Redarstvenika 22, 32221 Nuštar</item>
    </izvorni_sadrzaj>
    <derivirana_varijabla naziv="DomainObject.Predmet.OstaliListFormatedWithAdress_1">
      <item>Stjepan Markobašić, Ulica Dvanaest Redarstvenika 22, 32221 Nuštar</item>
    </derivirana_varijabla>
  </DomainObject.Predmet.OstaliListFormatedWithAdress>
  <DomainObject.Predmet.OstaliListFormatedWithAdressOIB>
    <izvorni_sadrzaj>
      <item>Stjepan Markobašić, OIB 91880458604, Ulica Dvanaest Redarstvenika 22, 32221 Nuštar</item>
    </izvorni_sadrzaj>
    <derivirana_varijabla naziv="DomainObject.Predmet.OstaliListFormatedWithAdressOIB_1">
      <item>Stjepan Markobašić, OIB 91880458604, Ulica Dvanaest Redarstvenika 22, 32221 Nuštar</item>
    </derivirana_varijabla>
  </DomainObject.Predmet.OstaliListFormatedWithAdressOIB>
  <DomainObject.Predmet.OstaliListNazivFormated>
    <izvorni_sadrzaj>
      <item>Stjepan Markobašić</item>
    </izvorni_sadrzaj>
    <derivirana_varijabla naziv="DomainObject.Predmet.OstaliListNazivFormated_1">
      <item>Stjepan Markobašić</item>
    </derivirana_varijabla>
  </DomainObject.Predmet.OstaliListNazivFormated>
  <DomainObject.Predmet.OstaliListNazivFormatedOIB>
    <izvorni_sadrzaj>
      <item>Stjepan Markobašić, OIB 91880458604</item>
    </izvorni_sadrzaj>
    <derivirana_varijabla naziv="DomainObject.Predmet.OstaliListNazivFormatedOIB_1">
      <item>Stjepan Markobašić, OIB 91880458604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TECRA d.o.o.</izvorni_sadrzaj>
    <derivirana_varijabla naziv="DomainObject.Predmet.ProtustrankaIDrugi_1">TECRA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TECRA d.o.o., OIB 65590005239, Preradovićeva 19, 10000 Zagreb</izvorni_sadrzaj>
    <derivirana_varijabla naziv="DomainObject.Predmet.ProtustrankaIDrugiAdressOIB_1">TECRA d.o.o., OIB 65590005239, Preradovićeva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TECRA d.o.o.</item>
      <item>Stjepan Markobašić</item>
    </izvorni_sadrzaj>
    <derivirana_varijabla naziv="DomainObject.Predmet.SudioniciListNaziv_1">
      <item>FINA Regionalni centar Zagreb</item>
      <item>TECRA d.o.o.</item>
      <item>Stjepan Markobašić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TECRA d.o.o., OIB 65590005239, Preradovićeva 19,10000 Zagreb</item>
      <item>Stjepan Markobašić, OIB 91880458604, Ulica Dvanaest Redarstvenika 22,32221 Nuštar</item>
    </izvorni_sadrzaj>
    <derivirana_varijabla naziv="DomainObject.Predmet.SudioniciListAdressOIB_1">
      <item>FINA Regionalni centar Zagreb, OIB 85821130368, Trg svibanjskih žrtava 1995. 1,10000 Zagreb</item>
      <item>TECRA d.o.o., OIB 65590005239, Preradovićeva 19,10000 Zagreb</item>
      <item>Stjepan Markobašić, OIB 91880458604, Ulica Dvanaest Redarstvenika 22,32221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65590005239</item>
      <item>, OIB 91880458604</item>
    </izvorni_sadrzaj>
    <derivirana_varijabla naziv="DomainObject.Predmet.SudioniciListNazivOIB_1">
      <item>, OIB 85821130368</item>
      <item>, OIB 65590005239</item>
      <item>, OIB 91880458604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1995</properties:Characters>
  <properties:Lines>63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2016-07-25T10:16:00Z</dcterms:created>
  <dc:creator>Sudsko vijeæe</dc:creator>
  <cp:lastModifiedBy>Melita Knežević</cp:lastModifiedBy>
  <cp:lastPrinted>2016-08-02T09:18:00Z</cp:lastPrinted>
  <dcterms:modified xmlns:xsi="http://www.w3.org/2001/XMLSchema-instance" xsi:type="dcterms:W3CDTF">2016-08-02T09:18:00Z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