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9b7a2" w14:paraId="7d9b7a2" w:rsidRDefault="0018359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83598" w:rsidP="00183598" w:rsidR="00183598">
      <w:pPr>
        <w:pStyle w:val="Bezproreda"/>
      </w:pPr>
      <w:r>
        <w:t xml:space="preserve">   </w:t>
      </w:r>
    </w:p>
    <w:p w:rsidRDefault="00183598" w:rsidP="00183598" w:rsidR="00183598">
      <w:pPr>
        <w:pStyle w:val="Bezproreda"/>
      </w:pPr>
    </w:p>
    <w:p w:rsidRDefault="00183598" w:rsidP="00183598" w:rsidR="00AE649C">
      <w:pPr>
        <w:pStyle w:val="Bezproreda"/>
      </w:pPr>
      <w:r>
        <w:t xml:space="preserve">     Republika Hrvatska</w:t>
      </w:r>
    </w:p>
    <w:p w:rsidRDefault="00183598" w:rsidP="00183598" w:rsidR="00183598">
      <w:pPr>
        <w:pStyle w:val="Bezproreda"/>
      </w:pPr>
      <w:r>
        <w:t>Trgovački sud u Bjelovaru</w:t>
      </w:r>
    </w:p>
    <w:p w:rsidRDefault="00183598" w:rsidP="00183598" w:rsidR="00183598">
      <w:pPr>
        <w:pStyle w:val="Bezproreda"/>
      </w:pPr>
      <w:r>
        <w:t>Bjelovar, Dr. I. Lebovića 42.</w:t>
      </w:r>
    </w:p>
    <w:p w:rsidRDefault="00183598" w:rsidP="00183598" w:rsidR="00183598">
      <w:pPr>
        <w:pStyle w:val="Bezproreda"/>
      </w:pPr>
    </w:p>
    <w:p w:rsidRDefault="00183598" w:rsidP="00183598" w:rsidR="00183598">
      <w:pPr>
        <w:ind w:firstLine="708" w:left="4956"/>
      </w:pPr>
      <w:r>
        <w:t>Poslovni broj: 1 St-528/2017-13</w:t>
      </w:r>
    </w:p>
    <w:p w:rsidRDefault="00183598" w:rsidP="00183598" w:rsidR="00183598">
      <w:pPr>
        <w:ind w:firstLine="708" w:left="4956"/>
      </w:pPr>
    </w:p>
    <w:p w:rsidRDefault="00183598" w:rsidP="00183598" w:rsidR="00183598">
      <w:pPr>
        <w:jc w:val="center"/>
      </w:pPr>
      <w:r>
        <w:t>R E P U B L I K A    H R V A T S K A</w:t>
      </w:r>
    </w:p>
    <w:p w:rsidRDefault="00183598" w:rsidP="00183598" w:rsidR="00183598">
      <w:pPr>
        <w:pStyle w:val="Bezproreda"/>
        <w:jc w:val="center"/>
      </w:pPr>
      <w:r>
        <w:t>R J E Š E N J E</w:t>
      </w:r>
    </w:p>
    <w:p w:rsidRDefault="00183598" w:rsidP="00183598" w:rsidR="00183598">
      <w:pPr>
        <w:pStyle w:val="Bezproreda"/>
        <w:jc w:val="both"/>
      </w:pPr>
    </w:p>
    <w:p w:rsidRDefault="00183598" w:rsidP="00183598" w:rsidR="00183598">
      <w:pPr>
        <w:pStyle w:val="Bezproreda"/>
        <w:ind w:firstLine="708"/>
        <w:jc w:val="both"/>
      </w:pPr>
      <w:r>
        <w:t xml:space="preserve">Trgovački sud u Bjelovaru, po sucu Branki Pleskalt, u stečajnom postupku nad dužnikom ERC MONT d.o.o. za elektro usluge Pavučnjak 49, OIB: 81838479529,  17.  siječnja  2018. </w:t>
      </w:r>
    </w:p>
    <w:p w:rsidRDefault="00183598" w:rsidP="00183598" w:rsidR="00183598">
      <w:pPr>
        <w:pStyle w:val="Bezproreda"/>
        <w:jc w:val="both"/>
      </w:pPr>
    </w:p>
    <w:p w:rsidRDefault="00183598" w:rsidP="00183598" w:rsidR="00183598">
      <w:pPr>
        <w:pStyle w:val="Bezproreda"/>
        <w:jc w:val="center"/>
      </w:pPr>
      <w:r>
        <w:t>r i j e š i o    j e</w:t>
      </w:r>
    </w:p>
    <w:p w:rsidRDefault="00183598" w:rsidP="00183598" w:rsidR="00183598">
      <w:pPr>
        <w:pStyle w:val="Bezproreda"/>
        <w:jc w:val="both"/>
      </w:pPr>
    </w:p>
    <w:p w:rsidRDefault="00183598" w:rsidP="00183598" w:rsidR="00183598">
      <w:pPr>
        <w:pStyle w:val="Bezproreda"/>
        <w:ind w:firstLine="708"/>
        <w:jc w:val="both"/>
      </w:pPr>
      <w:r>
        <w:t xml:space="preserve">1. Razrješava se dužnosti privremeni stečajni upravitelj  Vidonija Miletić Plukavec iz Zagreba, Pirovec gornji 24, OIB: 05863527189, imenovana Rješenjem ovog suda poslovni broj: 528/2017-10 od 6. prosinca 2017. godine sukladno čl. 84. st. 1. i 2. a u svezi s člankom 119. st. 6. Stečajnog zakona. </w:t>
      </w:r>
    </w:p>
    <w:p w:rsidRDefault="00183598" w:rsidP="00183598" w:rsidR="00183598">
      <w:pPr>
        <w:pStyle w:val="Bezproreda"/>
        <w:jc w:val="both"/>
      </w:pPr>
    </w:p>
    <w:p w:rsidRDefault="00183598" w:rsidP="00183598" w:rsidR="00183598">
      <w:pPr>
        <w:pStyle w:val="Bezproreda"/>
        <w:ind w:firstLine="708"/>
        <w:jc w:val="both"/>
      </w:pPr>
      <w:r>
        <w:t>2.  Za privremenog stečajnog upravitelja imenuje se Vinko Pečanić iz Lipika, Frankopanska 17, OIB: 03918439681 imenovan sukladno čl. 84. st. 1. i 2. a u svezi s člankom 119. st. 6. Stečajnog zakona .</w:t>
      </w:r>
    </w:p>
    <w:p w:rsidRDefault="00183598" w:rsidP="00183598" w:rsidR="00183598">
      <w:pPr>
        <w:pStyle w:val="Bezproreda"/>
        <w:jc w:val="both"/>
      </w:pPr>
      <w:r>
        <w:t xml:space="preserve"> </w:t>
      </w:r>
    </w:p>
    <w:p w:rsidRDefault="00183598" w:rsidP="00183598" w:rsidR="00183598">
      <w:pPr>
        <w:pStyle w:val="Bezproreda"/>
        <w:ind w:firstLine="708"/>
        <w:jc w:val="both"/>
      </w:pPr>
      <w:r>
        <w:t>3.  Zakazuje se ročište radi izjašnjenja o prijedlogu za dan</w:t>
      </w:r>
    </w:p>
    <w:p w:rsidRDefault="00183598" w:rsidP="00183598" w:rsidR="00183598">
      <w:pPr>
        <w:pStyle w:val="Bezproreda"/>
        <w:jc w:val="both"/>
      </w:pPr>
    </w:p>
    <w:p w:rsidRDefault="00183598" w:rsidP="00183598" w:rsidR="00183598">
      <w:pPr>
        <w:pStyle w:val="Bezproreda"/>
        <w:jc w:val="both"/>
      </w:pPr>
    </w:p>
    <w:p w:rsidRDefault="00183598" w:rsidP="00183598" w:rsidR="00183598">
      <w:pPr>
        <w:pStyle w:val="Bezproreda"/>
        <w:jc w:val="center"/>
      </w:pPr>
      <w:r>
        <w:t>22. veljače  2018. godine u 9,30 sati</w:t>
      </w:r>
    </w:p>
    <w:p w:rsidRDefault="00183598" w:rsidP="00183598" w:rsidR="00183598">
      <w:pPr>
        <w:pStyle w:val="Bezproreda"/>
        <w:jc w:val="both"/>
      </w:pPr>
    </w:p>
    <w:p w:rsidRDefault="00183598" w:rsidP="00183598" w:rsidR="00183598">
      <w:pPr>
        <w:pStyle w:val="Bezproreda"/>
        <w:jc w:val="both"/>
      </w:pPr>
      <w:r>
        <w:t>u zgradi Trgovačkog suda u Bjelovaru, Dr. I. Lebovića 42, u sobi broj 4 na koje se pozivaju dostavom ovog rješenja.</w:t>
      </w:r>
    </w:p>
    <w:p w:rsidRDefault="00183598" w:rsidP="00183598" w:rsidR="00183598">
      <w:pPr>
        <w:pStyle w:val="Bezproreda"/>
        <w:jc w:val="both"/>
      </w:pPr>
    </w:p>
    <w:p w:rsidRDefault="00183598" w:rsidP="00183598" w:rsidR="00183598">
      <w:pPr>
        <w:pStyle w:val="Bezproreda"/>
        <w:jc w:val="both"/>
      </w:pPr>
      <w:r>
        <w:t>1. predlagatelj</w:t>
      </w:r>
    </w:p>
    <w:p w:rsidRDefault="00183598" w:rsidP="00183598" w:rsidR="00183598">
      <w:pPr>
        <w:pStyle w:val="Bezproreda"/>
        <w:jc w:val="both"/>
      </w:pPr>
      <w:r>
        <w:t>2.  z.z. dužnika Marin Carin iz Pavučnjaka, Mokrice 11,</w:t>
      </w:r>
    </w:p>
    <w:p w:rsidRDefault="00183598" w:rsidP="00183598" w:rsidR="00183598">
      <w:pPr>
        <w:pStyle w:val="Bezproreda"/>
        <w:jc w:val="both"/>
      </w:pPr>
      <w:r>
        <w:t>3. privremeni stečajni upravitelj Vinko Pečanić iz Lipika, Frankopanska 17.</w:t>
      </w:r>
    </w:p>
    <w:p w:rsidRDefault="00183598" w:rsidP="00183598" w:rsidR="00183598">
      <w:pPr>
        <w:pStyle w:val="Bezproreda"/>
        <w:jc w:val="both"/>
      </w:pPr>
    </w:p>
    <w:p w:rsidRDefault="00183598" w:rsidP="00183598" w:rsidR="00183598">
      <w:pPr>
        <w:pStyle w:val="Bezproreda"/>
        <w:ind w:firstLine="708"/>
        <w:jc w:val="both"/>
      </w:pPr>
      <w:r>
        <w:t>4. Privremeni stečajni upravitelj, izvršiti će uvid u knjige i poslovnu dokumentaciju dužnika te ispitati mogu li se imovinom dužnika namiriti troškovi postupka te da ispita postoji li razlog za otvaranje stečajnog postupka.</w:t>
      </w:r>
    </w:p>
    <w:p w:rsidRDefault="00183598" w:rsidP="00183598" w:rsidR="00183598">
      <w:pPr>
        <w:pStyle w:val="Bezproreda"/>
        <w:jc w:val="both"/>
      </w:pPr>
    </w:p>
    <w:p w:rsidRDefault="00183598" w:rsidP="00183598" w:rsidR="00183598">
      <w:pPr>
        <w:pStyle w:val="Bezproreda"/>
        <w:ind w:firstLine="708"/>
        <w:jc w:val="both"/>
      </w:pPr>
      <w:r>
        <w:t>Pismeno izvješće s mišljenjem privremeni stečajni upravitelj dužan je predati sudu najkasnije do 20. veljače 2018. godine.</w:t>
      </w:r>
    </w:p>
    <w:p w:rsidRDefault="00183598" w:rsidP="00183598" w:rsidR="00183598">
      <w:pPr>
        <w:pStyle w:val="Bezproreda"/>
        <w:jc w:val="both"/>
      </w:pPr>
    </w:p>
    <w:p w:rsidRDefault="00183598" w:rsidP="00183598" w:rsidR="00183598">
      <w:pPr>
        <w:pStyle w:val="Bezproreda"/>
        <w:ind w:firstLine="708"/>
        <w:jc w:val="both"/>
      </w:pPr>
      <w:r>
        <w:lastRenderedPageBreak/>
        <w:t>5. Tijela dužnika pravne osobe dužna su privremenom stečajnom upravitelju dopustiti uvid u knjige i poslovnu dokumentaciju dužnika (odredba čl. 117. Stečajnog zakona).</w:t>
      </w:r>
    </w:p>
    <w:p w:rsidRDefault="00183598" w:rsidP="00183598" w:rsidR="00183598">
      <w:pPr>
        <w:pStyle w:val="Bezproreda"/>
        <w:jc w:val="both"/>
      </w:pPr>
    </w:p>
    <w:p w:rsidRDefault="00183598" w:rsidP="00183598" w:rsidR="00183598">
      <w:pPr>
        <w:pStyle w:val="Bezproreda"/>
        <w:jc w:val="center"/>
      </w:pPr>
      <w:r>
        <w:t>Obrazloženje</w:t>
      </w:r>
    </w:p>
    <w:p w:rsidRDefault="00183598" w:rsidP="00183598" w:rsidR="00183598">
      <w:pPr>
        <w:pStyle w:val="Bezproreda"/>
        <w:jc w:val="center"/>
      </w:pPr>
    </w:p>
    <w:p w:rsidRDefault="00183598" w:rsidP="00183598" w:rsidR="00183598">
      <w:pPr>
        <w:pStyle w:val="Bezproreda"/>
        <w:ind w:firstLine="708"/>
        <w:jc w:val="both"/>
      </w:pPr>
      <w:r>
        <w:t>Financijska agencija je na temelju čl. 110. st. 1. Stečajnog zakona (NN br. 71/15, dalje: SZ), 15. lipnja 2016. godine podnijeta prijedlog za otvaranje stečajnog postupka nad dužnikom ERC MONT d.o.o. za elektro usluge Pavučnjak 49, Samobor, OIB: 81838479529. U prijedlogu navodi da na dan 1. rujna 2015. godine dužnik u Očevidniku redoslijeda osnova za plaćanjima evidentirane osnove za plaćanje u neprekidnom razdoblju od 1904 dana u ukupnom iznosu od 1.887.385,42 kuna, u koji iznos je uračunata kamata i naknada Financijske agencije za provedbu ovrhe na novčanim sredstvima. Prema podacima koje je FINI dostavio Hrvatski zavod za mirovinsko osiguranje dužnik ima dvoje zaposlenih.</w:t>
      </w:r>
    </w:p>
    <w:p w:rsidRDefault="00183598" w:rsidP="00183598" w:rsidR="00183598">
      <w:pPr>
        <w:pStyle w:val="Bezproreda"/>
        <w:ind w:firstLine="708"/>
        <w:jc w:val="both"/>
      </w:pPr>
    </w:p>
    <w:p w:rsidRDefault="00183598" w:rsidP="00183598" w:rsidR="00183598">
      <w:pPr>
        <w:pStyle w:val="Bezproreda"/>
        <w:ind w:firstLine="708"/>
        <w:jc w:val="both"/>
      </w:pPr>
      <w:r>
        <w:tab/>
        <w:t>Sukladno čl. 110. st. 1. SZ Financijska agencija je bila dužna podnijeti prijedlog za otvaranje stečajnog postupka budući da je dužnik u Očevidniku neizvršenih osnova za plaćanje na dan 1. rujna 2015. godine imao evidentirane neizvršene osnove za plaćanje u neprekidnom razdoblju od 1904 dana i dvoje zaposlenih.</w:t>
      </w:r>
    </w:p>
    <w:p w:rsidRDefault="00183598" w:rsidP="00183598" w:rsidR="00183598">
      <w:pPr>
        <w:pStyle w:val="Bezproreda"/>
        <w:ind w:firstLine="708"/>
        <w:jc w:val="both"/>
      </w:pPr>
    </w:p>
    <w:p w:rsidRDefault="00183598" w:rsidP="00183598" w:rsidR="00183598">
      <w:pPr>
        <w:pStyle w:val="Bezproreda"/>
        <w:ind w:firstLine="708"/>
        <w:jc w:val="both"/>
      </w:pPr>
      <w:r>
        <w:tab/>
        <w:t>Rješenjem ovog suda posl. broj: 1 St-528/2017-10 od 6. prosinca 2017. godine imenovana je privremena stečajna upraviteljica u osobi Vidonije Miletić Plukavec iz Zagreba, Pirovec gornji 24, OIB: 05863527189, kojim joj je naloženo da izvrši uvid u knjige i poslovnu dokumentaciju dužnika te ispita mogu li se imovinom dužnika namiriti troškovi postupka te da ispita postoji li razlog za otvaranje stečajnog postupka.  Pismeno izvješće s mišljenjem privremeni stečajni upravitelj dužan je bio predati sudu najkasnije do 15. siječnja 2018. godine.</w:t>
      </w:r>
    </w:p>
    <w:p w:rsidRDefault="00183598" w:rsidP="00183598" w:rsidR="00183598">
      <w:pPr>
        <w:pStyle w:val="Bezproreda"/>
        <w:ind w:firstLine="708"/>
        <w:jc w:val="both"/>
      </w:pPr>
    </w:p>
    <w:p w:rsidRDefault="00183598" w:rsidP="00183598" w:rsidR="00183598">
      <w:pPr>
        <w:pStyle w:val="Bezproreda"/>
        <w:ind w:firstLine="708"/>
        <w:jc w:val="both"/>
      </w:pPr>
      <w:r>
        <w:tab/>
        <w:t>Kako do ročišta 17. siječnja 2018. godine privremeni stečajni upravitelj Vidonija Miletić Plukavec iz Zagreba nije dostavila svoje pisano izvješće na spis to je istu valjalo razriješiti dužnosti privremenog stečajnog upravitelja te imenovati novog, pa je sud riješio kao pod toč. 2. izreke ovog rješenja.</w:t>
      </w:r>
    </w:p>
    <w:p w:rsidRDefault="00183598" w:rsidP="00183598" w:rsidR="00183598">
      <w:pPr>
        <w:pStyle w:val="Bezproreda"/>
        <w:ind w:firstLine="708"/>
        <w:jc w:val="both"/>
      </w:pPr>
    </w:p>
    <w:p w:rsidRDefault="00183598" w:rsidP="00183598" w:rsidR="00183598">
      <w:pPr>
        <w:pStyle w:val="Bezproreda"/>
        <w:ind w:firstLine="708"/>
        <w:jc w:val="both"/>
      </w:pPr>
      <w:r>
        <w:tab/>
        <w:t>Iz prijedloga proizlazi vjerodostojnost postojanja stečajnog razloga – nesposobnosti za plaćanje iz čl. 6. st. 2. SZ, pa je sud temeljem čl. 115. st. 1. SZ donio rješenje o pokretanju prethodnog postupka radi utvrđivanja pretpostavki za otvaranje stečajnog postupka.</w:t>
      </w:r>
    </w:p>
    <w:p w:rsidRDefault="00183598" w:rsidP="00183598" w:rsidR="00183598">
      <w:pPr>
        <w:pStyle w:val="Bezproreda"/>
        <w:ind w:firstLine="708"/>
        <w:jc w:val="both"/>
      </w:pPr>
    </w:p>
    <w:p w:rsidRDefault="00183598" w:rsidP="00183598" w:rsidR="00183598">
      <w:pPr>
        <w:pStyle w:val="Bezproreda"/>
        <w:ind w:firstLine="708"/>
        <w:jc w:val="both"/>
      </w:pPr>
      <w:r>
        <w:tab/>
        <w:t>Temeljem čl. 119. st. 2., 3 i 5 . SZ imenovan je privremeni stečajni upravitelj te su utvrđene njegove dužnosti. Privremeni stečajni upravitelj imenovan je sukladno čl. 84. st. 1. i 2. u svezi sa čl. 119. st. 6. SZ, jer sud smatra da imenovani privremeni stečajni upravitelj raspolaže potrebnom stručnošću i poslovnim iskustvom potrebnim za vođenjem stečajnog postupka.</w:t>
      </w:r>
    </w:p>
    <w:p w:rsidRDefault="00183598" w:rsidP="00183598" w:rsidR="00183598">
      <w:pPr>
        <w:pStyle w:val="Bezproreda"/>
        <w:ind w:firstLine="708"/>
        <w:jc w:val="both"/>
      </w:pPr>
    </w:p>
    <w:p w:rsidRDefault="00183598" w:rsidP="00183598" w:rsidR="00183598">
      <w:pPr>
        <w:pStyle w:val="Bezproreda"/>
        <w:ind w:firstLine="708"/>
        <w:jc w:val="both"/>
      </w:pPr>
      <w:r>
        <w:tab/>
        <w:t>Temeljem čl. 123. st. 1. i čl. 128. st. 1 i 5. SZ zakazano je ročište radi izjašnjenja o prijedlogu i rasprave o uvjetima za otvaranje stečajnog postupka na koje su pozvani predlagatelj Financijska agencija i zakonski zastupnik dužnika.</w:t>
      </w:r>
    </w:p>
    <w:p w:rsidRDefault="00183598" w:rsidP="00183598" w:rsidR="00183598">
      <w:pPr>
        <w:pStyle w:val="Bezproreda"/>
        <w:jc w:val="center"/>
      </w:pPr>
    </w:p>
    <w:p w:rsidRDefault="00183598" w:rsidP="00183598" w:rsidR="00183598">
      <w:pPr>
        <w:pStyle w:val="Bezproreda"/>
        <w:ind w:firstLine="708"/>
        <w:jc w:val="both"/>
      </w:pPr>
      <w:r>
        <w:t>Temeljem iznijetog riješeno je kao u izreci.</w:t>
      </w:r>
    </w:p>
    <w:p w:rsidRDefault="00183598" w:rsidP="00183598" w:rsidR="00183598">
      <w:pPr>
        <w:pStyle w:val="Bezproreda"/>
        <w:jc w:val="both"/>
      </w:pPr>
    </w:p>
    <w:p w:rsidRDefault="00183598" w:rsidP="00183598" w:rsidR="00183598">
      <w:pPr>
        <w:pStyle w:val="Bezproreda"/>
        <w:ind w:firstLine="708"/>
        <w:jc w:val="both"/>
      </w:pPr>
      <w:r>
        <w:t>U Bjelovaru  17. siječnja  2018.</w:t>
      </w:r>
    </w:p>
    <w:p w:rsidRDefault="00183598" w:rsidP="00183598" w:rsidR="00183598">
      <w:pPr>
        <w:pStyle w:val="Bezproreda"/>
        <w:jc w:val="both"/>
      </w:pPr>
      <w:r>
        <w:tab/>
      </w:r>
      <w:r>
        <w:tab/>
      </w:r>
      <w:r>
        <w:tab/>
      </w:r>
      <w:r>
        <w:tab/>
      </w:r>
      <w:r>
        <w:tab/>
      </w:r>
      <w:r>
        <w:tab/>
      </w:r>
      <w:r>
        <w:tab/>
      </w:r>
      <w:r>
        <w:tab/>
        <w:t>S u d a c</w:t>
      </w:r>
    </w:p>
    <w:p w:rsidRDefault="00183598" w:rsidP="00183598" w:rsidR="00183598">
      <w:pPr>
        <w:pStyle w:val="Bezproreda"/>
        <w:jc w:val="both"/>
      </w:pPr>
      <w:r>
        <w:tab/>
      </w:r>
      <w:r>
        <w:tab/>
      </w:r>
      <w:r>
        <w:tab/>
      </w:r>
      <w:r>
        <w:tab/>
      </w:r>
      <w:r>
        <w:tab/>
      </w:r>
      <w:r>
        <w:tab/>
      </w:r>
      <w:r>
        <w:tab/>
        <w:t xml:space="preserve">      Branka Pleskalt  v.r.</w:t>
      </w:r>
    </w:p>
    <w:p w:rsidRDefault="00183598" w:rsidP="00183598" w:rsidR="00183598">
      <w:pPr>
        <w:pStyle w:val="Bezproreda"/>
        <w:jc w:val="both"/>
      </w:pPr>
    </w:p>
    <w:p w:rsidRDefault="00183598" w:rsidP="00183598" w:rsidR="00183598">
      <w:pPr>
        <w:pStyle w:val="Bezproreda"/>
        <w:jc w:val="both"/>
      </w:pPr>
      <w:r>
        <w:tab/>
      </w:r>
      <w:r>
        <w:tab/>
      </w:r>
      <w:r>
        <w:tab/>
      </w:r>
      <w:r>
        <w:tab/>
      </w:r>
      <w:r>
        <w:tab/>
      </w:r>
      <w:r>
        <w:tab/>
        <w:t xml:space="preserve">   Za točnost otpravka – ovlašteni službenik</w:t>
      </w:r>
    </w:p>
    <w:p w:rsidRDefault="00183598" w:rsidP="00183598" w:rsidR="00183598">
      <w:pPr>
        <w:pStyle w:val="Bezproreda"/>
        <w:jc w:val="both"/>
      </w:pPr>
      <w:r>
        <w:tab/>
      </w:r>
      <w:r>
        <w:tab/>
      </w:r>
      <w:r>
        <w:tab/>
      </w:r>
      <w:r>
        <w:tab/>
      </w:r>
      <w:r>
        <w:tab/>
      </w:r>
      <w:r>
        <w:tab/>
      </w:r>
      <w:r>
        <w:tab/>
        <w:t xml:space="preserve">         Vesna Dragišić</w:t>
      </w:r>
    </w:p>
    <w:p w:rsidRDefault="00183598" w:rsidP="00183598" w:rsidR="00183598">
      <w:pPr>
        <w:pStyle w:val="Bezproreda"/>
        <w:jc w:val="both"/>
      </w:pPr>
    </w:p>
    <w:p w:rsidRDefault="00183598" w:rsidP="00183598" w:rsidR="00183598">
      <w:pPr>
        <w:pStyle w:val="Bezproreda"/>
        <w:ind w:firstLine="708"/>
        <w:jc w:val="both"/>
      </w:pPr>
      <w:r>
        <w:t>Pouka o pravnom lijeku:  protiv ovog rješenja pristoji pravo žalbe u roku od 8 dana od dana dostave rješenja, s tim da se dostava smatra obavljenom istekom osmog dana od dana objave rješenja na mrežnoj stranici e-oglasne ploče sudova.</w:t>
      </w:r>
    </w:p>
    <w:p w:rsidRDefault="00183598" w:rsidP="00183598" w:rsidR="00183598">
      <w:pPr>
        <w:pStyle w:val="Bezproreda"/>
        <w:jc w:val="both"/>
      </w:pPr>
    </w:p>
    <w:p w:rsidRDefault="00183598" w:rsidP="00183598" w:rsidR="00183598">
      <w:pPr>
        <w:pStyle w:val="Bezproreda"/>
      </w:pPr>
    </w:p>
    <w:p w:rsidRDefault="00183598" w:rsidP="00183598" w:rsidR="00183598" w:rsidRPr="00B76F3C">
      <w:pPr>
        <w:pStyle w:val="Bezproreda"/>
      </w:pPr>
    </w:p>
    <w:p w:rsidRDefault="00AE649C" w:rsidP="004F27AE" w:rsidR="00AE649C" w:rsidRPr="00B76F3C">
      <w:pPr>
        <w:pStyle w:val="NormaleSPIS"/>
      </w:pPr>
    </w:p>
    <w:sectPr w:rsidSect="0018359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8972832"/>
      <w:docPartObj>
        <w:docPartGallery w:val="Page Numbers (Top of Page)"/>
        <w:docPartUnique/>
      </w:docPartObj>
    </w:sdtPr>
    <w:sdtEndPr/>
    <w:sdtContent>
      <w:p w:rsidRDefault="00183598" w:rsidR="00183598">
        <w:pPr>
          <w:pStyle w:val="Zaglavlje"/>
          <w:jc w:val="center"/>
        </w:pPr>
        <w:r>
          <w:fldChar w:fldCharType="begin"/>
        </w:r>
        <w:r>
          <w:instrText>PAGE   \* MERGEFORMAT</w:instrText>
        </w:r>
        <w:r>
          <w:fldChar w:fldCharType="separate"/>
        </w:r>
        <w:r w:rsidR="00E3013D">
          <w:t>3</w:t>
        </w:r>
        <w:r>
          <w:fldChar w:fldCharType="end"/>
        </w:r>
      </w:p>
    </w:sdtContent>
  </w:sdt>
  <w:p w:rsidRDefault="00183598" w:rsidR="008333A9">
    <w:pPr>
      <w:pStyle w:val="Zaglavlje"/>
    </w:pPr>
    <w:r>
      <w:t>Poslovni broj: 1 St-528/2017-13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3598"/>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391D"/>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13D"/>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83598"/>
    <w:rPr>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sz w:val="24"/>
      <w:szCs w:val="24"/>
    </w:rPr>
  </w:style>
  <w:style w:styleId="Naslov5" w:type="paragraph">
    <w:name w:val="heading 5"/>
    <w:basedOn w:val="Normal"/>
    <w:next w:val="Normal"/>
    <w:link w:val="Naslov5Char"/>
    <w:rsid w:val="00EB0D4C"/>
    <w:pPr>
      <w:spacing w:lineRule="auto" w:line="240" w:after="0" w:before="120"/>
      <w:ind w:hanging="432" w:left="1008"/>
      <w:outlineLvl w:val="4"/>
    </w:pPr>
    <w:rPr>
      <w:rFonts w:eastAsia="Times New Roman" w:hAnsi="Arial" w:ascii="Arial"/>
      <w:noProof/>
      <w:kern w:val="22"/>
      <w:szCs w:val="24"/>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eastAsia="Times New Roman" w:hAnsi="Arial" w:ascii="Arial"/>
      <w:i/>
      <w:noProof/>
      <w:kern w:val="22"/>
      <w:szCs w:val="24"/>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eastAsia="Times New Roman" w:hAnsi="Arial" w:ascii="Arial"/>
      <w:noProof/>
      <w:kern w:val="20"/>
      <w:szCs w:val="24"/>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eastAsia="Times New Roman" w:hAnsi="Arial" w:ascii="Arial"/>
      <w:i/>
      <w:noProof/>
      <w:kern w:val="20"/>
      <w:szCs w:val="24"/>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eastAsia="Times New Roman" w:hAnsi="Arial" w:ascii="Arial"/>
      <w:i/>
      <w:noProof/>
      <w:kern w:val="18"/>
      <w:sz w:val="1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hAnsi="Times New Roman" w:ascii="Times New Roman"/>
      <w:caps/>
      <w:spacing w:val="100"/>
      <w:sz w:val="24"/>
      <w:szCs w:val="24"/>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hAnsi="Times New Roman" w:ascii="Times New Roman"/>
      <w:spacing w:val="100"/>
      <w:sz w:val="24"/>
      <w:szCs w:val="24"/>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hAnsi="Times New Roman" w:ascii="Times New Roman"/>
      <w:noProof/>
      <w:sz w:val="24"/>
      <w:szCs w:val="24"/>
    </w:rPr>
  </w:style>
  <w:style w:styleId="Tijeloteksta3" w:type="paragraph">
    <w:name w:val="Body Text 3"/>
    <w:basedOn w:val="Normal"/>
    <w:link w:val="Tijeloteksta3Char"/>
    <w:uiPriority w:val="99"/>
    <w:rsid w:val="00551CB3"/>
    <w:pPr>
      <w:numPr>
        <w:numId w:val="4"/>
      </w:numPr>
      <w:spacing w:lineRule="auto" w:line="240" w:after="120"/>
    </w:pPr>
    <w:rPr>
      <w:rFonts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hAnsi="Times New Roman" w:ascii="Times New Roman"/>
      <w:sz w:val="24"/>
      <w:szCs w:val="24"/>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hAnsi="Times New Roman" w:ascii="Times New Roman"/>
      <w:noProof/>
      <w:sz w:val="20"/>
      <w:szCs w:val="24"/>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hAnsi="Times New Roman" w:ascii="Times New Roman"/>
      <w:b/>
      <w:caps/>
      <w:sz w:val="24"/>
      <w:szCs w:val="24"/>
    </w:rPr>
  </w:style>
  <w:style w:styleId="Podnoje" w:type="paragraph">
    <w:name w:val="footer"/>
    <w:basedOn w:val="Normal"/>
    <w:link w:val="PodnojeChar"/>
    <w:uiPriority w:val="99"/>
    <w:unhideWhenUsed/>
    <w:rsid w:val="00EB0D4C"/>
    <w:pPr>
      <w:tabs>
        <w:tab w:pos="9072" w:val="right"/>
      </w:tabs>
      <w:spacing w:lineRule="auto" w:line="240" w:after="0"/>
      <w:jc w:val="right"/>
    </w:pPr>
    <w:rPr>
      <w:rFonts w:hAnsi="Times New Roman" w:ascii="Times New Roman"/>
      <w:noProof/>
      <w:sz w:val="24"/>
      <w:szCs w:val="24"/>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eastAsia="Times New Roman" w:hAnsi="Times New Roman" w:ascii="Times New Roman"/>
      <w:sz w:val="24"/>
      <w:szCs w:val="24"/>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eastAsia="Times New Roman" w:hAnsi="Times New Roman" w:ascii="Times New Roman"/>
      <w:sz w:val="24"/>
      <w:szCs w:val="24"/>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hAnsi="Times New Roman" w:ascii="Times New Roman"/>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hAnsi="Times New Roman" w:ascii="Times New Roman"/>
      <w:noProof/>
      <w:sz w:val="24"/>
      <w:szCs w:val="24"/>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hAnsi="Times New Roman" w:ascii="Times New Roman"/>
      <w:b/>
      <w:bCs/>
      <w:i/>
      <w:iCs/>
      <w:color w:themeColor="accent1" w:val="4F81BD"/>
      <w:sz w:val="24"/>
      <w:szCs w:val="24"/>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eastAsia="Times New Roman" w:hAnsi="Times New Roman" w:ascii="Times New Roman"/>
      <w:sz w:val="24"/>
      <w:szCs w:val="24"/>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hAnsi="Times New Roman" w:ascii="Times New Roman"/>
      <w:sz w:val="24"/>
      <w:szCs w:val="24"/>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hAnsi="Times New Roman" w:ascii="Times New Roman"/>
      <w:b/>
      <w:caps/>
      <w:spacing w:val="100"/>
      <w:sz w:val="24"/>
      <w:szCs w:val="24"/>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hAnsi="Times New Roman" w:ascii="Times New Roman"/>
      <w:sz w:val="24"/>
      <w:szCs w:val="24"/>
    </w:rPr>
  </w:style>
  <w:style w:customStyle="true" w:styleId="Normal-NoSpace" w:type="paragraph">
    <w:name w:val="Normal-No Space"/>
    <w:basedOn w:val="Normal"/>
    <w:rsid w:val="00EB0D4C"/>
    <w:pPr>
      <w:spacing w:lineRule="auto" w:line="240" w:after="0"/>
    </w:pPr>
    <w:rPr>
      <w:rFonts w:eastAsia="Times New Roman" w:hAnsi="Times New Roman" w:ascii="Times New Roman"/>
      <w:sz w:val="24"/>
      <w:szCs w:val="24"/>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eastAsia="Times New Roman" w:hAnsi="Times New Roman" w:ascii="Times New Roman"/>
      <w:sz w:val="24"/>
      <w:szCs w:val="24"/>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eastAsia="Times New Roman" w:hAnsi="Times New Roman" w:ascii="Times New Roman"/>
      <w:sz w:val="24"/>
      <w:szCs w:val="24"/>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eastAsia="Times New Roman" w:hAnsi="Times New Roman" w:ascii="Times New Roman"/>
      <w:sz w:val="24"/>
      <w:szCs w:val="24"/>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eastAsia="Times New Roman" w:hAnsi="Times New Roman" w:ascii="Times New Roman"/>
      <w:sz w:val="24"/>
      <w:szCs w:val="24"/>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eastAsia="Times New Roman" w:hAnsi="Times New Roman" w:ascii="Times New Roman"/>
      <w:sz w:val="24"/>
      <w:szCs w:val="24"/>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eastAsia="Times New Roman" w:hAnsi="Times New Roman" w:ascii="Times New Roman"/>
      <w:sz w:val="24"/>
      <w:szCs w:val="24"/>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hAnsi="Times New Roman" w:ascii="Times New Roman"/>
      <w:noProof/>
      <w:sz w:val="24"/>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hAnsi="Times New Roman" w:ascii="Times New Roman"/>
      <w:i/>
      <w:iCs/>
      <w:color w:themeColor="text1" w:val="000000"/>
      <w:sz w:val="24"/>
      <w:szCs w:val="24"/>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hAnsi="Times New Roman" w:ascii="Times New Roman"/>
      <w:noProof/>
      <w:sz w:val="24"/>
      <w:szCs w:val="24"/>
    </w:rPr>
  </w:style>
  <w:style w:customStyle="true" w:styleId="SudNaziv" w:type="paragraph">
    <w:name w:val="Sud_Naziv"/>
    <w:basedOn w:val="Normal"/>
    <w:rsid w:val="00EB0D4C"/>
    <w:pPr>
      <w:spacing w:lineRule="auto" w:line="240" w:after="0"/>
    </w:pPr>
    <w:rPr>
      <w:rFonts w:hAnsi="Times New Roman" w:ascii="Times New Roman"/>
      <w:b/>
      <w:noProof/>
      <w:sz w:val="24"/>
      <w:szCs w:val="24"/>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hAnsi="Times New Roman" w:ascii="Times New Roman"/>
      <w:noProof/>
      <w:sz w:val="24"/>
      <w:szCs w:val="24"/>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hAnsi="Times New Roman" w:ascii="Times New Roman"/>
      <w:noProof/>
      <w:sz w:val="24"/>
      <w:szCs w:val="24"/>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hAnsi="Times New Roman" w:ascii="Times New Roman"/>
      <w:sz w:val="24"/>
      <w:szCs w:val="24"/>
    </w:rPr>
  </w:style>
  <w:style w:customStyle="true" w:styleId="Zapisniar" w:type="paragraph">
    <w:name w:val="Zapisničar"/>
    <w:basedOn w:val="Normal"/>
    <w:next w:val="ZapisniarPotpis"/>
    <w:qFormat/>
    <w:rsid w:val="00EB0D4C"/>
    <w:pPr>
      <w:keepNext/>
      <w:spacing w:lineRule="auto" w:line="240" w:after="360" w:before="360"/>
      <w:ind w:left="5387"/>
    </w:pPr>
    <w:rPr>
      <w:rFonts w:hAnsi="Times New Roman" w:ascii="Times New Roman"/>
      <w:noProof/>
      <w:sz w:val="24"/>
      <w:szCs w:val="24"/>
    </w:rPr>
  </w:style>
  <w:style w:customStyle="true" w:styleId="ZapisniarPotpis" w:type="paragraph">
    <w:name w:val="ZapisničarPotpis"/>
    <w:basedOn w:val="Normal"/>
    <w:next w:val="Normal"/>
    <w:qFormat/>
    <w:rsid w:val="00EB0D4C"/>
    <w:pPr>
      <w:spacing w:lineRule="auto" w:line="240" w:after="120" w:before="360"/>
      <w:ind w:left="5387"/>
    </w:pPr>
    <w:rPr>
      <w:rFonts w:hAnsi="Times New Roman" w:ascii="Times New Roman"/>
      <w:noProof/>
      <w:sz w:val="24"/>
      <w:szCs w:val="24"/>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hAnsi="Times New Roman" w:ascii="Times New Roman"/>
      <w:sz w:val="24"/>
      <w:szCs w:val="24"/>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eastAsia="Times New Roman" w:hAnsi="Times New Roman" w:ascii="Times New Roman"/>
      <w:sz w:val="24"/>
      <w:szCs w:val="24"/>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hAnsi="Times New Roman" w:ascii="Times New Roman"/>
      <w:noProof/>
      <w:sz w:val="24"/>
      <w:szCs w:val="24"/>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hAnsi="Times New Roman" w:ascii="Times New Roman"/>
      <w:sz w:val="24"/>
      <w:szCs w:val="24"/>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hAnsi="Times New Roman" w:ascii="Times New Roman"/>
      <w:sz w:val="24"/>
      <w:szCs w:val="24"/>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hAnsi="Times New Roman" w:ascii="Times New Roman"/>
      <w:sz w:val="24"/>
      <w:szCs w:val="24"/>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hAnsi="Times New Roman" w:ascii="Times New Roman"/>
      <w:sz w:val="24"/>
      <w:szCs w:val="24"/>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hAnsi="Times New Roman" w:ascii="Times New Roman"/>
      <w:sz w:val="24"/>
      <w:szCs w:val="24"/>
    </w:rPr>
  </w:style>
  <w:style w:styleId="Indeks2" w:type="paragraph">
    <w:name w:val="index 2"/>
    <w:basedOn w:val="Normal"/>
    <w:next w:val="Normal"/>
    <w:autoRedefine/>
    <w:uiPriority w:val="99"/>
    <w:semiHidden/>
    <w:unhideWhenUsed/>
    <w:rsid w:val="00551CB3"/>
    <w:pPr>
      <w:spacing w:lineRule="auto" w:line="240" w:after="0"/>
      <w:ind w:hanging="240" w:left="480"/>
    </w:pPr>
    <w:rPr>
      <w:rFonts w:hAnsi="Times New Roman" w:ascii="Times New Roman"/>
      <w:sz w:val="24"/>
      <w:szCs w:val="24"/>
    </w:rPr>
  </w:style>
  <w:style w:styleId="Indeks3" w:type="paragraph">
    <w:name w:val="index 3"/>
    <w:basedOn w:val="Normal"/>
    <w:next w:val="Normal"/>
    <w:autoRedefine/>
    <w:uiPriority w:val="99"/>
    <w:semiHidden/>
    <w:unhideWhenUsed/>
    <w:rsid w:val="00551CB3"/>
    <w:pPr>
      <w:spacing w:lineRule="auto" w:line="240" w:after="0"/>
      <w:ind w:hanging="240" w:left="720"/>
    </w:pPr>
    <w:rPr>
      <w:rFonts w:hAnsi="Times New Roman" w:ascii="Times New Roman"/>
      <w:sz w:val="24"/>
      <w:szCs w:val="24"/>
    </w:rPr>
  </w:style>
  <w:style w:styleId="Indeks4" w:type="paragraph">
    <w:name w:val="index 4"/>
    <w:basedOn w:val="Normal"/>
    <w:next w:val="Normal"/>
    <w:autoRedefine/>
    <w:uiPriority w:val="99"/>
    <w:semiHidden/>
    <w:unhideWhenUsed/>
    <w:rsid w:val="00551CB3"/>
    <w:pPr>
      <w:spacing w:lineRule="auto" w:line="240" w:after="0"/>
      <w:ind w:hanging="240" w:left="960"/>
    </w:pPr>
    <w:rPr>
      <w:rFonts w:hAnsi="Times New Roman" w:ascii="Times New Roman"/>
      <w:sz w:val="24"/>
      <w:szCs w:val="24"/>
    </w:rPr>
  </w:style>
  <w:style w:styleId="Indeks5" w:type="paragraph">
    <w:name w:val="index 5"/>
    <w:basedOn w:val="Normal"/>
    <w:next w:val="Normal"/>
    <w:autoRedefine/>
    <w:uiPriority w:val="99"/>
    <w:semiHidden/>
    <w:unhideWhenUsed/>
    <w:rsid w:val="00551CB3"/>
    <w:pPr>
      <w:spacing w:lineRule="auto" w:line="240" w:after="0"/>
      <w:ind w:hanging="240" w:left="1200"/>
    </w:pPr>
    <w:rPr>
      <w:rFonts w:hAnsi="Times New Roman" w:ascii="Times New Roman"/>
      <w:sz w:val="24"/>
      <w:szCs w:val="24"/>
    </w:rPr>
  </w:style>
  <w:style w:styleId="Indeks6" w:type="paragraph">
    <w:name w:val="index 6"/>
    <w:basedOn w:val="Normal"/>
    <w:next w:val="Normal"/>
    <w:autoRedefine/>
    <w:uiPriority w:val="99"/>
    <w:semiHidden/>
    <w:unhideWhenUsed/>
    <w:rsid w:val="00551CB3"/>
    <w:pPr>
      <w:spacing w:lineRule="auto" w:line="240" w:after="0"/>
      <w:ind w:hanging="240" w:left="1440"/>
    </w:pPr>
    <w:rPr>
      <w:rFonts w:hAnsi="Times New Roman" w:ascii="Times New Roman"/>
      <w:sz w:val="24"/>
      <w:szCs w:val="24"/>
    </w:rPr>
  </w:style>
  <w:style w:styleId="Indeks7" w:type="paragraph">
    <w:name w:val="index 7"/>
    <w:basedOn w:val="Normal"/>
    <w:next w:val="Normal"/>
    <w:autoRedefine/>
    <w:uiPriority w:val="99"/>
    <w:semiHidden/>
    <w:unhideWhenUsed/>
    <w:rsid w:val="00551CB3"/>
    <w:pPr>
      <w:spacing w:lineRule="auto" w:line="240" w:after="0"/>
      <w:ind w:hanging="240" w:left="1680"/>
    </w:pPr>
    <w:rPr>
      <w:rFonts w:hAnsi="Times New Roman" w:ascii="Times New Roman"/>
      <w:sz w:val="24"/>
      <w:szCs w:val="24"/>
    </w:rPr>
  </w:style>
  <w:style w:styleId="Indeks8" w:type="paragraph">
    <w:name w:val="index 8"/>
    <w:basedOn w:val="Normal"/>
    <w:next w:val="Normal"/>
    <w:autoRedefine/>
    <w:uiPriority w:val="99"/>
    <w:semiHidden/>
    <w:unhideWhenUsed/>
    <w:rsid w:val="00551CB3"/>
    <w:pPr>
      <w:spacing w:lineRule="auto" w:line="240" w:after="0"/>
      <w:ind w:hanging="240" w:left="1920"/>
    </w:pPr>
    <w:rPr>
      <w:rFonts w:hAnsi="Times New Roman" w:ascii="Times New Roman"/>
      <w:sz w:val="24"/>
      <w:szCs w:val="24"/>
    </w:rPr>
  </w:style>
  <w:style w:styleId="Indeks9" w:type="paragraph">
    <w:name w:val="index 9"/>
    <w:basedOn w:val="Normal"/>
    <w:next w:val="Normal"/>
    <w:autoRedefine/>
    <w:uiPriority w:val="99"/>
    <w:semiHidden/>
    <w:unhideWhenUsed/>
    <w:rsid w:val="00551CB3"/>
    <w:pPr>
      <w:spacing w:lineRule="auto" w:line="240" w:after="0"/>
      <w:ind w:hanging="240" w:left="2160"/>
    </w:pPr>
    <w:rPr>
      <w:rFonts w:hAnsi="Times New Roman" w:ascii="Times New Roman"/>
      <w:sz w:val="24"/>
      <w:szCs w:val="24"/>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hAnsi="Times New Roman" w:ascii="Times New Roman"/>
      <w:sz w:val="24"/>
      <w:szCs w:val="24"/>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hAnsi="Times New Roman" w:ascii="Times New Roman"/>
      <w:sz w:val="24"/>
      <w:szCs w:val="24"/>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hAnsi="Times New Roman" w:ascii="Times New Roman"/>
      <w:sz w:val="24"/>
      <w:szCs w:val="24"/>
    </w:rPr>
  </w:style>
  <w:style w:styleId="Tablicaslika" w:type="paragraph">
    <w:name w:val="table of figures"/>
    <w:basedOn w:val="Normal"/>
    <w:next w:val="Normal"/>
    <w:uiPriority w:val="99"/>
    <w:semiHidden/>
    <w:unhideWhenUsed/>
    <w:rsid w:val="00551CB3"/>
    <w:pPr>
      <w:spacing w:lineRule="auto" w:line="240" w:after="0"/>
    </w:pPr>
    <w:rPr>
      <w:rFonts w:hAnsi="Times New Roman" w:ascii="Times New Roman"/>
      <w:sz w:val="24"/>
      <w:szCs w:val="24"/>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rPr>
  </w:style>
  <w:style w:styleId="Sadraj1" w:type="paragraph">
    <w:name w:val="toc 1"/>
    <w:basedOn w:val="Normal"/>
    <w:next w:val="Normal"/>
    <w:autoRedefine/>
    <w:uiPriority w:val="99"/>
    <w:semiHidden/>
    <w:unhideWhenUsed/>
    <w:rsid w:val="00551CB3"/>
    <w:pPr>
      <w:spacing w:lineRule="auto" w:line="240" w:after="100"/>
    </w:pPr>
    <w:rPr>
      <w:rFonts w:hAnsi="Times New Roman" w:ascii="Times New Roman"/>
      <w:sz w:val="24"/>
      <w:szCs w:val="24"/>
    </w:rPr>
  </w:style>
  <w:style w:styleId="Sadraj2" w:type="paragraph">
    <w:name w:val="toc 2"/>
    <w:basedOn w:val="Normal"/>
    <w:next w:val="Normal"/>
    <w:autoRedefine/>
    <w:uiPriority w:val="99"/>
    <w:semiHidden/>
    <w:unhideWhenUsed/>
    <w:rsid w:val="00551CB3"/>
    <w:pPr>
      <w:spacing w:lineRule="auto" w:line="240" w:after="100"/>
      <w:ind w:left="240"/>
    </w:pPr>
    <w:rPr>
      <w:rFonts w:hAnsi="Times New Roman" w:ascii="Times New Roman"/>
      <w:sz w:val="24"/>
      <w:szCs w:val="24"/>
    </w:rPr>
  </w:style>
  <w:style w:styleId="Sadraj3" w:type="paragraph">
    <w:name w:val="toc 3"/>
    <w:basedOn w:val="Normal"/>
    <w:next w:val="Normal"/>
    <w:autoRedefine/>
    <w:uiPriority w:val="99"/>
    <w:semiHidden/>
    <w:unhideWhenUsed/>
    <w:rsid w:val="00551CB3"/>
    <w:pPr>
      <w:spacing w:lineRule="auto" w:line="240" w:after="100"/>
      <w:ind w:left="480"/>
    </w:pPr>
    <w:rPr>
      <w:rFonts w:hAnsi="Times New Roman" w:ascii="Times New Roman"/>
      <w:sz w:val="24"/>
      <w:szCs w:val="24"/>
    </w:rPr>
  </w:style>
  <w:style w:styleId="Sadraj4" w:type="paragraph">
    <w:name w:val="toc 4"/>
    <w:basedOn w:val="Normal"/>
    <w:next w:val="Normal"/>
    <w:autoRedefine/>
    <w:uiPriority w:val="99"/>
    <w:semiHidden/>
    <w:unhideWhenUsed/>
    <w:rsid w:val="00551CB3"/>
    <w:pPr>
      <w:spacing w:lineRule="auto" w:line="240" w:after="100"/>
      <w:ind w:left="720"/>
    </w:pPr>
    <w:rPr>
      <w:rFonts w:hAnsi="Times New Roman" w:ascii="Times New Roman"/>
      <w:sz w:val="24"/>
      <w:szCs w:val="24"/>
    </w:rPr>
  </w:style>
  <w:style w:styleId="Sadraj5" w:type="paragraph">
    <w:name w:val="toc 5"/>
    <w:basedOn w:val="Normal"/>
    <w:next w:val="Normal"/>
    <w:autoRedefine/>
    <w:uiPriority w:val="99"/>
    <w:semiHidden/>
    <w:unhideWhenUsed/>
    <w:rsid w:val="00551CB3"/>
    <w:pPr>
      <w:spacing w:lineRule="auto" w:line="240" w:after="100"/>
      <w:ind w:left="960"/>
    </w:pPr>
    <w:rPr>
      <w:rFonts w:hAnsi="Times New Roman" w:ascii="Times New Roman"/>
      <w:sz w:val="24"/>
      <w:szCs w:val="24"/>
    </w:rPr>
  </w:style>
  <w:style w:styleId="Sadraj6" w:type="paragraph">
    <w:name w:val="toc 6"/>
    <w:basedOn w:val="Normal"/>
    <w:next w:val="Normal"/>
    <w:autoRedefine/>
    <w:uiPriority w:val="99"/>
    <w:semiHidden/>
    <w:unhideWhenUsed/>
    <w:rsid w:val="00551CB3"/>
    <w:pPr>
      <w:spacing w:lineRule="auto" w:line="240" w:after="100"/>
      <w:ind w:left="1200"/>
    </w:pPr>
    <w:rPr>
      <w:rFonts w:hAnsi="Times New Roman" w:ascii="Times New Roman"/>
      <w:sz w:val="24"/>
      <w:szCs w:val="24"/>
    </w:rPr>
  </w:style>
  <w:style w:styleId="Sadraj7" w:type="paragraph">
    <w:name w:val="toc 7"/>
    <w:basedOn w:val="Normal"/>
    <w:next w:val="Normal"/>
    <w:autoRedefine/>
    <w:uiPriority w:val="99"/>
    <w:semiHidden/>
    <w:unhideWhenUsed/>
    <w:rsid w:val="00551CB3"/>
    <w:pPr>
      <w:spacing w:lineRule="auto" w:line="240" w:after="100"/>
      <w:ind w:left="1440"/>
    </w:pPr>
    <w:rPr>
      <w:rFonts w:hAnsi="Times New Roman" w:ascii="Times New Roman"/>
      <w:sz w:val="24"/>
      <w:szCs w:val="24"/>
    </w:rPr>
  </w:style>
  <w:style w:styleId="Sadraj8" w:type="paragraph">
    <w:name w:val="toc 8"/>
    <w:basedOn w:val="Normal"/>
    <w:next w:val="Normal"/>
    <w:autoRedefine/>
    <w:uiPriority w:val="99"/>
    <w:semiHidden/>
    <w:unhideWhenUsed/>
    <w:rsid w:val="00551CB3"/>
    <w:pPr>
      <w:spacing w:lineRule="auto" w:line="240" w:after="100"/>
      <w:ind w:left="1680"/>
    </w:pPr>
    <w:rPr>
      <w:rFonts w:hAnsi="Times New Roman" w:ascii="Times New Roman"/>
      <w:sz w:val="24"/>
      <w:szCs w:val="24"/>
    </w:rPr>
  </w:style>
  <w:style w:styleId="Sadraj9" w:type="paragraph">
    <w:name w:val="toc 9"/>
    <w:basedOn w:val="Normal"/>
    <w:next w:val="Normal"/>
    <w:autoRedefine/>
    <w:uiPriority w:val="99"/>
    <w:semiHidden/>
    <w:unhideWhenUsed/>
    <w:rsid w:val="00551CB3"/>
    <w:pPr>
      <w:spacing w:lineRule="auto" w:line="240" w:after="100"/>
      <w:ind w:left="1920"/>
    </w:pPr>
    <w:rPr>
      <w:rFonts w:hAnsi="Times New Roman" w:ascii="Times New Roman"/>
      <w:sz w:val="24"/>
      <w:szCs w:val="24"/>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hAnsi="Times New Roman" w:ascii="Times New Roman"/>
      <w:sz w:val="20"/>
      <w:szCs w:val="24"/>
    </w:rPr>
  </w:style>
  <w:style w:customStyle="true" w:styleId="IzvornikNacrt" w:type="paragraph">
    <w:name w:val="Izvornik_Nacrt"/>
    <w:basedOn w:val="Normal"/>
    <w:link w:val="IzvornikNacrt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cs="Times New Roman" w:eastAsia="Calibri"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hAnsi="Times New Roman" w:ascii="Times New Roman"/>
      <w:noProof/>
      <w:sz w:val="24"/>
      <w:szCs w:val="24"/>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cs="Times New Roman" w:eastAsia="Calibri" w:hAnsi="Times New Roman" w:ascii="Times New Roman"/>
      <w:color w:val="000000"/>
      <w:sz w:val="24"/>
      <w:szCs w:val="24"/>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cs="Times New Roman" w:eastAsia="Calibri" w:hAnsi="Times New Roman" w:ascii="Times New Roman"/>
      <w:noProof/>
      <w:color w:val="000000"/>
      <w:sz w:val="24"/>
      <w:szCs w:val="24"/>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hAnsi="Times New Roman" w:ascii="Times New Roman"/>
      <w:sz w:val="24"/>
      <w:szCs w:val="24"/>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hAnsi="Times New Roman" w:ascii="Times New Roman"/>
      <w:sz w:val="24"/>
      <w:szCs w:val="24"/>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83598"/>
    <w:rPr>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sz w:val="24"/>
      <w:szCs w:val="24"/>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eastAsia="Times New Roman" w:hAnsi="Arial"/>
      <w:noProof/>
      <w:kern w:val="22"/>
      <w:szCs w:val="24"/>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eastAsia="Times New Roman" w:hAnsi="Arial"/>
      <w:i/>
      <w:noProof/>
      <w:kern w:val="22"/>
      <w:szCs w:val="24"/>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eastAsia="Times New Roman" w:hAnsi="Arial"/>
      <w:noProof/>
      <w:kern w:val="20"/>
      <w:szCs w:val="24"/>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eastAsia="Times New Roman" w:hAnsi="Arial"/>
      <w:i/>
      <w:noProof/>
      <w:kern w:val="20"/>
      <w:szCs w:val="24"/>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eastAsia="Times New Roman" w:hAnsi="Arial"/>
      <w:i/>
      <w:noProof/>
      <w:kern w:val="18"/>
      <w:sz w:val="1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hAnsi="Times New Roman"/>
      <w:caps/>
      <w:spacing w:val="100"/>
      <w:sz w:val="24"/>
      <w:szCs w:val="24"/>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hAnsi="Times New Roman"/>
      <w:spacing w:val="100"/>
      <w:sz w:val="24"/>
      <w:szCs w:val="24"/>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hAnsi="Times New Roman"/>
      <w:noProof/>
      <w:sz w:val="24"/>
      <w:szCs w:val="24"/>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hAnsi="Times New Roman"/>
      <w:sz w:val="24"/>
      <w:szCs w:val="24"/>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hAnsi="Times New Roman"/>
      <w:noProof/>
      <w:sz w:val="20"/>
      <w:szCs w:val="24"/>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ascii="Times New Roman" w:hAnsi="Times New Roman"/>
      <w:b/>
      <w:caps/>
      <w:sz w:val="24"/>
      <w:szCs w:val="24"/>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hAnsi="Times New Roman"/>
      <w:noProof/>
      <w:sz w:val="24"/>
      <w:szCs w:val="24"/>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ascii="Times New Roman" w:eastAsia="Times New Roman" w:hAnsi="Times New Roman"/>
      <w:sz w:val="24"/>
      <w:szCs w:val="24"/>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ascii="Times New Roman" w:eastAsia="Times New Roman" w:hAnsi="Times New Roman"/>
      <w:sz w:val="24"/>
      <w:szCs w:val="24"/>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ascii="Times New Roman" w:hAnsi="Times New Roman"/>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hAnsi="Times New Roman"/>
      <w:noProof/>
      <w:sz w:val="24"/>
      <w:szCs w:val="24"/>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ascii="Times New Roman" w:hAnsi="Times New Roman"/>
      <w:b/>
      <w:bCs/>
      <w:i/>
      <w:iCs/>
      <w:color w:themeColor="accent1" w:val="4F81BD"/>
      <w:sz w:val="24"/>
      <w:szCs w:val="24"/>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ascii="Times New Roman" w:eastAsia="Times New Roman" w:hAnsi="Times New Roman"/>
      <w:sz w:val="24"/>
      <w:szCs w:val="24"/>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ascii="Times New Roman" w:hAnsi="Times New Roman"/>
      <w:sz w:val="24"/>
      <w:szCs w:val="24"/>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hAnsi="Times New Roman"/>
      <w:b/>
      <w:caps/>
      <w:spacing w:val="100"/>
      <w:sz w:val="24"/>
      <w:szCs w:val="24"/>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ascii="Times New Roman" w:hAnsi="Times New Roman"/>
      <w:sz w:val="24"/>
      <w:szCs w:val="24"/>
    </w:rPr>
  </w:style>
  <w:style w:customStyle="1" w:styleId="Normal-NoSpace" w:type="paragraph">
    <w:name w:val="Normal-No Space"/>
    <w:basedOn w:val="Normal"/>
    <w:rsid w:val="00EB0D4C"/>
    <w:pPr>
      <w:spacing w:after="0" w:line="240" w:lineRule="auto"/>
    </w:pPr>
    <w:rPr>
      <w:rFonts w:ascii="Times New Roman" w:eastAsia="Times New Roman" w:hAnsi="Times New Roman"/>
      <w:sz w:val="24"/>
      <w:szCs w:val="24"/>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ascii="Times New Roman" w:eastAsia="Times New Roman" w:hAnsi="Times New Roman"/>
      <w:sz w:val="24"/>
      <w:szCs w:val="24"/>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ascii="Times New Roman" w:eastAsia="Times New Roman" w:hAnsi="Times New Roman"/>
      <w:sz w:val="24"/>
      <w:szCs w:val="24"/>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ascii="Times New Roman" w:eastAsia="Times New Roman" w:hAnsi="Times New Roman"/>
      <w:sz w:val="24"/>
      <w:szCs w:val="24"/>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ascii="Times New Roman" w:eastAsia="Times New Roman" w:hAnsi="Times New Roman"/>
      <w:sz w:val="24"/>
      <w:szCs w:val="24"/>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ascii="Times New Roman" w:eastAsia="Times New Roman" w:hAnsi="Times New Roman"/>
      <w:sz w:val="24"/>
      <w:szCs w:val="24"/>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ascii="Times New Roman" w:eastAsia="Times New Roman" w:hAnsi="Times New Roman"/>
      <w:sz w:val="24"/>
      <w:szCs w:val="24"/>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ascii="Times New Roman" w:hAnsi="Times New Roman"/>
      <w:noProof/>
      <w:sz w:val="24"/>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ascii="Times New Roman" w:hAnsi="Times New Roman"/>
      <w:i/>
      <w:iCs/>
      <w:color w:themeColor="text1" w:val="000000"/>
      <w:sz w:val="24"/>
      <w:szCs w:val="24"/>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ascii="Times New Roman" w:hAnsi="Times New Roman"/>
      <w:noProof/>
      <w:sz w:val="24"/>
      <w:szCs w:val="24"/>
    </w:rPr>
  </w:style>
  <w:style w:customStyle="1" w:styleId="SudNaziv" w:type="paragraph">
    <w:name w:val="Sud_Naziv"/>
    <w:basedOn w:val="Normal"/>
    <w:rsid w:val="00EB0D4C"/>
    <w:pPr>
      <w:spacing w:after="0" w:line="240" w:lineRule="auto"/>
    </w:pPr>
    <w:rPr>
      <w:rFonts w:ascii="Times New Roman" w:hAnsi="Times New Roman"/>
      <w:b/>
      <w:noProof/>
      <w:sz w:val="24"/>
      <w:szCs w:val="24"/>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hAnsi="Times New Roman"/>
      <w:noProof/>
      <w:sz w:val="24"/>
      <w:szCs w:val="24"/>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hAnsi="Times New Roman"/>
      <w:noProof/>
      <w:sz w:val="24"/>
      <w:szCs w:val="24"/>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hAnsi="Times New Roman"/>
      <w:sz w:val="24"/>
      <w:szCs w:val="24"/>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hAnsi="Times New Roman"/>
      <w:noProof/>
      <w:sz w:val="24"/>
      <w:szCs w:val="24"/>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hAnsi="Times New Roman"/>
      <w:noProof/>
      <w:sz w:val="24"/>
      <w:szCs w:val="24"/>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hAnsi="Times New Roman"/>
      <w:sz w:val="24"/>
      <w:szCs w:val="24"/>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eastAsia="Times New Roman" w:hAnsi="Times New Roman"/>
      <w:sz w:val="24"/>
      <w:szCs w:val="24"/>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hAnsi="Times New Roman"/>
      <w:noProof/>
      <w:sz w:val="24"/>
      <w:szCs w:val="24"/>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hAnsi="Times New Roman"/>
      <w:sz w:val="24"/>
      <w:szCs w:val="24"/>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ascii="Times New Roman" w:hAnsi="Times New Roman"/>
      <w:sz w:val="24"/>
      <w:szCs w:val="24"/>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hAnsi="Times New Roman"/>
      <w:sz w:val="24"/>
      <w:szCs w:val="24"/>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hAnsi="Times New Roman"/>
      <w:sz w:val="24"/>
      <w:szCs w:val="24"/>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hAnsi="Times New Roman"/>
      <w:sz w:val="24"/>
      <w:szCs w:val="24"/>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hAnsi="Times New Roman"/>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hAnsi="Times New Roman"/>
      <w:sz w:val="24"/>
      <w:szCs w:val="24"/>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hAnsi="Times New Roman"/>
      <w:sz w:val="24"/>
      <w:szCs w:val="24"/>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hAnsi="Times New Roman"/>
      <w:sz w:val="24"/>
      <w:szCs w:val="24"/>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hAnsi="Times New Roman"/>
      <w:sz w:val="24"/>
      <w:szCs w:val="24"/>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hAnsi="Times New Roman"/>
      <w:sz w:val="24"/>
      <w:szCs w:val="24"/>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hAnsi="Times New Roman"/>
      <w:sz w:val="24"/>
      <w:szCs w:val="24"/>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hAnsi="Times New Roman"/>
      <w:sz w:val="24"/>
      <w:szCs w:val="24"/>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hAnsi="Times New Roman"/>
      <w:sz w:val="24"/>
      <w:szCs w:val="24"/>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hAnsi="Times New Roman"/>
      <w:sz w:val="24"/>
      <w:szCs w:val="24"/>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hAnsi="Times New Roman"/>
      <w:sz w:val="24"/>
      <w:szCs w:val="24"/>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hAnsi="Times New Roman"/>
      <w:sz w:val="24"/>
      <w:szCs w:val="24"/>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hAnsi="Times New Roman"/>
      <w:sz w:val="24"/>
      <w:szCs w:val="24"/>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hAnsi="Times New Roman"/>
      <w:sz w:val="24"/>
      <w:szCs w:val="24"/>
    </w:rPr>
  </w:style>
  <w:style w:styleId="Tablicaslika" w:type="paragraph">
    <w:name w:val="table of figures"/>
    <w:basedOn w:val="Normal"/>
    <w:next w:val="Normal"/>
    <w:uiPriority w:val="99"/>
    <w:semiHidden/>
    <w:unhideWhenUsed/>
    <w:rsid w:val="00551CB3"/>
    <w:pPr>
      <w:spacing w:after="0" w:line="240" w:lineRule="auto"/>
    </w:pPr>
    <w:rPr>
      <w:rFonts w:ascii="Times New Roman" w:hAnsi="Times New Roman"/>
      <w:sz w:val="24"/>
      <w:szCs w:val="24"/>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rPr>
  </w:style>
  <w:style w:styleId="Sadraj1" w:type="paragraph">
    <w:name w:val="toc 1"/>
    <w:basedOn w:val="Normal"/>
    <w:next w:val="Normal"/>
    <w:autoRedefine/>
    <w:uiPriority w:val="99"/>
    <w:semiHidden/>
    <w:unhideWhenUsed/>
    <w:rsid w:val="00551CB3"/>
    <w:pPr>
      <w:spacing w:after="100" w:line="240" w:lineRule="auto"/>
    </w:pPr>
    <w:rPr>
      <w:rFonts w:ascii="Times New Roman" w:hAnsi="Times New Roman"/>
      <w:sz w:val="24"/>
      <w:szCs w:val="24"/>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hAnsi="Times New Roman"/>
      <w:sz w:val="24"/>
      <w:szCs w:val="24"/>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hAnsi="Times New Roman"/>
      <w:sz w:val="24"/>
      <w:szCs w:val="24"/>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hAnsi="Times New Roman"/>
      <w:sz w:val="24"/>
      <w:szCs w:val="24"/>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hAnsi="Times New Roman"/>
      <w:sz w:val="24"/>
      <w:szCs w:val="24"/>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hAnsi="Times New Roman"/>
      <w:sz w:val="24"/>
      <w:szCs w:val="24"/>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hAnsi="Times New Roman"/>
      <w:sz w:val="24"/>
      <w:szCs w:val="24"/>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hAnsi="Times New Roman"/>
      <w:sz w:val="24"/>
      <w:szCs w:val="24"/>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hAnsi="Times New Roman"/>
      <w:sz w:val="24"/>
      <w:szCs w:val="24"/>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hAnsi="Times New Roman"/>
      <w:sz w:val="20"/>
      <w:szCs w:val="24"/>
    </w:rPr>
  </w:style>
  <w:style w:customStyle="1" w:styleId="IzvornikNacrt" w:type="paragraph">
    <w:name w:val="Izvornik_Nacrt"/>
    <w:basedOn w:val="Normal"/>
    <w:link w:val="IzvornikNacrt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cs="Times New Roman" w:eastAsia="Calibri" w:hAnsi="Times New Roman"/>
      <w:noProof/>
      <w:color w:val="000000"/>
      <w:sz w:val="24"/>
      <w:szCs w:val="24"/>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hAnsi="Times New Roman"/>
      <w:noProof/>
      <w:sz w:val="24"/>
      <w:szCs w:val="24"/>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cs="Times New Roman" w:eastAsia="Calibri" w:hAnsi="Times New Roman"/>
      <w:color w:val="000000"/>
      <w:sz w:val="24"/>
      <w:szCs w:val="24"/>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cs="Times New Roman" w:eastAsia="Calibri" w:hAnsi="Times New Roman"/>
      <w:noProof/>
      <w:color w:val="000000"/>
      <w:sz w:val="24"/>
      <w:szCs w:val="24"/>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hAnsi="Times New Roman"/>
      <w:sz w:val="24"/>
      <w:szCs w:val="24"/>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hAnsi="Times New Roman"/>
      <w:sz w:val="24"/>
      <w:szCs w:val="24"/>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88702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St-528/2017-13</izvorni_sadrzaj>
    <derivirana_varijabla naziv="DomainObject.Oznaka_1">St-528/2017-13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St-528/2017</izvorni_sadrzaj>
    <derivirana_varijabla naziv="DomainObject.Predmet.OznakaBroj_1">St-528/2017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ERC MONT d.o.o.</izvorni_sadrzaj>
    <derivirana_varijabla naziv="DomainObject.Predmet.ProtustrankaFormated_1">  ERC MONT d.o.o.</derivirana_varijabla>
  </DomainObject.Predmet.ProtustrankaFormated>
  <DomainObject.Predmet.ProtustrankaFormatedOIB>
    <izvorni_sadrzaj>  ERC MONT d.o.o., OIB 81838479529</izvorni_sadrzaj>
    <derivirana_varijabla naziv="DomainObject.Predmet.ProtustrankaFormatedOIB_1">  ERC MONT d.o.o., OIB 81838479529</derivirana_varijabla>
  </DomainObject.Predmet.ProtustrankaFormatedOIB>
  <DomainObject.Predmet.ProtustrankaFormatedWithAdress>
    <izvorni_sadrzaj> ERC MONT d.o.o., Pavučnjak 49, 10450 Pavučnjak</izvorni_sadrzaj>
    <derivirana_varijabla naziv="DomainObject.Predmet.ProtustrankaFormatedWithAdress_1"> ERC MONT d.o.o., Pavučnjak 49, 10450 Pavučnjak</derivirana_varijabla>
  </DomainObject.Predmet.ProtustrankaFormatedWithAdress>
  <DomainObject.Predmet.ProtustrankaFormatedWithAdressOIB>
    <izvorni_sadrzaj> ERC MONT d.o.o., OIB 81838479529, Pavučnjak 49, 10450 Pavučnjak</izvorni_sadrzaj>
    <derivirana_varijabla naziv="DomainObject.Predmet.ProtustrankaFormatedWithAdressOIB_1"> ERC MONT d.o.o., OIB 81838479529, Pavučnjak 49, 10450 Pavučnjak</derivirana_varijabla>
  </DomainObject.Predmet.ProtustrankaFormatedWithAdressOIB>
  <DomainObject.Predmet.ProtustrankaWithAdress>
    <izvorni_sadrzaj>ERC MONT d.o.o. Pavučnjak 49, 10450 Pavučnjak</izvorni_sadrzaj>
    <derivirana_varijabla naziv="DomainObject.Predmet.ProtustrankaWithAdress_1">ERC MONT d.o.o. Pavučnjak 49, 10450 Pavučnjak</derivirana_varijabla>
  </DomainObject.Predmet.ProtustrankaWithAdress>
  <DomainObject.Predmet.ProtustrankaWithAdressOIB>
    <izvorni_sadrzaj>ERC MONT d.o.o., OIB 81838479529, Pavučnjak 49, 10450 Pavučnjak</izvorni_sadrzaj>
    <derivirana_varijabla naziv="DomainObject.Predmet.ProtustrankaWithAdressOIB_1">ERC MONT d.o.o., OIB 81838479529, Pavučnjak 49, 10450 Pavučnjak</derivirana_varijabla>
  </DomainObject.Predmet.ProtustrankaWithAdressOIB>
  <DomainObject.Predmet.ProtustrankaNazivFormated>
    <izvorni_sadrzaj>ERC MONT d.o.o.</izvorni_sadrzaj>
    <derivirana_varijabla naziv="DomainObject.Predmet.ProtustrankaNazivFormated_1">ERC MONT d.o.o.</derivirana_varijabla>
  </DomainObject.Predmet.ProtustrankaNazivFormated>
  <DomainObject.Predmet.ProtustrankaNazivFormatedOIB>
    <izvorni_sadrzaj>ERC MONT d.o.o., OIB 81838479529</izvorni_sadrzaj>
    <derivirana_varijabla naziv="DomainObject.Predmet.ProtustrankaNazivFormatedOIB_1">ERC MONT d.o.o., OIB 81838479529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ERC MONT d.o.o.</item>
    </izvorni_sadrzaj>
    <derivirana_varijabla naziv="DomainObject.Predmet.ProtuStrankaListFormated_1">
      <item>ERC MONT d.o.o.</item>
    </derivirana_varijabla>
  </DomainObject.Predmet.ProtuStrankaListFormated>
  <DomainObject.Predmet.ProtuStrankaListFormatedOIB>
    <izvorni_sadrzaj>
      <item>ERC MONT d.o.o., OIB 81838479529</item>
    </izvorni_sadrzaj>
    <derivirana_varijabla naziv="DomainObject.Predmet.ProtuStrankaListFormatedOIB_1">
      <item>ERC MONT d.o.o., OIB 81838479529</item>
    </derivirana_varijabla>
  </DomainObject.Predmet.ProtuStrankaListFormatedOIB>
  <DomainObject.Predmet.ProtuStrankaListFormatedWithAdress>
    <izvorni_sadrzaj>
      <item>ERC MONT d.o.o., Pavučnjak 49, 10450 Pavučnjak</item>
    </izvorni_sadrzaj>
    <derivirana_varijabla naziv="DomainObject.Predmet.ProtuStrankaListFormatedWithAdress_1">
      <item>ERC MONT d.o.o., Pavučnjak 49, 10450 Pavučnjak</item>
    </derivirana_varijabla>
  </DomainObject.Predmet.ProtuStrankaListFormatedWithAdress>
  <DomainObject.Predmet.ProtuStrankaListFormatedWithAdressOIB>
    <izvorni_sadrzaj>
      <item>ERC MONT d.o.o., OIB 81838479529, Pavučnjak 49, 10450 Pavučnjak</item>
    </izvorni_sadrzaj>
    <derivirana_varijabla naziv="DomainObject.Predmet.ProtuStrankaListFormatedWithAdressOIB_1">
      <item>ERC MONT d.o.o., OIB 81838479529, Pavučnjak 49, 10450 Pavučnjak</item>
    </derivirana_varijabla>
  </DomainObject.Predmet.ProtuStrankaListFormatedWithAdressOIB>
  <DomainObject.Predmet.ProtuStrankaListNazivFormated>
    <izvorni_sadrzaj>
      <item>ERC MONT d.o.o.</item>
    </izvorni_sadrzaj>
    <derivirana_varijabla naziv="DomainObject.Predmet.ProtuStrankaListNazivFormated_1">
      <item>ERC MONT d.o.o.</item>
    </derivirana_varijabla>
  </DomainObject.Predmet.ProtuStrankaListNazivFormated>
  <DomainObject.Predmet.ProtuStrankaListNazivFormatedOIB>
    <izvorni_sadrzaj>
      <item>ERC MONT d.o.o., OIB 81838479529</item>
    </izvorni_sadrzaj>
    <derivirana_varijabla naziv="DomainObject.Predmet.ProtuStrankaListNazivFormatedOIB_1">
      <item>ERC MONT d.o.o., OIB 81838479529</item>
    </derivirana_varijabla>
  </DomainObject.Predmet.ProtuStrankaListNazivFormatedOIB>
  <DomainObject.Predmet.OstaliListFormated>
    <izvorni_sadrzaj>
      <item>Mario Carin</item>
    </izvorni_sadrzaj>
    <derivirana_varijabla naziv="DomainObject.Predmet.OstaliListFormated_1">
      <item>Mario Carin</item>
    </derivirana_varijabla>
  </DomainObject.Predmet.OstaliListFormated>
  <DomainObject.Predmet.OstaliListFormatedOIB>
    <izvorni_sadrzaj>
      <item>Mario Carin, OIB 60179689824</item>
    </izvorni_sadrzaj>
    <derivirana_varijabla naziv="DomainObject.Predmet.OstaliListFormatedOIB_1">
      <item>Mario Carin, OIB 60179689824</item>
    </derivirana_varijabla>
  </DomainObject.Predmet.OstaliListFormatedOIB>
  <DomainObject.Predmet.OstaliListFormatedWithAdress>
    <izvorni_sadrzaj>
      <item>Mario Carin, ULICA MOKRICE 11 (ranije: PAVUČNJAK, PAVUČNJAK, 49), 10450 Pavučnjak</item>
    </izvorni_sadrzaj>
    <derivirana_varijabla naziv="DomainObject.Predmet.OstaliListFormatedWithAdress_1">
      <item>Mario Carin, ULICA MOKRICE 11 (ranije: PAVUČNJAK, PAVUČNJAK, 49), 10450 Pavučnjak</item>
    </derivirana_varijabla>
  </DomainObject.Predmet.OstaliListFormatedWithAdress>
  <DomainObject.Predmet.OstaliListFormatedWithAdressOIB>
    <izvorni_sadrzaj>
      <item>Mario Carin, OIB 60179689824, ULICA MOKRICE 11 (ranije: PAVUČNJAK, PAVUČNJAK, 49), 10450 Pavučnjak</item>
    </izvorni_sadrzaj>
    <derivirana_varijabla naziv="DomainObject.Predmet.OstaliListFormatedWithAdressOIB_1">
      <item>Mario Carin, OIB 60179689824, ULICA MOKRICE 11 (ranije: PAVUČNJAK, PAVUČNJAK, 49), 10450 Pavučnjak</item>
    </derivirana_varijabla>
  </DomainObject.Predmet.OstaliListFormatedWithAdressOIB>
  <DomainObject.Predmet.OstaliListNazivFormated>
    <izvorni_sadrzaj>
      <item>Mario Carin</item>
    </izvorni_sadrzaj>
    <derivirana_varijabla naziv="DomainObject.Predmet.OstaliListNazivFormated_1">
      <item>Mario Carin</item>
    </derivirana_varijabla>
  </DomainObject.Predmet.OstaliListNazivFormated>
  <DomainObject.Predmet.OstaliListNazivFormatedOIB>
    <izvorni_sadrzaj>
      <item>Mario Carin, OIB 60179689824</item>
    </izvorni_sadrzaj>
    <derivirana_varijabla naziv="DomainObject.Predmet.OstaliListNazivFormatedOIB_1">
      <item>Mario Carin, OIB 60179689824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St-528/2017-13</izvorni_sadrzaj>
    <derivirana_varijabla naziv="DomainObject.PoslovniBrojDokumenta_1">St-528/2017-13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ERC MONT d.o.o.</izvorni_sadrzaj>
    <derivirana_varijabla naziv="DomainObject.Predmet.ProtustrankaIDrugi_1">ERC 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ERC MONT d.o.o., OIB 81838479529, Pavučnjak 49, 10450 Pavučnjak</izvorni_sadrzaj>
    <derivirana_varijabla naziv="DomainObject.Predmet.ProtustrankaIDrugiAdressOIB_1">ERC MONT d.o.o., OIB 81838479529, Pavučnjak 49, 10450 Pavučnjak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ERC MONT d.o.o.</item>
      <item>FINA Regionalni centar Zagreb</item>
      <item>Mario Carin</item>
    </izvorni_sadrzaj>
    <derivirana_varijabla naziv="DomainObject.Predmet.SudioniciListNaziv_1">
      <item>ERC MONT d.o.o.</item>
      <item>FINA Regionalni centar Zagreb</item>
      <item>Mario Carin</item>
    </derivirana_varijabla>
  </DomainObject.Predmet.SudioniciListNaziv>
  <DomainObject.Predmet.SudioniciListAdressOIB>
    <izvorni_sadrzaj>
      <item>ERC MONT d.o.o., OIB 81838479529, Pavučnjak 49,10450 Pavučnjak</item>
      <item>FINA Regionalni centar Zagreb, OIB 85821130368, Trg svibanjskih žrtava 1995. br. 1,10000 Zagreb</item>
      <item>Mario Carin, OIB 60179689824, ULICA MOKRICE 11 (ranije: PAVUČNJAK, PAVUČNJAK, 49),10450 Pavučnjak</item>
    </izvorni_sadrzaj>
    <derivirana_varijabla naziv="DomainObject.Predmet.SudioniciListAdressOIB_1">
      <item>ERC MONT d.o.o., OIB 81838479529, Pavučnjak 49,10450 Pavučnjak</item>
      <item>FINA Regionalni centar Zagreb, OIB 85821130368, Trg svibanjskih žrtava 1995. br. 1,10000 Zagreb</item>
      <item>Mario Carin, OIB 60179689824, ULICA MOKRICE 11 (ranije: PAVUČNJAK, PAVUČNJAK, 49),10450 Pavučnjak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7066F7-91F8-4A75-9797-70B32EA855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766</properties:Words>
  <properties:Characters>4079</properties:Characters>
  <properties:Lines>108</properties:Lines>
  <properties:Paragraphs>34</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2018-01-17T12:43:00Z</cp:lastPrinted>
  <dcterms:modified xmlns:xsi="http://www.w3.org/2001/XMLSchema-instance" xsi:type="dcterms:W3CDTF">2018-01-18T06:48:00Z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St-528/2017-13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