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2C20" w:rsidR="003635D6" w:rsidRPr="003635D6">
        <w:tc>
          <w:tcPr>
            <w:tcW w:type="dxa" w:w="2829"/>
            <w:shd w:fill="auto" w:color="auto" w:val="clear"/>
          </w:tcPr>
          <w:p w:rsidRDefault="003635D6" w:rsidP="003635D6" w:rsidR="003635D6" w:rsidRPr="003635D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635D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35D6" w:rsidP="003635D6" w:rsidR="003635D6" w:rsidRPr="003635D6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635D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635D6" w:rsidP="003635D6" w:rsidR="003635D6" w:rsidRPr="003635D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635D6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635D6" w:rsidP="003635D6" w:rsidR="003635D6" w:rsidRPr="003635D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635D6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850dd4" w14:paraId="2850dd4" w:rsidRDefault="003635D6" w:rsidP="003635D6" w:rsidR="003635D6" w:rsidRPr="003635D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3635D6" w:rsidP="003635D6" w:rsidR="003635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35D6">
        <w:rPr>
          <w:rFonts w:cs="Times New Roman" w:hAnsi="Times New Roman" w:ascii="Times New Roman"/>
          <w:sz w:val="24"/>
          <w:szCs w:val="24"/>
        </w:rPr>
        <w:tab/>
      </w:r>
      <w:r w:rsidRPr="003635D6">
        <w:rPr>
          <w:rFonts w:cs="Times New Roman" w:hAnsi="Times New Roman" w:ascii="Times New Roman"/>
          <w:sz w:val="24"/>
          <w:szCs w:val="24"/>
        </w:rPr>
        <w:tab/>
      </w:r>
      <w:r w:rsidRPr="003635D6">
        <w:rPr>
          <w:rFonts w:cs="Times New Roman" w:hAnsi="Times New Roman" w:ascii="Times New Roman"/>
          <w:sz w:val="24"/>
          <w:szCs w:val="24"/>
        </w:rPr>
        <w:tab/>
      </w:r>
      <w:r w:rsidRPr="003635D6">
        <w:rPr>
          <w:rFonts w:cs="Times New Roman" w:hAnsi="Times New Roman" w:ascii="Times New Roman"/>
          <w:sz w:val="24"/>
          <w:szCs w:val="24"/>
        </w:rPr>
        <w:tab/>
      </w:r>
      <w:r w:rsidRPr="003635D6">
        <w:rPr>
          <w:rFonts w:cs="Times New Roman" w:hAnsi="Times New Roman" w:ascii="Times New Roman"/>
          <w:sz w:val="24"/>
          <w:szCs w:val="24"/>
        </w:rPr>
        <w:tab/>
      </w:r>
    </w:p>
    <w:p w:rsidRDefault="003635D6" w:rsidP="003635D6" w:rsidR="003635D6" w:rsidRPr="003635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35D6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3635D6" w:rsidP="003635D6" w:rsidR="003635D6" w:rsidRPr="003635D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635D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635D6" w:rsidP="003635D6" w:rsidR="003635D6" w:rsidRPr="003635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5D6" w:rsidP="003635D6" w:rsidR="003635D6" w:rsidRPr="003635D6">
      <w:pPr>
        <w:pStyle w:val="Naslov2"/>
        <w:rPr>
          <w:b w:val="false"/>
          <w:szCs w:val="24"/>
        </w:rPr>
      </w:pPr>
      <w:r w:rsidRPr="003635D6">
        <w:rPr>
          <w:b w:val="false"/>
          <w:szCs w:val="24"/>
        </w:rPr>
        <w:t>R J E Š E NJ E</w:t>
      </w:r>
    </w:p>
    <w:p w:rsidRDefault="00A809F4" w:rsidP="007630E4" w:rsidR="00A809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0E4" w:rsidP="000E39B4" w:rsidR="007630E4" w:rsidRPr="000E39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39B4" w:rsidP="000E39B4" w:rsidR="00F917CB" w:rsidRPr="000E39B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E39B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</w:t>
      </w:r>
      <w:r w:rsidR="0051237A" w:rsidRPr="00536898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51237A">
        <w:rPr>
          <w:rFonts w:cs="Times New Roman" w:hAnsi="Times New Roman" w:ascii="Times New Roman"/>
          <w:sz w:val="24"/>
          <w:szCs w:val="24"/>
        </w:rPr>
        <w:t>stečajnom masom iza imovine</w:t>
      </w:r>
      <w:r w:rsidR="0051237A" w:rsidRPr="00414EFF">
        <w:rPr>
          <w:rFonts w:cs="Times New Roman" w:hAnsi="Times New Roman" w:ascii="Times New Roman"/>
          <w:sz w:val="24"/>
          <w:szCs w:val="24"/>
        </w:rPr>
        <w:t xml:space="preserve"> dužnika pojedinca TIHOMIRA VINDIŠA, vl. obrta OBRA-93, </w:t>
      </w:r>
      <w:r w:rsidR="0051237A">
        <w:rPr>
          <w:rFonts w:cs="Times New Roman" w:hAnsi="Times New Roman" w:ascii="Times New Roman"/>
          <w:sz w:val="24"/>
          <w:szCs w:val="24"/>
        </w:rPr>
        <w:t>Čakovec, Travnik 26, OIB:54663356664</w:t>
      </w:r>
      <w:r w:rsidR="0051237A" w:rsidRPr="00414EFF">
        <w:rPr>
          <w:rFonts w:cs="Times New Roman" w:hAnsi="Times New Roman" w:ascii="Times New Roman"/>
          <w:sz w:val="24"/>
          <w:szCs w:val="24"/>
        </w:rPr>
        <w:t xml:space="preserve">, </w:t>
      </w:r>
      <w:r w:rsidR="0051237A">
        <w:rPr>
          <w:rFonts w:cs="Times New Roman" w:hAnsi="Times New Roman" w:ascii="Times New Roman"/>
          <w:sz w:val="24"/>
          <w:szCs w:val="24"/>
        </w:rPr>
        <w:t xml:space="preserve">zastupanoj po stečajnoj upraviteljici Mariji Holetić, iz Čakovca, dana </w:t>
      </w:r>
      <w:r w:rsidR="00E319F7">
        <w:rPr>
          <w:rFonts w:cs="Times New Roman" w:hAnsi="Times New Roman" w:ascii="Times New Roman"/>
          <w:sz w:val="24"/>
          <w:szCs w:val="24"/>
        </w:rPr>
        <w:t>2</w:t>
      </w:r>
      <w:r w:rsidR="0051237A">
        <w:rPr>
          <w:rFonts w:cs="Times New Roman" w:hAnsi="Times New Roman" w:ascii="Times New Roman"/>
          <w:sz w:val="24"/>
          <w:szCs w:val="24"/>
        </w:rPr>
        <w:t>6</w:t>
      </w:r>
      <w:r w:rsidR="00E319F7">
        <w:rPr>
          <w:rFonts w:cs="Times New Roman" w:hAnsi="Times New Roman" w:ascii="Times New Roman"/>
          <w:sz w:val="24"/>
          <w:szCs w:val="24"/>
        </w:rPr>
        <w:t xml:space="preserve">. </w:t>
      </w:r>
      <w:r w:rsidR="0051237A">
        <w:rPr>
          <w:rFonts w:cs="Times New Roman" w:hAnsi="Times New Roman" w:ascii="Times New Roman"/>
          <w:sz w:val="24"/>
          <w:szCs w:val="24"/>
        </w:rPr>
        <w:t>lipnja</w:t>
      </w:r>
      <w:r w:rsidR="00E319F7">
        <w:rPr>
          <w:rFonts w:cs="Times New Roman" w:hAnsi="Times New Roman" w:ascii="Times New Roman"/>
          <w:sz w:val="24"/>
          <w:szCs w:val="24"/>
        </w:rPr>
        <w:t xml:space="preserve"> </w:t>
      </w:r>
      <w:r w:rsidR="00C60D51">
        <w:rPr>
          <w:rFonts w:cs="Times New Roman" w:hAnsi="Times New Roman" w:ascii="Times New Roman"/>
          <w:sz w:val="24"/>
          <w:szCs w:val="24"/>
        </w:rPr>
        <w:t>2017</w:t>
      </w:r>
      <w:r w:rsidRPr="000E39B4">
        <w:rPr>
          <w:rFonts w:cs="Times New Roman" w:hAnsi="Times New Roman" w:ascii="Times New Roman"/>
          <w:sz w:val="24"/>
          <w:szCs w:val="24"/>
        </w:rPr>
        <w:t>.</w:t>
      </w:r>
      <w:r w:rsidR="00A809F4" w:rsidRPr="000E3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09F4" w:rsidP="00BA47D0" w:rsidR="00A809F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5728" w:rsidP="004625F9" w:rsidR="009F5728" w:rsidRPr="00E074DA">
      <w:pPr>
        <w:jc w:val="center"/>
        <w:rPr>
          <w:rFonts w:cs="Times New Roman" w:hAnsi="Times New Roman" w:ascii="Times New Roman"/>
          <w:sz w:val="24"/>
          <w:szCs w:val="24"/>
        </w:rPr>
      </w:pPr>
      <w:r w:rsidRPr="00E074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074DA" w:rsidP="00E074DA" w:rsidR="00E074DA" w:rsidRPr="00E074D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51237A" w:rsidR="009F572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4DA">
        <w:rPr>
          <w:rFonts w:cs="Times New Roman" w:hAnsi="Times New Roman" w:ascii="Times New Roman"/>
          <w:sz w:val="24"/>
          <w:szCs w:val="24"/>
        </w:rPr>
        <w:t>Određuje se nagrada stečajnoj upraviteljici</w:t>
      </w:r>
      <w:r w:rsidR="0051237A" w:rsidRPr="0051237A">
        <w:rPr>
          <w:rFonts w:cs="Times New Roman" w:hAnsi="Times New Roman" w:ascii="Times New Roman"/>
          <w:sz w:val="24"/>
          <w:szCs w:val="24"/>
        </w:rPr>
        <w:t xml:space="preserve"> </w:t>
      </w:r>
      <w:r w:rsidR="0051237A">
        <w:rPr>
          <w:rFonts w:cs="Times New Roman" w:hAnsi="Times New Roman" w:ascii="Times New Roman"/>
          <w:sz w:val="24"/>
          <w:szCs w:val="24"/>
        </w:rPr>
        <w:t>Mariji Holetić, iz Čakovca, Travnik 26</w:t>
      </w:r>
      <w:r w:rsidRPr="00E074DA">
        <w:rPr>
          <w:rFonts w:cs="Times New Roman" w:hAnsi="Times New Roman" w:ascii="Times New Roman"/>
          <w:sz w:val="24"/>
          <w:szCs w:val="24"/>
        </w:rPr>
        <w:t xml:space="preserve">, </w:t>
      </w:r>
      <w:r w:rsidR="0051237A">
        <w:rPr>
          <w:rFonts w:cs="Times New Roman" w:hAnsi="Times New Roman" w:ascii="Times New Roman"/>
          <w:sz w:val="24"/>
          <w:szCs w:val="24"/>
        </w:rPr>
        <w:t xml:space="preserve">OIB:40489130625 </w:t>
      </w:r>
      <w:r w:rsidRPr="00E074DA">
        <w:rPr>
          <w:rFonts w:cs="Times New Roman" w:hAnsi="Times New Roman" w:ascii="Times New Roman"/>
          <w:sz w:val="24"/>
          <w:szCs w:val="24"/>
        </w:rPr>
        <w:t xml:space="preserve">u bruto iznosu od </w:t>
      </w:r>
      <w:r w:rsidR="0051237A">
        <w:rPr>
          <w:rFonts w:cs="Times New Roman" w:hAnsi="Times New Roman" w:ascii="Times New Roman"/>
          <w:sz w:val="24"/>
          <w:szCs w:val="24"/>
        </w:rPr>
        <w:t>73.695,89</w:t>
      </w:r>
      <w:r w:rsidRPr="00E074DA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651876" w:rsidP="00651876" w:rsidR="00651876" w:rsidRPr="00E074D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9F5728" w:rsidR="009F5728" w:rsidRPr="00651876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 w:rsidRPr="00702053">
        <w:rPr>
          <w:sz w:val="24"/>
          <w:szCs w:val="24"/>
        </w:rPr>
        <w:t xml:space="preserve">                                        </w:t>
      </w:r>
      <w:r w:rsidR="004625F9">
        <w:rPr>
          <w:sz w:val="24"/>
          <w:szCs w:val="24"/>
        </w:rPr>
        <w:t xml:space="preserve">   </w:t>
      </w:r>
      <w:r w:rsidRPr="00651876">
        <w:rPr>
          <w:rFonts w:cs="Times New Roman" w:hAnsi="Times New Roman" w:ascii="Times New Roman"/>
          <w:sz w:val="24"/>
          <w:szCs w:val="24"/>
        </w:rPr>
        <w:t>Obrazloženje</w:t>
      </w:r>
    </w:p>
    <w:p w:rsidRDefault="00C04836" w:rsidP="00C04836" w:rsidR="00C04836" w:rsidRPr="005037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7BC">
        <w:rPr>
          <w:rFonts w:cs="Times New Roman" w:hAnsi="Times New Roman" w:ascii="Times New Roman"/>
          <w:sz w:val="24"/>
          <w:szCs w:val="24"/>
        </w:rPr>
        <w:t xml:space="preserve">Rješenjem ovoga suda St-69/13-69 od </w:t>
      </w:r>
      <w:r w:rsidRPr="005037BC">
        <w:rPr>
          <w:rFonts w:ascii="Times New Roman"/>
        </w:rPr>
        <w:t>28. prosinca 2015</w:t>
      </w:r>
      <w:r w:rsidRPr="005037BC">
        <w:rPr>
          <w:rFonts w:cs="Times New Roman" w:hAnsi="Times New Roman" w:ascii="Times New Roman"/>
          <w:sz w:val="24"/>
          <w:szCs w:val="24"/>
        </w:rPr>
        <w:t xml:space="preserve">., poslovni broj </w:t>
      </w:r>
      <w:r w:rsidRPr="005037BC">
        <w:rPr>
          <w:rFonts w:ascii="Times New Roman"/>
        </w:rPr>
        <w:t xml:space="preserve">St-69/13-5 </w:t>
      </w:r>
      <w:r w:rsidRPr="005037BC">
        <w:rPr>
          <w:rFonts w:cs="Times New Roman" w:hAnsi="Times New Roman" w:ascii="Times New Roman"/>
          <w:sz w:val="24"/>
          <w:szCs w:val="24"/>
        </w:rPr>
        <w:t>obustavljen je i zaključen stečajni postupak nad imovinom dužnika pojedinca TIHOMIRA VINDIŠA, vl. obrta OBRA-93, Varaždin, Petrinjska 6, OIB:</w:t>
      </w:r>
      <w:r w:rsidRPr="005037BC">
        <w:t xml:space="preserve"> </w:t>
      </w:r>
      <w:r w:rsidRPr="005037BC">
        <w:rPr>
          <w:rFonts w:cs="Times New Roman" w:hAnsi="Times New Roman" w:ascii="Times New Roman"/>
          <w:sz w:val="24"/>
          <w:szCs w:val="24"/>
        </w:rPr>
        <w:t>67820815953.</w:t>
      </w:r>
    </w:p>
    <w:p w:rsidRDefault="00C04836" w:rsidP="00C04836" w:rsidR="00C04836" w:rsidRPr="00C0483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04836">
        <w:rPr>
          <w:rFonts w:cs="Times New Roman" w:hAnsi="Times New Roman" w:ascii="Times New Roman"/>
          <w:sz w:val="24"/>
          <w:szCs w:val="24"/>
        </w:rPr>
        <w:t>Rješenjem ovog suda St-69/13 od 2. ožujka 2017. određen je nastavak stečajnog postupka nad stečajnom masom radi toga jer je pronađena imovina koja ulazi u stečajnu masu.</w:t>
      </w:r>
    </w:p>
    <w:p w:rsidRDefault="00C04836" w:rsidP="00C04836" w:rsidR="00C04836" w:rsidRPr="00C04836">
      <w:pPr>
        <w:spacing w:lineRule="auto" w:line="24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04836">
        <w:rPr>
          <w:rFonts w:cs="Times New Roman" w:hAnsi="Times New Roman" w:ascii="Times New Roman"/>
          <w:sz w:val="24"/>
          <w:szCs w:val="24"/>
        </w:rPr>
        <w:t>Nakon unovčenja cjelokupne imovine i namirenja vjerovnika stečajna upraviteljica je predložila da joj se odredi nagrada u ovom stečajnom postupku u skladu s odredbama Stečajnog zakona i Uredbe o kriterijima i načinu obračuna i plaćanja nagrade stečajnim upraviteljima u bruto iznosu od 73.795,89 kuna.</w:t>
      </w:r>
    </w:p>
    <w:p w:rsidRDefault="000A190E" w:rsidP="00C56547" w:rsidR="00844A19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ab/>
      </w:r>
      <w:r w:rsidR="001F0891" w:rsidRPr="00C56547">
        <w:rPr>
          <w:rFonts w:cs="Times New Roman" w:hAnsi="Times New Roman" w:ascii="Times New Roman"/>
          <w:sz w:val="24"/>
          <w:szCs w:val="24"/>
        </w:rPr>
        <w:t>Prema čl. 94</w:t>
      </w:r>
      <w:r w:rsidR="009F5728" w:rsidRPr="00C56547">
        <w:rPr>
          <w:rFonts w:cs="Times New Roman" w:hAnsi="Times New Roman" w:ascii="Times New Roman"/>
          <w:sz w:val="24"/>
          <w:szCs w:val="24"/>
        </w:rPr>
        <w:t>. Steča</w:t>
      </w:r>
      <w:r w:rsidR="001F0891" w:rsidRPr="00C56547">
        <w:rPr>
          <w:rFonts w:cs="Times New Roman" w:hAnsi="Times New Roman" w:ascii="Times New Roman"/>
          <w:sz w:val="24"/>
          <w:szCs w:val="24"/>
        </w:rPr>
        <w:t>jnog zakona</w:t>
      </w:r>
      <w:r w:rsidR="009F5728" w:rsidRPr="00C56547">
        <w:rPr>
          <w:rFonts w:cs="Times New Roman" w:hAnsi="Times New Roman" w:ascii="Times New Roman"/>
          <w:sz w:val="24"/>
          <w:szCs w:val="24"/>
        </w:rPr>
        <w:t xml:space="preserve"> stečajni upravitelj ima pravo na nagradu za svoj rad te na naknadu stvarnih troškova. </w:t>
      </w:r>
    </w:p>
    <w:p w:rsidRDefault="000A190E" w:rsidP="00C56547" w:rsidR="00844A19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ab/>
      </w:r>
      <w:r w:rsidR="00844A19" w:rsidRPr="00C56547">
        <w:rPr>
          <w:rFonts w:cs="Times New Roman" w:hAnsi="Times New Roman" w:ascii="Times New Roman"/>
          <w:sz w:val="24"/>
          <w:szCs w:val="24"/>
        </w:rPr>
        <w:t>Nagradu stečajnom upravitelju rješenjem određuje sud prema uredbi kojom Vlada Republike Hrvatske utvrđuje kriterije i</w:t>
      </w:r>
      <w:r w:rsidR="00C56547">
        <w:rPr>
          <w:rFonts w:cs="Times New Roman" w:hAnsi="Times New Roman" w:ascii="Times New Roman"/>
          <w:sz w:val="24"/>
          <w:szCs w:val="24"/>
        </w:rPr>
        <w:t xml:space="preserve"> način obračuna i plaćanja nagra</w:t>
      </w:r>
      <w:r w:rsidR="00844A19" w:rsidRPr="00C56547">
        <w:rPr>
          <w:rFonts w:cs="Times New Roman" w:hAnsi="Times New Roman" w:ascii="Times New Roman"/>
          <w:sz w:val="24"/>
          <w:szCs w:val="24"/>
        </w:rPr>
        <w:t>de stečajnim upraviteljima</w:t>
      </w:r>
    </w:p>
    <w:p w:rsidRDefault="00733821" w:rsidP="00C56547" w:rsidR="00733821" w:rsidRPr="00C56547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p w:rsidRDefault="00733821" w:rsidP="00733821" w:rsidR="00733821">
      <w:pPr>
        <w:jc w:val="both"/>
      </w:pPr>
    </w:p>
    <w:p w:rsidRDefault="00C56547" w:rsidP="00733821" w:rsidR="00C56547">
      <w:pPr>
        <w:jc w:val="both"/>
      </w:pPr>
    </w:p>
    <w:tbl>
      <w:tblPr>
        <w:tblW w:type="dxa" w:w="9645"/>
        <w:tblInd w:type="dxa" w:w="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450"/>
        <w:gridCol w:w="3570"/>
        <w:gridCol w:w="1762"/>
        <w:gridCol w:w="1928"/>
        <w:gridCol w:w="1935"/>
      </w:tblGrid>
      <w:tr w:rsidTr="003635D6" w:rsidR="00733821">
        <w:tc>
          <w:tcPr>
            <w:tcW w:type="dxa" w:w="45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357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Vrijednost unovčene</w:t>
            </w:r>
          </w:p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stečajne mase u kn</w:t>
            </w:r>
          </w:p>
        </w:tc>
        <w:tc>
          <w:tcPr>
            <w:tcW w:type="dxa" w:w="1762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Osnovica u kn</w:t>
            </w:r>
          </w:p>
        </w:tc>
        <w:tc>
          <w:tcPr>
            <w:tcW w:type="dxa" w:w="1928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Nagrada u %</w:t>
            </w:r>
          </w:p>
        </w:tc>
        <w:tc>
          <w:tcPr>
            <w:tcW w:type="dxa" w:w="1935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Iznos nagrade u kn</w:t>
            </w:r>
          </w:p>
        </w:tc>
      </w:tr>
      <w:tr w:rsidTr="003635D6" w:rsidR="00733821">
        <w:tc>
          <w:tcPr>
            <w:tcW w:type="dxa" w:w="45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1.</w:t>
            </w:r>
          </w:p>
        </w:tc>
        <w:tc>
          <w:tcPr>
            <w:tcW w:type="dxa" w:w="357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 xml:space="preserve">do    100.000,00 </w:t>
            </w:r>
          </w:p>
        </w:tc>
        <w:tc>
          <w:tcPr>
            <w:tcW w:type="dxa" w:w="1762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100.000,00</w:t>
            </w:r>
          </w:p>
        </w:tc>
        <w:tc>
          <w:tcPr>
            <w:tcW w:type="dxa" w:w="1928"/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 xml:space="preserve"> 16%</w:t>
            </w:r>
          </w:p>
        </w:tc>
        <w:tc>
          <w:tcPr>
            <w:tcW w:type="dxa" w:w="1935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16.000,00</w:t>
            </w:r>
          </w:p>
        </w:tc>
      </w:tr>
      <w:tr w:rsidTr="003635D6" w:rsidR="00733821">
        <w:tc>
          <w:tcPr>
            <w:tcW w:type="dxa" w:w="45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2.</w:t>
            </w:r>
          </w:p>
        </w:tc>
        <w:tc>
          <w:tcPr>
            <w:tcW w:type="dxa" w:w="357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od    100.000,01     –      300.000,00</w:t>
            </w:r>
          </w:p>
        </w:tc>
        <w:tc>
          <w:tcPr>
            <w:tcW w:type="dxa" w:w="1762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200.000,00</w:t>
            </w:r>
          </w:p>
        </w:tc>
        <w:tc>
          <w:tcPr>
            <w:tcW w:type="dxa" w:w="1928"/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>12%</w:t>
            </w:r>
          </w:p>
        </w:tc>
        <w:tc>
          <w:tcPr>
            <w:tcW w:type="dxa" w:w="1935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24.000,00</w:t>
            </w:r>
          </w:p>
        </w:tc>
      </w:tr>
      <w:tr w:rsidTr="003635D6" w:rsidR="00733821">
        <w:tc>
          <w:tcPr>
            <w:tcW w:type="dxa" w:w="45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3.</w:t>
            </w:r>
          </w:p>
        </w:tc>
        <w:tc>
          <w:tcPr>
            <w:tcW w:type="dxa" w:w="357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od    300.000,01     –      500.000,00</w:t>
            </w:r>
          </w:p>
        </w:tc>
        <w:tc>
          <w:tcPr>
            <w:tcW w:type="dxa" w:w="1762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200.000,00</w:t>
            </w:r>
          </w:p>
        </w:tc>
        <w:tc>
          <w:tcPr>
            <w:tcW w:type="dxa" w:w="1928"/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>10%</w:t>
            </w:r>
          </w:p>
        </w:tc>
        <w:tc>
          <w:tcPr>
            <w:tcW w:type="dxa" w:w="1935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20.000,00</w:t>
            </w:r>
          </w:p>
        </w:tc>
      </w:tr>
      <w:tr w:rsidTr="003635D6" w:rsidR="00733821">
        <w:tc>
          <w:tcPr>
            <w:tcW w:type="dxa" w:w="45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4.</w:t>
            </w:r>
          </w:p>
        </w:tc>
        <w:tc>
          <w:tcPr>
            <w:tcW w:type="dxa" w:w="3570"/>
            <w:shd w:fill="auto" w:color="auto" w:val="clear"/>
          </w:tcPr>
          <w:p w:rsidRDefault="00733821" w:rsidP="00C04836" w:rsidR="00733821">
            <w:pPr>
              <w:pStyle w:val="TableContents"/>
              <w:jc w:val="both"/>
              <w:rPr>
                <w:rFonts w:hint="eastAsia"/>
              </w:rPr>
            </w:pPr>
            <w:r>
              <w:t xml:space="preserve">od    500.000,01     –      </w:t>
            </w:r>
            <w:r w:rsidR="00C04836">
              <w:t>671.198,65</w:t>
            </w:r>
          </w:p>
        </w:tc>
        <w:tc>
          <w:tcPr>
            <w:tcW w:type="dxa" w:w="1762"/>
            <w:shd w:fill="auto" w:color="auto" w:val="clear"/>
          </w:tcPr>
          <w:p w:rsidRDefault="00C04836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171.198,65</w:t>
            </w:r>
          </w:p>
        </w:tc>
        <w:tc>
          <w:tcPr>
            <w:tcW w:type="dxa" w:w="1928"/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>8%</w:t>
            </w:r>
          </w:p>
        </w:tc>
        <w:tc>
          <w:tcPr>
            <w:tcW w:type="dxa" w:w="1935"/>
            <w:shd w:fill="auto" w:color="auto" w:val="clear"/>
          </w:tcPr>
          <w:p w:rsidRDefault="00C04836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13.695,89</w:t>
            </w:r>
          </w:p>
        </w:tc>
      </w:tr>
      <w:tr w:rsidTr="003635D6" w:rsidR="00733821">
        <w:tc>
          <w:tcPr>
            <w:tcW w:type="dxa" w:w="45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3570"/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1762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</w:p>
        </w:tc>
        <w:tc>
          <w:tcPr>
            <w:tcW w:type="dxa" w:w="1928"/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UKUPNO:</w:t>
            </w:r>
          </w:p>
        </w:tc>
        <w:tc>
          <w:tcPr>
            <w:tcW w:type="dxa" w:w="1935"/>
            <w:shd w:fill="auto" w:color="auto" w:val="clear"/>
          </w:tcPr>
          <w:p w:rsidRDefault="00C04836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73.695,89</w:t>
            </w:r>
          </w:p>
        </w:tc>
      </w:tr>
    </w:tbl>
    <w:p w:rsidRDefault="00733821" w:rsidP="00733821" w:rsidR="00733821">
      <w:pPr>
        <w:jc w:val="both"/>
      </w:pPr>
    </w:p>
    <w:p w:rsidRDefault="00733821" w:rsidP="00C56547" w:rsidR="00733821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C0153">
        <w:rPr>
          <w:szCs w:val="24"/>
        </w:rPr>
        <w:tab/>
      </w:r>
      <w:r w:rsidRPr="00C56547">
        <w:rPr>
          <w:rFonts w:cs="Times New Roman" w:hAnsi="Times New Roman" w:ascii="Times New Roman"/>
          <w:sz w:val="24"/>
          <w:szCs w:val="24"/>
        </w:rPr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733821" w:rsidP="003635D6" w:rsidR="009F5728">
      <w:pPr>
        <w:tabs>
          <w:tab w:pos="709" w:val="num"/>
        </w:tabs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ab/>
        <w:t xml:space="preserve">Uzimajući u obzir obujam i složenost poslova, rad stečajnog upravitelja na ispitivanju tražbina te vrijednost unovčene stečajne mase primjenom čl. 29. st. 2. SZ-a odlučeno je kao </w:t>
      </w:r>
      <w:r w:rsidR="00C04836">
        <w:rPr>
          <w:rFonts w:cs="Times New Roman" w:hAnsi="Times New Roman" w:ascii="Times New Roman"/>
          <w:sz w:val="24"/>
          <w:szCs w:val="24"/>
        </w:rPr>
        <w:t>u izreci ovog rješenja</w:t>
      </w:r>
      <w:r w:rsidRPr="00C56547">
        <w:rPr>
          <w:rFonts w:cs="Times New Roman" w:hAnsi="Times New Roman" w:ascii="Times New Roman"/>
          <w:sz w:val="24"/>
          <w:szCs w:val="24"/>
        </w:rPr>
        <w:t>.</w:t>
      </w:r>
    </w:p>
    <w:p w:rsidRDefault="003635D6" w:rsidP="003635D6" w:rsidR="003635D6" w:rsidRPr="003635D6">
      <w:pPr>
        <w:tabs>
          <w:tab w:pos="709" w:val="num"/>
        </w:tabs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5368C" w:rsidP="003635D6" w:rsidR="009F5728">
      <w:pPr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26</w:t>
      </w:r>
      <w:r w:rsidR="009F5728" w:rsidRPr="00E50C5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 2018</w:t>
      </w:r>
      <w:r w:rsidR="009F5728" w:rsidRPr="00E50C53">
        <w:rPr>
          <w:rFonts w:cs="Times New Roman" w:hAnsi="Times New Roman" w:ascii="Times New Roman"/>
          <w:sz w:val="24"/>
          <w:szCs w:val="24"/>
        </w:rPr>
        <w:t>.</w:t>
      </w:r>
    </w:p>
    <w:p w:rsidRDefault="003635D6" w:rsidP="003635D6" w:rsidR="003635D6" w:rsidRPr="003635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F5728" w:rsidP="00E50C53" w:rsidR="009F5728" w:rsidRPr="00E50C53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E50C53">
        <w:rPr>
          <w:rFonts w:cs="Times New Roman" w:hAnsi="Times New Roman" w:ascii="Times New Roman"/>
          <w:sz w:val="24"/>
          <w:szCs w:val="24"/>
        </w:rPr>
        <w:t>SUDAC</w:t>
      </w:r>
    </w:p>
    <w:p w:rsidRDefault="003635D6" w:rsidP="008600CB" w:rsidR="003635D6" w:rsidRPr="00E50C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9F5728" w:rsidRPr="00E50C53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35D6" w:rsidP="00E50C53" w:rsidR="003635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5D6" w:rsidP="00E50C53" w:rsidR="003635D6" w:rsidRPr="00E50C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0F1EBD" w:rsidR="009F5728" w:rsidRPr="00E50C53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C53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44507E" w:rsidP="0044507E" w:rsidR="004450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4507E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3635D6" w:rsidP="0044507E" w:rsidR="003635D6" w:rsidRPr="004450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3344C6" w:rsidR="009F5728" w:rsidRPr="000F1EBD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>DNA:</w:t>
      </w:r>
    </w:p>
    <w:p w:rsidRDefault="000F1EBD" w:rsidP="003344C6" w:rsidR="009F5728" w:rsidRPr="000F1EBD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>- stečajna upraviteljica</w:t>
      </w:r>
      <w:r w:rsidR="009F5728" w:rsidRPr="000F1EBD">
        <w:rPr>
          <w:rFonts w:cs="Times New Roman" w:hAnsi="Times New Roman" w:ascii="Times New Roman"/>
          <w:sz w:val="24"/>
          <w:szCs w:val="24"/>
        </w:rPr>
        <w:t xml:space="preserve"> </w:t>
      </w:r>
      <w:r w:rsidR="003635D6">
        <w:rPr>
          <w:rFonts w:cs="Times New Roman" w:hAnsi="Times New Roman" w:ascii="Times New Roman"/>
          <w:sz w:val="24"/>
          <w:szCs w:val="24"/>
        </w:rPr>
        <w:t>Marija Holetić, Travnik 26, Čakovec</w:t>
      </w:r>
    </w:p>
    <w:p w:rsidRDefault="009F5728" w:rsidP="003344C6" w:rsidR="009F5728" w:rsidRPr="000F1E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 xml:space="preserve">- </w:t>
      </w:r>
      <w:r w:rsidR="000F1EBD" w:rsidRPr="000F1EBD">
        <w:rPr>
          <w:rFonts w:cs="Times New Roman" w:hAnsi="Times New Roman" w:ascii="Times New Roman"/>
          <w:sz w:val="24"/>
          <w:szCs w:val="24"/>
        </w:rPr>
        <w:t>e-</w:t>
      </w:r>
      <w:r w:rsidRPr="000F1EBD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9F5728" w:rsidP="003344C6" w:rsidR="009F5728" w:rsidRPr="00F452D1">
      <w:pPr>
        <w:spacing w:lineRule="auto" w:line="240" w:after="0"/>
        <w:jc w:val="both"/>
        <w:rPr>
          <w:sz w:val="24"/>
          <w:szCs w:val="24"/>
        </w:rPr>
      </w:pPr>
    </w:p>
    <w:p w:rsidRDefault="00FE6F4D" w:rsidP="00F917CB" w:rsidR="00FE6F4D" w:rsidRPr="00C0190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809F4" w:rsidR="00FE6F4D" w:rsidRPr="00C0190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837" w:rsidP="00A809F4" w:rsidR="00324837">
      <w:pPr>
        <w:spacing w:lineRule="auto" w:line="240" w:after="0"/>
      </w:pPr>
      <w:r>
        <w:separator/>
      </w:r>
    </w:p>
  </w:endnote>
  <w:end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837" w:rsidP="00A809F4" w:rsidR="00324837">
      <w:pPr>
        <w:spacing w:lineRule="auto" w:line="240" w:after="0"/>
      </w:pPr>
      <w:r>
        <w:separator/>
      </w:r>
    </w:p>
  </w:footnote>
  <w:foot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3516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09F4" w:rsidP="00A809F4" w:rsidR="00A809F4" w:rsidRPr="00A809F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09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09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00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7630E4" w:rsidP="007630E4" w:rsidR="007630E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94BF7" w:rsidRPr="00A809F4">
      <w:rPr>
        <w:rFonts w:cs="Times New Roman" w:hAnsi="Times New Roman" w:ascii="Times New Roman"/>
        <w:sz w:val="24"/>
        <w:szCs w:val="24"/>
      </w:rPr>
      <w:t xml:space="preserve">Poslovni broj: </w:t>
    </w:r>
    <w:r w:rsidR="00294BF7">
      <w:rPr>
        <w:rFonts w:cs="Times New Roman" w:hAnsi="Times New Roman" w:ascii="Times New Roman"/>
        <w:sz w:val="24"/>
        <w:szCs w:val="24"/>
      </w:rPr>
      <w:t>4</w:t>
    </w:r>
    <w:r w:rsidR="00294BF7" w:rsidRPr="00A809F4">
      <w:rPr>
        <w:rFonts w:cs="Times New Roman" w:hAnsi="Times New Roman" w:ascii="Times New Roman"/>
        <w:sz w:val="24"/>
        <w:szCs w:val="24"/>
      </w:rPr>
      <w:t xml:space="preserve"> St-</w:t>
    </w:r>
    <w:r w:rsidR="003344C6">
      <w:rPr>
        <w:rFonts w:cs="Times New Roman" w:hAnsi="Times New Roman" w:ascii="Times New Roman"/>
        <w:sz w:val="24"/>
        <w:szCs w:val="24"/>
      </w:rPr>
      <w:t>175/17</w:t>
    </w:r>
    <w:r w:rsidR="00932699">
      <w:rPr>
        <w:rFonts w:cs="Times New Roman" w:hAnsi="Times New Roman" w:ascii="Times New Roman"/>
        <w:sz w:val="24"/>
        <w:szCs w:val="24"/>
      </w:rPr>
      <w:t>-</w:t>
    </w:r>
    <w:r w:rsidR="003635D6">
      <w:rPr>
        <w:rFonts w:cs="Times New Roman" w:hAnsi="Times New Roman" w:ascii="Times New Roman"/>
        <w:sz w:val="24"/>
        <w:szCs w:val="24"/>
      </w:rPr>
      <w:t>15</w:t>
    </w:r>
  </w:p>
  <w:p w:rsidRDefault="00A809F4" w:rsidR="00A80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6120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30E4" w:rsidR="007630E4" w:rsidRPr="007630E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30E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30E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00C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30E4" w:rsidR="00A809F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</w:t>
    </w:r>
    <w:r w:rsidR="004625F9">
      <w:rPr>
        <w:rFonts w:cs="Times New Roman" w:hAnsi="Times New Roman" w:ascii="Times New Roman"/>
        <w:sz w:val="24"/>
        <w:szCs w:val="24"/>
      </w:rPr>
      <w:t>175/17-</w:t>
    </w:r>
    <w:r w:rsidR="003635D6">
      <w:rPr>
        <w:rFonts w:cs="Times New Roman" w:hAnsi="Times New Roman" w:ascii="Times New Roman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</w:abstractNum>
  <w:abstractNum w:abstractNumId="1">
    <w:nsid w:val="024C58F8"/>
    <w:multiLevelType w:val="hybridMultilevel"/>
    <w:tmpl w:val="BD5C2A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A42F3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8">
    <w:nsid w:val="5D8F0C72"/>
    <w:multiLevelType w:val="hybridMultilevel"/>
    <w:tmpl w:val="E5E40168"/>
    <w:lvl w:tplc="74B49F46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67224CF6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7"/>
  </w:num>
  <w:num w:numId="10">
    <w:abstractNumId w:val="11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905"/>
    <w:rsid w:val="00080D5D"/>
    <w:rsid w:val="000A190E"/>
    <w:rsid w:val="000C0AAF"/>
    <w:rsid w:val="000E35A6"/>
    <w:rsid w:val="000E39B4"/>
    <w:rsid w:val="000F1EBD"/>
    <w:rsid w:val="001017B2"/>
    <w:rsid w:val="00104C5A"/>
    <w:rsid w:val="001B2C86"/>
    <w:rsid w:val="001C3251"/>
    <w:rsid w:val="001E44DF"/>
    <w:rsid w:val="001E5D8C"/>
    <w:rsid w:val="001F0891"/>
    <w:rsid w:val="0023759C"/>
    <w:rsid w:val="00282476"/>
    <w:rsid w:val="00294BF7"/>
    <w:rsid w:val="0029602C"/>
    <w:rsid w:val="002A0A77"/>
    <w:rsid w:val="002A39D7"/>
    <w:rsid w:val="002C5DF9"/>
    <w:rsid w:val="003108E2"/>
    <w:rsid w:val="00324837"/>
    <w:rsid w:val="00331E19"/>
    <w:rsid w:val="003344C6"/>
    <w:rsid w:val="00336F64"/>
    <w:rsid w:val="003635D6"/>
    <w:rsid w:val="003768BB"/>
    <w:rsid w:val="00386A93"/>
    <w:rsid w:val="003B3070"/>
    <w:rsid w:val="003C20DD"/>
    <w:rsid w:val="003D28D8"/>
    <w:rsid w:val="00430646"/>
    <w:rsid w:val="00444F00"/>
    <w:rsid w:val="0044507E"/>
    <w:rsid w:val="004625F9"/>
    <w:rsid w:val="004753B2"/>
    <w:rsid w:val="004775AD"/>
    <w:rsid w:val="0051237A"/>
    <w:rsid w:val="005678E6"/>
    <w:rsid w:val="00634B3B"/>
    <w:rsid w:val="00651876"/>
    <w:rsid w:val="006525C6"/>
    <w:rsid w:val="00697DCB"/>
    <w:rsid w:val="006D50A0"/>
    <w:rsid w:val="006E47D9"/>
    <w:rsid w:val="00720DF2"/>
    <w:rsid w:val="007229C2"/>
    <w:rsid w:val="00733821"/>
    <w:rsid w:val="007630E4"/>
    <w:rsid w:val="00772F9D"/>
    <w:rsid w:val="00786C54"/>
    <w:rsid w:val="007C3963"/>
    <w:rsid w:val="00804600"/>
    <w:rsid w:val="00814C5F"/>
    <w:rsid w:val="00844A19"/>
    <w:rsid w:val="008600CB"/>
    <w:rsid w:val="008A277F"/>
    <w:rsid w:val="00932699"/>
    <w:rsid w:val="00936B31"/>
    <w:rsid w:val="009F391A"/>
    <w:rsid w:val="009F5728"/>
    <w:rsid w:val="00A174B5"/>
    <w:rsid w:val="00A75B58"/>
    <w:rsid w:val="00A809F4"/>
    <w:rsid w:val="00AA277F"/>
    <w:rsid w:val="00AB1336"/>
    <w:rsid w:val="00B732CB"/>
    <w:rsid w:val="00BA47D0"/>
    <w:rsid w:val="00BA5591"/>
    <w:rsid w:val="00C01905"/>
    <w:rsid w:val="00C04836"/>
    <w:rsid w:val="00C5368C"/>
    <w:rsid w:val="00C56547"/>
    <w:rsid w:val="00C60D51"/>
    <w:rsid w:val="00CB6799"/>
    <w:rsid w:val="00CD585D"/>
    <w:rsid w:val="00CF1D43"/>
    <w:rsid w:val="00D85EA8"/>
    <w:rsid w:val="00D9256E"/>
    <w:rsid w:val="00DC3A95"/>
    <w:rsid w:val="00DD3002"/>
    <w:rsid w:val="00E074DA"/>
    <w:rsid w:val="00E319F7"/>
    <w:rsid w:val="00E50C53"/>
    <w:rsid w:val="00E64961"/>
    <w:rsid w:val="00E93206"/>
    <w:rsid w:val="00F60EA5"/>
    <w:rsid w:val="00F917CB"/>
    <w:rsid w:val="00F949BE"/>
    <w:rsid w:val="00FB410B"/>
    <w:rsid w:val="00FE18AB"/>
    <w:rsid w:val="00FE6F4D"/>
    <w:rsid w:val="00FF21A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3635D6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3C20DD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AA277F"/>
    <w:pPr>
      <w:overflowPunct w:val="false"/>
      <w:autoSpaceDE w:val="false"/>
      <w:autoSpaceDN w:val="false"/>
      <w:adjustRightInd w:val="false"/>
      <w:spacing w:lineRule="auto" w:line="240" w:after="0"/>
      <w:jc w:val="both"/>
      <w:textAlignment w:val="baseline"/>
    </w:pPr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A277F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E35A6"/>
  </w:style>
  <w:style w:customStyle="true" w:styleId="TableContents" w:type="paragraph">
    <w:name w:val="Table Contents"/>
    <w:basedOn w:val="Normal"/>
    <w:rsid w:val="00733821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customStyle="true" w:styleId="Naslov2Char" w:type="character">
    <w:name w:val="Naslov 2 Char"/>
    <w:basedOn w:val="Zadanifontodlomka"/>
    <w:link w:val="Naslov2"/>
    <w:rsid w:val="003635D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0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0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0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0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3635D6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3C20DD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AA277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A277F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E35A6"/>
  </w:style>
  <w:style w:customStyle="1" w:styleId="TableContents" w:type="paragraph">
    <w:name w:val="Table Contents"/>
    <w:basedOn w:val="Normal"/>
    <w:rsid w:val="00733821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customStyle="1" w:styleId="Naslov2Char" w:type="character">
    <w:name w:val="Naslov 2 Char"/>
    <w:basedOn w:val="Zadanifontodlomka"/>
    <w:link w:val="Naslov2"/>
    <w:rsid w:val="003635D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0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0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0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0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st. postupka nad imovinom dužnika pojedinca 2.3.2017.</izvorni_sadrzaj>
    <derivirana_varijabla naziv="DomainObject.Predmet.Opis_1">Nastavak st. postupka nad imovinom dužnika pojedinca 2.3.2017.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Tihomir Vindiš, vl. obrta OBRA-93 u stečaju zastupanog po punomoćniku Marija Holetić</izvorni_sadrzaj>
    <derivirana_varijabla naziv="DomainObject.Predmet.ProtustrankaFormated_1">  Stečajna masa iza Tihomir Vindiš, vl. obrta OBRA-93 u stečaju zastupanog po punomoćniku Marija Holetić</derivirana_varijabla>
  </DomainObject.Predmet.ProtustrankaFormated>
  <DomainObject.Predmet.ProtustrankaFormatedOIB>
    <izvorni_sadrzaj>  Stečajna masa iza Tihomir Vindiš, vl. obrta OBRA-93 u stečaju, OIB 67820815953 zastupanog po punomoćniku Marija Holetić</izvorni_sadrzaj>
    <derivirana_varijabla naziv="DomainObject.Predmet.ProtustrankaFormatedOIB_1">  Stečajna masa iza Tihomir Vindiš, vl. obrta OBRA-93 u stečaju, OIB 67820815953 zastupanog po punomoćniku Marija Holetić</derivirana_varijabla>
  </DomainObject.Predmet.ProtustrankaFormatedOIB>
  <DomainObject.Predmet.ProtustrankaFormatedWithAdress>
    <izvorni_sadrzaj> Stečajna masa iza Tihomir Vindiš, vl. obrta OBRA-93 u stečaju, Travnik 26, 40000 Čakovec zastupanog po punomoćniku Marija Holetić</izvorni_sadrzaj>
    <derivirana_varijabla naziv="DomainObject.Predmet.ProtustrankaFormatedWithAdress_1"> Stečajna masa iza Tihomir Vindiš, vl. obrta OBRA-93 u stečaju, Travnik 26, 40000 Čakovec zastupanog po punomoćniku Marija Holetić</derivirana_varijabla>
  </DomainObject.Predmet.ProtustrankaFormatedWithAdress>
  <DomainObject.Predmet.ProtustrankaFormatedWithAdressOIB>
    <izvorni_sadrzaj> Stečajna masa iza Tihomir Vindiš, vl. obrta OBRA-93 u stečaju, OIB 67820815953, Travnik 26, 40000 Čakovec zastupanog po punomoćniku Marija Holetić</izvorni_sadrzaj>
    <derivirana_varijabla naziv="DomainObject.Predmet.ProtustrankaFormatedWithAdressOIB_1"> Stečajna masa iza Tihomir Vindiš, vl. obrta OBRA-93 u stečaju, OIB 67820815953, Travnik 26, 40000 Čakovec zastupanog po punomoćniku Marija Holetić</derivirana_varijabla>
  </DomainObject.Predmet.ProtustrankaFormatedWithAdressOIB>
  <DomainObject.Predmet.ProtustrankaWithAdress>
    <izvorni_sadrzaj>Stečajna masa iza Tihomir Vindiš, vl. obrta OBRA-93 u stečaju Travnik 26, 40000 Čakovec</izvorni_sadrzaj>
    <derivirana_varijabla naziv="DomainObject.Predmet.ProtustrankaWithAdress_1">Stečajna masa iza Tihomir Vindiš, vl. obrta OBRA-93 u stečaju Travnik 26, 40000 Čakovec</derivirana_varijabla>
  </DomainObject.Predmet.ProtustrankaWithAdress>
  <DomainObject.Predmet.ProtustrankaWithAdressOIB>
    <izvorni_sadrzaj>Stečajna masa iza Tihomir Vindiš, vl. obrta OBRA-93 u stečaju, OIB 67820815953, Travnik 26, 40000 Čakovec</izvorni_sadrzaj>
    <derivirana_varijabla naziv="DomainObject.Predmet.ProtustrankaWithAdressOIB_1">Stečajna masa iza Tihomir Vindiš, vl. obrta OBRA-93 u stečaju, OIB 67820815953, Travnik 26, 40000 Čakovec</derivirana_varijabla>
  </DomainObject.Predmet.ProtustrankaWithAdressOIB>
  <DomainObject.Predmet.ProtustrankaNazivFormated>
    <izvorni_sadrzaj>Stečajna masa iza Tihomir Vindiš, vl. obrta OBRA-93 u stečaju</izvorni_sadrzaj>
    <derivirana_varijabla naziv="DomainObject.Predmet.ProtustrankaNazivFormated_1">Stečajna masa iza Tihomir Vindiš, vl. obrta OBRA-93 u stečaju</derivirana_varijabla>
  </DomainObject.Predmet.ProtustrankaNazivFormated>
  <DomainObject.Predmet.ProtustrankaNazivFormatedOIB>
    <izvorni_sadrzaj>Stečajna masa iza Tihomir Vindiš, vl. obrta OBRA-93 u stečaju, OIB 67820815953</izvorni_sadrzaj>
    <derivirana_varijabla naziv="DomainObject.Predmet.ProtustrankaNazivFormatedOIB_1">Stečajna masa iza Tihomir Vindiš, vl. obrta OBRA-93 u stečaju,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</izvorni_sadrzaj>
    <derivirana_varijabla naziv="DomainObject.Predmet.StrankaFormated_1">  FINANCIJSKA AGENCIJA /</derivirana_varijabla>
  </DomainObject.Predmet.StrankaFormated>
  <DomainObject.Predmet.StrankaFormatedOIB>
    <izvorni_sadrzaj>  FINANCIJSKA AGENCIJA /, OIB 85821130368</izvorni_sadrzaj>
    <derivirana_varijabla naziv="DomainObject.Predmet.StrankaFormatedOIB_1">  FINANCIJSKA AGENCIJA /, OIB 85821130368</derivirana_varijabla>
  </DomainObject.Predmet.StrankaFormatedOIB>
  <DomainObject.Predmet.StrankaFormatedWithAdress>
    <izvorni_sadrzaj> FINANCIJSKA AGENCIJA /, Albrechtova 42, 10000 Zagreb</izvorni_sadrzaj>
    <derivirana_varijabla naziv="DomainObject.Predmet.StrankaFormatedWithAdress_1"> FINANCIJSKA AGENCIJA /, Albrechtova 42, 10000 Zagreb</derivirana_varijabla>
  </DomainObject.Predmet.StrankaFormatedWithAdress>
  <DomainObject.Predmet.StrankaFormatedWithAdressOIB>
    <izvorni_sadrzaj> FINANCIJSKA AGENCIJA /, OIB 85821130368, Albrechtova 42, 10000 Zagreb</izvorni_sadrzaj>
    <derivirana_varijabla naziv="DomainObject.Predmet.StrankaFormatedWithAdressOIB_1"> FINANCIJSKA AGENCIJA /, OIB 85821130368, Albrechtova 42, 10000 Zagreb</derivirana_varijabla>
  </DomainObject.Predmet.StrankaFormatedWithAdressOIB>
  <DomainObject.Predmet.StrankaWithAdress>
    <izvorni_sadrzaj>FINANCIJSKA AGENCIJA / Albrechtova 42,10000 Zagreb</izvorni_sadrzaj>
    <derivirana_varijabla naziv="DomainObject.Predmet.StrankaWithAdress_1">FINANCIJSKA AGENCIJA / Albrechtova 42,10000 Zagreb</derivirana_varijabla>
  </DomainObject.Predmet.StrankaWithAdress>
  <DomainObject.Predmet.StrankaWithAdressOIB>
    <izvorni_sadrzaj>FINANCIJSKA AGENCIJA /, OIB 85821130368, Albrechtova 42,10000 Zagreb</izvorni_sadrzaj>
    <derivirana_varijabla naziv="DomainObject.Predmet.StrankaWithAdressOIB_1">FINANCIJSKA AGENCIJA /, OIB 85821130368, Albrechtova 42,10000 Zagreb</derivirana_varijabla>
  </DomainObject.Predmet.StrankaWithAdressOIB>
  <DomainObject.Predmet.StrankaNazivFormated>
    <izvorni_sadrzaj>FINANCIJSKA AGENCIJA /</izvorni_sadrzaj>
    <derivirana_varijabla naziv="DomainObject.Predmet.StrankaNazivFormated_1">FINANCIJSKA AGENCIJA /</derivirana_varijabla>
  </DomainObject.Predmet.StrankaNazivFormated>
  <DomainObject.Predmet.StrankaNazivFormatedOIB>
    <izvorni_sadrzaj>FINANCIJSKA AGENCIJA /, OIB 85821130368</izvorni_sadrzaj>
    <derivirana_varijabla naziv="DomainObject.Predmet.StrankaNazivFormatedOIB_1">FINANCIJSKA AGENCIJA /,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328537.85</izvorni_sadrzaj>
    <derivirana_varijabla naziv="DomainObject.Predmet.TrenutnaVrijednost_1">328537.85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</item>
    </izvorni_sadrzaj>
    <derivirana_varijabla naziv="DomainObject.Predmet.StrankaListFormated_1">
      <item>FINANCIJSKA AGENCIJA /</item>
    </derivirana_varijabla>
  </DomainObject.Predmet.StrankaListFormated>
  <DomainObject.Predmet.StrankaListFormatedOIB>
    <izvorni_sadrzaj>
      <item>FINANCIJSKA AGENCIJA /, OIB 85821130368</item>
    </izvorni_sadrzaj>
    <derivirana_varijabla naziv="DomainObject.Predmet.StrankaListFormatedOIB_1">
      <item>FINANCIJSKA AGENCIJA /, OIB 85821130368</item>
    </derivirana_varijabla>
  </DomainObject.Predmet.StrankaListFormatedOIB>
  <DomainObject.Predmet.StrankaListFormatedWithAdress>
    <izvorni_sadrzaj>
      <item>FINANCIJSKA AGENCIJA /, Albrechtova 42, 10000 Zagreb</item>
    </izvorni_sadrzaj>
    <derivirana_varijabla naziv="DomainObject.Predmet.StrankaListFormatedWithAdress_1">
      <item>FINANCIJSKA AGENCIJA /, Albrechtova 42, 10000 Zagreb</item>
    </derivirana_varijabla>
  </DomainObject.Predmet.StrankaListFormatedWithAdress>
  <DomainObject.Predmet.StrankaListFormatedWithAdressOIB>
    <izvorni_sadrzaj>
      <item>FINANCIJSKA AGENCIJA /, OIB 85821130368, Albrechtova 42, 10000 Zagreb</item>
    </izvorni_sadrzaj>
    <derivirana_varijabla naziv="DomainObject.Predmet.StrankaListFormatedWithAdressOIB_1">
      <item>FINANCIJSKA AGENCIJA /, OIB 85821130368, Albrechtova 42, 10000 Zagreb</item>
    </derivirana_varijabla>
  </DomainObject.Predmet.StrankaListFormatedWithAdressOIB>
  <DomainObject.Predmet.StrankaListNazivFormated>
    <izvorni_sadrzaj>
      <item>FINANCIJSKA AGENCIJA /</item>
    </izvorni_sadrzaj>
    <derivirana_varijabla naziv="DomainObject.Predmet.StrankaListNazivFormated_1">
      <item>FINANCIJSKA AGENCIJA /</item>
    </derivirana_varijabla>
  </DomainObject.Predmet.StrankaListNazivFormated>
  <DomainObject.Predmet.StrankaListNazivFormatedOIB>
    <izvorni_sadrzaj>
      <item>FINANCIJSKA AGENCIJA /, OIB 85821130368</item>
    </izvorni_sadrzaj>
    <derivirana_varijabla naziv="DomainObject.Predmet.StrankaListNazivFormatedOIB_1">
      <item>FINANCIJSKA AGENCIJA /, OIB 85821130368</item>
    </derivirana_varijabla>
  </DomainObject.Predmet.StrankaListNazivFormatedOIB>
  <DomainObject.Predmet.ProtuStrankaListFormated>
    <izvorni_sadrzaj>
      <item>Stečajna masa iza Tihomir Vindiš, vl. obrta OBRA-93 u stečaju zastupanog po punomoćniku Marija Holetić</item>
    </izvorni_sadrzaj>
    <derivirana_varijabla naziv="DomainObject.Predmet.ProtuStrankaListFormated_1">
      <item>Stečajna masa iza Tihomir Vindiš, vl. obrta OBRA-93 u stečaju zastupanog po punomoćniku Marija Holetić</item>
    </derivirana_varijabla>
  </DomainObject.Predmet.ProtuStrankaListFormated>
  <DomainObject.Predmet.ProtuStrankaListFormatedOIB>
    <izvorni_sadrzaj>
      <item>Stečajna masa iza Tihomir Vindiš, vl. obrta OBRA-93 u stečaju, OIB 67820815953 zastupanog po punomoćniku Marija Holetić</item>
    </izvorni_sadrzaj>
    <derivirana_varijabla naziv="DomainObject.Predmet.ProtuStrankaListFormatedOIB_1">
      <item>Stečajna masa iza Tihomir Vindiš, vl. obrta OBRA-93 u stečaju, OIB 67820815953 zastupanog po punomoćniku Marija Holetić</item>
    </derivirana_varijabla>
  </DomainObject.Predmet.ProtuStrankaListFormatedOIB>
  <DomainObject.Predmet.ProtuStrankaListFormatedWithAdress>
    <izvorni_sadrzaj>
      <item>Stečajna masa iza Tihomir Vindiš, vl. obrta OBRA-93 u stečaju, Travnik 26, 40000 Čakovec zastupanog po punomoćniku Marija Holetić</item>
    </izvorni_sadrzaj>
    <derivirana_varijabla naziv="DomainObject.Predmet.ProtuStrankaListFormatedWithAdress_1">
      <item>Stečajna masa iza Tihomir Vindiš, vl. obrta OBRA-93 u stečaju, Travnik 26, 40000 Čakovec zastupanog po punomoćniku Marija Holetić</item>
    </derivirana_varijabla>
  </DomainObject.Predmet.ProtuStrankaListFormatedWithAdress>
  <DomainObject.Predmet.ProtuStrankaListFormatedWithAdressOIB>
    <izvorni_sadrzaj>
      <item>Stečajna masa iza Tihomir Vindiš, vl. obrta OBRA-93 u stečaju, OIB 67820815953, Travnik 26, 40000 Čakovec zastupanog po punomoćniku Marija Holetić</item>
    </izvorni_sadrzaj>
    <derivirana_varijabla naziv="DomainObject.Predmet.ProtuStrankaListFormatedWithAdressOIB_1">
      <item>Stečajna masa iza Tihomir Vindiš, vl. obrta OBRA-93 u stečaju, OIB 67820815953, Travnik 26, 40000 Čakovec zastupanog po punomoćniku Marija Holetić</item>
    </derivirana_varijabla>
  </DomainObject.Predmet.ProtuStrankaListFormatedWithAdressOIB>
  <DomainObject.Predmet.ProtuStrankaListNazivFormated>
    <izvorni_sadrzaj>
      <item>Stečajna masa iza Tihomir Vindiš, vl. obrta OBRA-93 u stečaju</item>
    </izvorni_sadrzaj>
    <derivirana_varijabla naziv="DomainObject.Predmet.ProtuStrankaListNazivFormated_1">
      <item>Stečajna masa iza Tihomir Vindiš, vl. obrta OBRA-93 u stečaju</item>
    </derivirana_varijabla>
  </DomainObject.Predmet.ProtuStrankaListNazivFormated>
  <DomainObject.Predmet.ProtuStrankaListNazivFormatedOIB>
    <izvorni_sadrzaj>
      <item>Stečajna masa iza Tihomir Vindiš, vl. obrta OBRA-93 u stečaju, OIB 67820815953</item>
    </izvorni_sadrzaj>
    <derivirana_varijabla naziv="DomainObject.Predmet.ProtuStrankaListNazivFormatedOIB_1">
      <item>Stečajna masa iza Tihomir Vindiš, vl. obrta OBRA-93 u stečaju, OIB 67820815953</item>
    </derivirana_varijabla>
  </DomainObject.Predmet.ProtuStrankaListNazivFormatedOIB>
  <DomainObject.Predmet.OstaliListFormated>
    <izvorni_sadrzaj>
      <item>Marija Holetić punomoćnik sudionika u postupku Stečajna masa iza Tihomir Vindiš, vl. obrta OBRA-93 u stečaju</item>
    </izvorni_sadrzaj>
    <derivirana_varijabla naziv="DomainObject.Predmet.OstaliListFormated_1">
      <item>Marija Holetić punomoćnik sudionika u postupku Stečajna masa iza Tihomir Vindiš, vl. obrta OBRA-93 u stečaju</item>
    </derivirana_varijabla>
  </DomainObject.Predmet.OstaliListFormated>
  <DomainObject.Predmet.OstaliListFormatedOIB>
    <izvorni_sadrzaj>
      <item>Marija Holetić punomoćnik sudionika u postupku Stečajna masa iza Tihomir Vindiš, vl. obrta OBRA-93 u stečaju</item>
    </izvorni_sadrzaj>
    <derivirana_varijabla naziv="DomainObject.Predmet.OstaliListFormatedOIB_1">
      <item>Marija Holetić punomoćnik sudionika u postupku Stečajna masa iza Tihomir Vindiš, vl. obrta OBRA-93 u stečaju</item>
    </derivirana_varijabla>
  </DomainObject.Predmet.OstaliListFormatedOIB>
  <DomainObject.Predmet.OstaliListFormatedWithAdress>
    <izvorni_sadrzaj>
      <item>Marija Holetić, Travnik 26, 40000 Čakovec punomoćnik sudionika u postupku Stečajna masa iza Tihomir Vindiš, vl. obrta OBRA-93 u stečaju</item>
    </izvorni_sadrzaj>
    <derivirana_varijabla naziv="DomainObject.Predmet.OstaliListFormatedWithAdress_1">
      <item>Marija Holetić, Travnik 26, 40000 Čakovec punomoćnik sudionika u postupku Stečajna masa iza Tihomir Vindiš, vl. obrta OBRA-93 u stečaju</item>
    </derivirana_varijabla>
  </DomainObject.Predmet.OstaliListFormatedWithAdress>
  <DomainObject.Predmet.OstaliListFormatedWithAdressOIB>
    <izvorni_sadrzaj>
      <item>Marija Holetić, Travnik 26, 40000 Čakovec punomoćnik sudionika u postupku Stečajna masa iza Tihomir Vindiš, vl. obrta OBRA-93 u stečaju</item>
    </izvorni_sadrzaj>
    <derivirana_varijabla naziv="DomainObject.Predmet.OstaliListFormatedWithAdressOIB_1">
      <item>Marija Holetić, Travnik 26, 40000 Čakovec punomoćnik sudionika u postupku Stečajna masa iza Tihomir Vindiš, vl. obrta OBRA-93 u stečaju</item>
    </derivirana_varijabla>
  </DomainObject.Predmet.OstaliListFormatedWithAdressOIB>
  <DomainObject.Predmet.OstaliListNazivFormated>
    <izvorni_sadrzaj>
      <item>Marija Holetić</item>
    </izvorni_sadrzaj>
    <derivirana_varijabla naziv="DomainObject.Predmet.OstaliListNazivFormated_1">
      <item>Marija Holetić</item>
    </derivirana_varijabla>
  </DomainObject.Predmet.OstaliListNazivFormated>
  <DomainObject.Predmet.OstaliListNazivFormatedOIB>
    <izvorni_sadrzaj>
      <item>Marija Holetić</item>
    </izvorni_sadrzaj>
    <derivirana_varijabla naziv="DomainObject.Predmet.OstaliListNazivFormatedOIB_1">
      <item>Marija Holetić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</izvorni_sadrzaj>
    <derivirana_varijabla naziv="DomainObject.Predmet.StrankaIDrugi_1">FINANCIJSKA AGENCIJA /</derivirana_varijabla>
  </DomainObject.Predmet.StrankaIDrugi>
  <DomainObject.Predmet.ProtustrankaIDrugi>
    <izvorni_sadrzaj>Stečajna masa iza Tihomir Vindiš, vl. obrta OBRA-93 u stečaju</izvorni_sadrzaj>
    <derivirana_varijabla naziv="DomainObject.Predmet.ProtustrankaIDrugi_1">Stečajna masa iza Tihomir Vindiš, vl. obrta OBRA-93 u stečaju</derivirana_varijabla>
  </DomainObject.Predmet.ProtustrankaIDrugi>
  <DomainObject.Predmet.StrankaIDrugiAdressOIB>
    <izvorni_sadrzaj>FINANCIJSKA AGENCIJA /, OIB 85821130368, Albrechtova 42, 10000 Zagreb</izvorni_sadrzaj>
    <derivirana_varijabla naziv="DomainObject.Predmet.StrankaIDrugiAdressOIB_1">FINANCIJSKA AGENCIJA /, OIB 85821130368, Albrechtova 42, 10000 Zagreb</derivirana_varijabla>
  </DomainObject.Predmet.StrankaIDrugiAdressOIB>
  <DomainObject.Predmet.ProtustrankaIDrugiAdressOIB>
    <izvorni_sadrzaj>Stečajna masa iza Tihomir Vindiš, vl. obrta OBRA-93 u stečaju, OIB 67820815953, Travnik 26, 40000 Čakovec</izvorni_sadrzaj>
    <derivirana_varijabla naziv="DomainObject.Predmet.ProtustrankaIDrugiAdressOIB_1">Stečajna masa iza Tihomir Vindiš, vl. obrta OBRA-93 u stečaju, OIB 67820815953, Travnik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Tihomir Vindiš, vl. obrta OBRA-93 u stečaju</item>
      <item>FINANCIJSKA AGENCIJA /</item>
      <item>Marija Holetić</item>
    </izvorni_sadrzaj>
    <derivirana_varijabla naziv="DomainObject.Predmet.SudioniciListNaziv_1">
      <item>Stečajna masa iza Tihomir Vindiš, vl. obrta OBRA-93 u stečaju</item>
      <item>FINANCIJSKA AGENCIJA /</item>
      <item>Marija Holetić</item>
    </derivirana_varijabla>
  </DomainObject.Predmet.SudioniciListNaziv>
  <DomainObject.Predmet.SudioniciListAdressOIB>
    <izvorni_sadrzaj>
      <item>Stečajna masa iza Tihomir Vindiš, vl. obrta OBRA-93 u stečaju, OIB 67820815953, Travnik 26,40000 Čakovec</item>
      <item>FINANCIJSKA AGENCIJA /, OIB 85821130368, Albrechtova 42,10000 Zagreb</item>
      <item>Marija Holetić, Travnik 26,40000 Čakovec</item>
    </izvorni_sadrzaj>
    <derivirana_varijabla naziv="DomainObject.Predmet.SudioniciListAdressOIB_1">
      <item>Stečajna masa iza Tihomir Vindiš, vl. obrta OBRA-93 u stečaju, OIB 67820815953, Travnik 26,40000 Čakovec</item>
      <item>FINANCIJSKA AGENCIJA /, OIB 85821130368, Albrechtova 42,10000 Zagreb</item>
      <item>Marija Holetić, Travnik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67820815953</item>
      <item>, OIB 85821130368</item>
      <item>, OIB null</item>
    </izvorni_sadrzaj>
    <derivirana_varijabla naziv="DomainObject.Predmet.SudioniciListNazivOIB_1">
      <item>, OIB 67820815953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070C7-4FD6-4557-8763-F3F823551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2722</properties:Characters>
  <properties:Lines>99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2018-06-26T10:56:00Z</dcterms:created>
  <dc:creator>Ksenija Flack Makitan</dc:creator>
  <cp:lastModifiedBy>Tihana Martinez</cp:lastModifiedBy>
  <cp:lastPrinted>2018-06-26T12:49:00Z</cp:lastPrinted>
  <dcterms:modified xmlns:xsi="http://www.w3.org/2001/XMLSchema-instance" xsi:type="dcterms:W3CDTF">2018-06-26T12:50:00Z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(St-175-17-15-rješenje nagrada stečajnog upravitelja Vindiš-26.6.18..docx)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