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73f8" w14:paraId="e3573f8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CD07CA">
        <w:rPr>
          <w:rFonts w:hAnsi="Times New Roman" w:ascii="Times New Roman"/>
          <w:sz w:val="24"/>
        </w:rPr>
        <w:t>691/16</w:t>
      </w:r>
      <w:r w:rsidR="00F26C96" w:rsidRPr="00F26C96">
        <w:rPr>
          <w:rFonts w:hAnsi="Times New Roman" w:ascii="Times New Roman"/>
          <w:sz w:val="24"/>
        </w:rPr>
        <w:t xml:space="preserve">  </w:t>
      </w:r>
      <w:r w:rsidR="000A190D">
        <w:rPr>
          <w:rFonts w:hAnsi="Times New Roman" w:ascii="Times New Roman"/>
          <w:sz w:val="24"/>
        </w:rPr>
        <w:t>-22</w:t>
      </w:r>
      <w:r w:rsidR="00F26C96" w:rsidRPr="00F26C96">
        <w:rPr>
          <w:rFonts w:hAnsi="Times New Roman" w:ascii="Times New Roman"/>
          <w:sz w:val="24"/>
        </w:rPr>
        <w:t xml:space="preserve"> 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CD07CA" w:rsidRPr="00CD07CA">
        <w:rPr>
          <w:rFonts w:hAnsi="Times New Roman" w:ascii="Times New Roman"/>
          <w:sz w:val="24"/>
        </w:rPr>
        <w:t xml:space="preserve">GORUP d.o.o. </w:t>
      </w:r>
      <w:r w:rsidR="00CD07CA">
        <w:rPr>
          <w:rFonts w:hAnsi="Times New Roman" w:ascii="Times New Roman"/>
          <w:sz w:val="24"/>
        </w:rPr>
        <w:t xml:space="preserve">– u stečaju, </w:t>
      </w:r>
      <w:r w:rsidR="00CD07CA" w:rsidRPr="00CD07CA">
        <w:rPr>
          <w:rFonts w:hAnsi="Times New Roman" w:ascii="Times New Roman"/>
          <w:sz w:val="24"/>
        </w:rPr>
        <w:t>Klanjec, Tomaševec 2, OIB: 59013770221</w:t>
      </w:r>
      <w:r w:rsidR="00CD07CA">
        <w:rPr>
          <w:rFonts w:hAnsi="Times New Roman" w:ascii="Times New Roman"/>
          <w:sz w:val="24"/>
        </w:rPr>
        <w:t xml:space="preserve">, 20. prosinca </w:t>
      </w:r>
      <w:r w:rsidR="00F26C96">
        <w:rPr>
          <w:rFonts w:hAnsi="Times New Roman" w:ascii="Times New Roman"/>
          <w:sz w:val="24"/>
        </w:rPr>
        <w:t>201</w:t>
      </w:r>
      <w:r w:rsidR="00CD07CA">
        <w:rPr>
          <w:rFonts w:hAnsi="Times New Roman" w:ascii="Times New Roman"/>
          <w:sz w:val="24"/>
        </w:rPr>
        <w:t>6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CD07CA">
        <w:rPr>
          <w:rFonts w:hAnsi="Times New Roman" w:ascii="Times New Roman"/>
          <w:sz w:val="24"/>
        </w:rPr>
        <w:t>ici</w:t>
      </w:r>
      <w:r w:rsidR="00F26C96">
        <w:rPr>
          <w:rFonts w:hAnsi="Times New Roman" w:ascii="Times New Roman"/>
          <w:sz w:val="24"/>
        </w:rPr>
        <w:t xml:space="preserve"> </w:t>
      </w:r>
      <w:r w:rsidR="00CD07CA">
        <w:rPr>
          <w:rFonts w:hAnsi="Times New Roman" w:ascii="Times New Roman"/>
          <w:sz w:val="24"/>
        </w:rPr>
        <w:t xml:space="preserve">Branki Malbašić, dipl.pol.,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CD07CA">
        <w:rPr>
          <w:rFonts w:hAnsi="Times New Roman" w:ascii="Times New Roman"/>
          <w:sz w:val="24"/>
        </w:rPr>
        <w:t>18.000,00 (osamnaesttisuća) 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osobito </w:t>
      </w:r>
      <w:r w:rsidR="00CD07CA">
        <w:rPr>
          <w:rFonts w:cs="Tahoma" w:hAnsi="Times New Roman" w:ascii="Times New Roman"/>
          <w:sz w:val="24"/>
        </w:rPr>
        <w:t xml:space="preserve">vodeći računa o </w:t>
      </w:r>
      <w:r w:rsidR="00614F2B">
        <w:rPr>
          <w:rFonts w:cs="Tahoma" w:hAnsi="Times New Roman" w:ascii="Times New Roman"/>
          <w:sz w:val="24"/>
        </w:rPr>
        <w:t xml:space="preserve">iznimnoj </w:t>
      </w:r>
      <w:r w:rsidR="00CD07CA">
        <w:rPr>
          <w:rFonts w:cs="Tahoma" w:hAnsi="Times New Roman" w:ascii="Times New Roman"/>
          <w:sz w:val="24"/>
        </w:rPr>
        <w:t>složenosti poslova koje je obavila privremena stečajna upraviteljica</w:t>
      </w:r>
      <w:r w:rsidR="00614F2B">
        <w:rPr>
          <w:rFonts w:cs="Tahoma" w:hAnsi="Times New Roman" w:ascii="Times New Roman"/>
          <w:sz w:val="24"/>
        </w:rPr>
        <w:t>, doneseno je rješenje kao 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614F2B">
        <w:rPr>
          <w:rFonts w:cs="Tahoma" w:hAnsi="Times New Roman" w:ascii="Times New Roman"/>
          <w:sz w:val="24"/>
        </w:rPr>
        <w:t>20. prosinca</w:t>
      </w:r>
      <w:r w:rsidR="00F26C96">
        <w:rPr>
          <w:rFonts w:cs="Tahoma" w:hAnsi="Times New Roman" w:ascii="Times New Roman"/>
          <w:sz w:val="24"/>
        </w:rPr>
        <w:t xml:space="preserve"> 201</w:t>
      </w:r>
      <w:r w:rsidR="00614F2B">
        <w:rPr>
          <w:rFonts w:cs="Tahoma" w:hAnsi="Times New Roman" w:ascii="Times New Roman"/>
          <w:sz w:val="24"/>
        </w:rPr>
        <w:t>6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0A190D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0A190D" w:rsidP="000764D8" w:rsidR="000A190D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0A190D" w:rsidP="000764D8" w:rsidR="000A190D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0A190D">
      <w:pPr>
        <w:rPr>
          <w:rFonts w:cs="Tahoma" w:hAnsi="Times New Roman" w:ascii="Times New Roman"/>
          <w:color w:themeColor="background1" w:val="FFFFFF"/>
          <w:sz w:val="24"/>
        </w:rPr>
      </w:pPr>
      <w:r w:rsidRPr="000A190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0A190D">
      <w:pPr>
        <w:rPr>
          <w:rFonts w:cs="Tahoma" w:hAnsi="Times New Roman" w:ascii="Times New Roman"/>
          <w:color w:themeColor="background1" w:val="FFFFFF"/>
          <w:sz w:val="24"/>
        </w:rPr>
      </w:pPr>
      <w:r w:rsidRPr="000A190D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0A190D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614F2B" w:rsidRPr="000A190D">
        <w:rPr>
          <w:rFonts w:cs="Tahoma" w:hAnsi="Times New Roman" w:ascii="Times New Roman"/>
          <w:color w:themeColor="background1" w:val="FFFFFF"/>
          <w:sz w:val="24"/>
        </w:rPr>
        <w:t>j</w:t>
      </w:r>
      <w:r w:rsidR="00462348" w:rsidRPr="000A190D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0A190D">
        <w:rPr>
          <w:rFonts w:cs="Tahoma" w:hAnsi="Times New Roman" w:ascii="Times New Roman"/>
          <w:color w:themeColor="background1" w:val="FFFFFF"/>
          <w:sz w:val="24"/>
        </w:rPr>
        <w:t>tečajno</w:t>
      </w:r>
      <w:r w:rsidR="00614F2B" w:rsidRPr="000A190D">
        <w:rPr>
          <w:rFonts w:cs="Tahoma" w:hAnsi="Times New Roman" w:ascii="Times New Roman"/>
          <w:color w:themeColor="background1" w:val="FFFFFF"/>
          <w:sz w:val="24"/>
        </w:rPr>
        <w:t>j</w:t>
      </w:r>
      <w:r w:rsidR="000764D8" w:rsidRPr="000A190D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614F2B" w:rsidRPr="000A190D">
        <w:rPr>
          <w:rFonts w:cs="Tahoma" w:hAnsi="Times New Roman" w:ascii="Times New Roman"/>
          <w:color w:themeColor="background1" w:val="FFFFFF"/>
          <w:sz w:val="24"/>
        </w:rPr>
        <w:t>ici</w:t>
      </w:r>
      <w:r w:rsidR="00B04B8F" w:rsidRPr="000A190D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B04B8F" w:rsidP="000764D8" w:rsidR="00B04B8F" w:rsidRPr="000A190D">
      <w:pPr>
        <w:rPr>
          <w:rFonts w:cs="Tahoma" w:hAnsi="Times New Roman" w:ascii="Times New Roman"/>
          <w:color w:themeColor="background1" w:val="FFFFFF"/>
          <w:sz w:val="24"/>
        </w:rPr>
      </w:pPr>
      <w:r w:rsidRPr="000A190D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0A190D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sectPr w:rsidSect="00EA52A1" w:rsidR="00B04B8F" w:rsidRPr="000A190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F7F" w:rsidR="00B02F7F">
      <w:r>
        <w:separator/>
      </w:r>
    </w:p>
  </w:endnote>
  <w:endnote w:id="0" w:type="continuationSeparator">
    <w:p w:rsidRDefault="00B02F7F" w:rsidR="00B02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F7F" w:rsidR="00B02F7F">
      <w:r>
        <w:separator/>
      </w:r>
    </w:p>
  </w:footnote>
  <w:footnote w:id="0" w:type="continuationSeparator">
    <w:p w:rsidRDefault="00B02F7F" w:rsidR="00B02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614F2B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CA"/>
    <w:rsid w:val="00050A64"/>
    <w:rsid w:val="00062DD1"/>
    <w:rsid w:val="00070CB4"/>
    <w:rsid w:val="000764D8"/>
    <w:rsid w:val="000A046A"/>
    <w:rsid w:val="000A190D"/>
    <w:rsid w:val="000A5A68"/>
    <w:rsid w:val="000B01EA"/>
    <w:rsid w:val="000D010B"/>
    <w:rsid w:val="001241C1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82439"/>
    <w:rsid w:val="005419C8"/>
    <w:rsid w:val="0057341F"/>
    <w:rsid w:val="00593FFA"/>
    <w:rsid w:val="006008F9"/>
    <w:rsid w:val="00614F2B"/>
    <w:rsid w:val="00642359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B6BCE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B02F7F"/>
    <w:rsid w:val="00B04B8F"/>
    <w:rsid w:val="00B11D9F"/>
    <w:rsid w:val="00B36118"/>
    <w:rsid w:val="00B52117"/>
    <w:rsid w:val="00B85DF5"/>
    <w:rsid w:val="00C172D4"/>
    <w:rsid w:val="00C32C1D"/>
    <w:rsid w:val="00C531B2"/>
    <w:rsid w:val="00C74832"/>
    <w:rsid w:val="00CD07CA"/>
    <w:rsid w:val="00D27B8D"/>
    <w:rsid w:val="00DB5644"/>
    <w:rsid w:val="00DE3115"/>
    <w:rsid w:val="00DE5F57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0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1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0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1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GORUP d.o.o.</izvorni_sadrzaj>
    <derivirana_varijabla naziv="DomainObject.Predmet.ProtustrankaFormated_1">  GORUP d.o.o.</derivirana_varijabla>
  </DomainObject.Predmet.ProtustrankaFormated>
  <DomainObject.Predmet.ProtustrankaFormatedOIB>
    <izvorni_sadrzaj>  GORUP d.o.o., OIB 59013770221</izvorni_sadrzaj>
    <derivirana_varijabla naziv="DomainObject.Predmet.ProtustrankaFormatedOIB_1">  GORUP d.o.o., OIB 59013770221</derivirana_varijabla>
  </DomainObject.Predmet.ProtustrankaFormatedOIB>
  <DomainObject.Predmet.ProtustrankaFormatedWithAdress>
    <izvorni_sadrzaj> GORUP d.o.o., Tomaševec 2, 49290 Klanjec</izvorni_sadrzaj>
    <derivirana_varijabla naziv="DomainObject.Predmet.ProtustrankaFormatedWithAdress_1"> GORUP d.o.o., Tomaševec 2, 49290 Klanjec</derivirana_varijabla>
  </DomainObject.Predmet.ProtustrankaFormatedWithAdress>
  <DomainObject.Predmet.ProtustrankaFormatedWithAdressOIB>
    <izvorni_sadrzaj> GORUP d.o.o., OIB 59013770221, Tomaševec 2, 49290 Klanjec</izvorni_sadrzaj>
    <derivirana_varijabla naziv="DomainObject.Predmet.ProtustrankaFormatedWithAdressOIB_1"> GORUP d.o.o., OIB 59013770221, Tomaševec 2, 49290 Klanjec</derivirana_varijabla>
  </DomainObject.Predmet.ProtustrankaFormatedWithAdressOIB>
  <DomainObject.Predmet.ProtustrankaWithAdress>
    <izvorni_sadrzaj>GORUP d.o.o. Tomaševec 2, 49290 Klanjec</izvorni_sadrzaj>
    <derivirana_varijabla naziv="DomainObject.Predmet.ProtustrankaWithAdress_1">GORUP d.o.o. Tomaševec 2, 49290 Klanjec</derivirana_varijabla>
  </DomainObject.Predmet.ProtustrankaWithAdress>
  <DomainObject.Predmet.ProtustrankaWithAdressOIB>
    <izvorni_sadrzaj>GORUP d.o.o., OIB 59013770221, Tomaševec 2, 49290 Klanjec</izvorni_sadrzaj>
    <derivirana_varijabla naziv="DomainObject.Predmet.ProtustrankaWithAdressOIB_1">GORUP d.o.o., OIB 59013770221, Tomaševec 2, 49290 Klanjec</derivirana_varijabla>
  </DomainObject.Predmet.ProtustrankaWithAdressOIB>
  <DomainObject.Predmet.ProtustrankaNazivFormated>
    <izvorni_sadrzaj>GORUP d.o.o.</izvorni_sadrzaj>
    <derivirana_varijabla naziv="DomainObject.Predmet.ProtustrankaNazivFormated_1">GORUP d.o.o.</derivirana_varijabla>
  </DomainObject.Predmet.ProtustrankaNazivFormated>
  <DomainObject.Predmet.ProtustrankaNazivFormatedOIB>
    <izvorni_sadrzaj>GORUP d.o.o., OIB 59013770221</izvorni_sadrzaj>
    <derivirana_varijabla naziv="DomainObject.Predmet.ProtustrankaNazivFormatedOIB_1">GORUP d.o.o., OIB 59013770221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 d.o.o.</item>
    </izvorni_sadrzaj>
    <derivirana_varijabla naziv="DomainObject.Predmet.ProtuStrankaListFormated_1">
      <item>GORUP d.o.o.</item>
    </derivirana_varijabla>
  </DomainObject.Predmet.ProtuStrankaListFormated>
  <DomainObject.Predmet.ProtuStrankaListFormatedOIB>
    <izvorni_sadrzaj>
      <item>GORUP d.o.o., OIB 59013770221</item>
    </izvorni_sadrzaj>
    <derivirana_varijabla naziv="DomainObject.Predmet.ProtuStrankaListFormatedOIB_1">
      <item>GORUP d.o.o., OIB 59013770221</item>
    </derivirana_varijabla>
  </DomainObject.Predmet.ProtuStrankaListFormatedOIB>
  <DomainObject.Predmet.ProtuStrankaListFormatedWithAdress>
    <izvorni_sadrzaj>
      <item>GORUP d.o.o., Tomaševec 2, 49290 Klanjec</item>
    </izvorni_sadrzaj>
    <derivirana_varijabla naziv="DomainObject.Predmet.ProtuStrankaListFormatedWithAdress_1">
      <item>GORUP d.o.o., Tomaševec 2, 49290 Klanjec</item>
    </derivirana_varijabla>
  </DomainObject.Predmet.ProtuStrankaListFormatedWithAdress>
  <DomainObject.Predmet.ProtuStrankaListFormatedWithAdressOIB>
    <izvorni_sadrzaj>
      <item>GORUP d.o.o., OIB 59013770221, Tomaševec 2, 49290 Klanjec</item>
    </izvorni_sadrzaj>
    <derivirana_varijabla naziv="DomainObject.Predmet.ProtuStrankaListFormatedWithAdressOIB_1">
      <item>GORUP d.o.o., OIB 59013770221, Tomaševec 2, 49290 Klanjec</item>
    </derivirana_varijabla>
  </DomainObject.Predmet.ProtuStrankaListFormatedWithAdressOIB>
  <DomainObject.Predmet.ProtuStrankaListNazivFormated>
    <izvorni_sadrzaj>
      <item>GORUP d.o.o.</item>
    </izvorni_sadrzaj>
    <derivirana_varijabla naziv="DomainObject.Predmet.ProtuStrankaListNazivFormated_1">
      <item>GORUP d.o.o.</item>
    </derivirana_varijabla>
  </DomainObject.Predmet.ProtuStrankaListNazivFormated>
  <DomainObject.Predmet.ProtuStrankaListNazivFormatedOIB>
    <izvorni_sadrzaj>
      <item>GORUP d.o.o., OIB 59013770221</item>
    </izvorni_sadrzaj>
    <derivirana_varijabla naziv="DomainObject.Predmet.ProtuStrankaListNazivFormatedOIB_1">
      <item>GORUP d.o.o., OIB 59013770221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 d.o.o.</izvorni_sadrzaj>
    <derivirana_varijabla naziv="DomainObject.Predmet.ProtustrankaIDrugi_1">GORUP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GORUP d.o.o., OIB 59013770221, Tomaševec 2, 49290 Klanjec</izvorni_sadrzaj>
    <derivirana_varijabla naziv="DomainObject.Predmet.ProtustrankaIDrugiAdressOIB_1">GORUP d.o.o., OIB 59013770221, Tomaševec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GORUP d.o.o.</item>
    </izvorni_sadrzaj>
    <derivirana_varijabla naziv="DomainObject.Predmet.SudioniciListNaziv_1">
      <item>FINA Regionalni centar Zagreb</item>
      <item>GORUP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GORUP d.o.o., OIB 59013770221, Tomaševec 2,49290 Klanjec</item>
    </izvorni_sadrzaj>
    <derivirana_varijabla naziv="DomainObject.Predmet.SudioniciListAdressOIB_1">
      <item>FINA Regionalni centar Zagreb, OIB 85821130368, Trg svibanjskih žrtava 1995. br. 1,10000 Zagreb</item>
      <item>GORUP d.o.o., OIB 59013770221,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59013770221</item>
    </izvorni_sadrzaj>
    <derivirana_varijabla naziv="DomainObject.Predmet.SudioniciListNazivOIB_1">
      <item>, OIB 85821130368</item>
      <item>, OIB 59013770221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1045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2016-12-22T12:47:00Z</dcterms:created>
  <dc:creator>MK</dc:creator>
  <cp:lastModifiedBy>Sonja Pilić</cp:lastModifiedBy>
  <cp:lastPrinted>2016-12-22T12:48:00Z</cp:lastPrinted>
  <dcterms:modified xmlns:xsi="http://www.w3.org/2001/XMLSchema-instance" xsi:type="dcterms:W3CDTF">2016-12-22T12:51:00Z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