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ee1d8" w14:paraId="8eee1d8" w:rsidRDefault="00346E2F" w:rsidP="00346E2F" w:rsidR="00346E2F">
      <w:pPr>
        <w:spacing w:lineRule="auto" w:line="240" w:after="0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eastAsia="hr-HR"/>
        </w:rPr>
        <w:t xml:space="preserve">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6E2F" w:rsidP="00346E2F" w:rsidR="00346E2F">
      <w:pPr>
        <w:spacing w:lineRule="auto" w:line="240" w:after="0" w:before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Republika Hrvatska</w:t>
      </w:r>
    </w:p>
    <w:p w:rsidRDefault="00346E2F" w:rsidP="00346E2F" w:rsidR="00346E2F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Varaždinu</w:t>
      </w:r>
    </w:p>
    <w:p w:rsidRDefault="00346E2F" w:rsidP="00346E2F" w:rsidR="00346E2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Varaždin, Braće Radić 2</w:t>
      </w:r>
    </w:p>
    <w:p w:rsidRDefault="00346E2F" w:rsidP="00346E2F" w:rsidR="00346E2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Poslovni broj: 7 St-128/2019-7</w:t>
      </w:r>
    </w:p>
    <w:p w:rsidRDefault="00346E2F" w:rsidP="00346E2F" w:rsidR="00346E2F">
      <w:pPr>
        <w:jc w:val="center"/>
        <w:rPr>
          <w:rFonts w:hAnsi="Times New Roman" w:ascii="Times New Roman"/>
          <w:sz w:val="24"/>
          <w:szCs w:val="24"/>
        </w:rPr>
      </w:pPr>
    </w:p>
    <w:p w:rsidRDefault="00346E2F" w:rsidP="00346E2F" w:rsidR="00346E2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346E2F" w:rsidP="00346E2F" w:rsidR="00346E2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 J  E  Š  E  N  J  E</w:t>
      </w:r>
    </w:p>
    <w:p w:rsidRDefault="00346E2F" w:rsidP="00346E2F" w:rsidR="00346E2F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346E2F" w:rsidP="00346E2F" w:rsidR="00346E2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Trgovački sud u Varaždinu, po sucu tog suda Mariji Levanić-Škerbić, u stečajnom postupku nad stečajnom masom stečajnog dužnika GALANTERIJA FILO d.o.o. u stečaju Čakovec, Kralja Tomislava 4, OIB: 88025183417, koju zastupa stečajni upravitelj Tomislav Strniščak iz </w:t>
      </w:r>
      <w:proofErr w:type="spellStart"/>
      <w:r>
        <w:rPr>
          <w:rFonts w:hAnsi="Times New Roman" w:ascii="Times New Roman"/>
          <w:sz w:val="24"/>
          <w:szCs w:val="24"/>
        </w:rPr>
        <w:t>Šenkovca</w:t>
      </w:r>
      <w:proofErr w:type="spellEnd"/>
      <w:r>
        <w:rPr>
          <w:rFonts w:hAnsi="Times New Roman" w:ascii="Times New Roman"/>
          <w:sz w:val="24"/>
          <w:szCs w:val="24"/>
        </w:rPr>
        <w:t>, Gorčica 10, Čakovec, OIB: 26341315268, postupajući po prijedlogu stečajnog upravitelja, 28. lipnja 2019.,</w:t>
      </w:r>
    </w:p>
    <w:p w:rsidRDefault="00346E2F" w:rsidP="00346E2F" w:rsidR="00346E2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 j e</w:t>
      </w:r>
    </w:p>
    <w:p w:rsidRDefault="00346E2F" w:rsidP="00346E2F" w:rsidR="00346E2F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Određuje se nagrada stečajnom upravitelju</w:t>
      </w:r>
      <w:r>
        <w:t xml:space="preserve"> </w:t>
      </w:r>
      <w:r>
        <w:rPr>
          <w:rFonts w:hAnsi="Times New Roman" w:ascii="Times New Roman"/>
          <w:sz w:val="24"/>
          <w:szCs w:val="24"/>
        </w:rPr>
        <w:t xml:space="preserve">Tomislavu </w:t>
      </w:r>
      <w:proofErr w:type="spellStart"/>
      <w:r>
        <w:rPr>
          <w:rFonts w:hAnsi="Times New Roman" w:ascii="Times New Roman"/>
          <w:sz w:val="24"/>
          <w:szCs w:val="24"/>
        </w:rPr>
        <w:t>Strniščaku</w:t>
      </w:r>
      <w:proofErr w:type="spellEnd"/>
      <w:r>
        <w:rPr>
          <w:rFonts w:hAnsi="Times New Roman" w:ascii="Times New Roman"/>
          <w:sz w:val="24"/>
          <w:szCs w:val="24"/>
        </w:rPr>
        <w:t xml:space="preserve"> iz </w:t>
      </w:r>
      <w:proofErr w:type="spellStart"/>
      <w:r>
        <w:rPr>
          <w:rFonts w:hAnsi="Times New Roman" w:ascii="Times New Roman"/>
          <w:sz w:val="24"/>
          <w:szCs w:val="24"/>
        </w:rPr>
        <w:t>Šenkovca</w:t>
      </w:r>
      <w:proofErr w:type="spellEnd"/>
      <w:r>
        <w:rPr>
          <w:rFonts w:hAnsi="Times New Roman" w:ascii="Times New Roman"/>
          <w:sz w:val="24"/>
          <w:szCs w:val="24"/>
        </w:rPr>
        <w:t xml:space="preserve">, Gorčica 10, Čakovec, OIB: 26341315268, u iznosu od 581,44 kn. </w:t>
      </w:r>
    </w:p>
    <w:p w:rsidRDefault="00346E2F" w:rsidP="00346E2F" w:rsidR="00346E2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346E2F" w:rsidP="00346E2F" w:rsidR="00346E2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Rješenjem ovoga suda poslovni broj St-128/2019-2 od 29. travnja 2019. određen je nastavak stečajnog postupka nad stečajnom masom budući da su u korist stečajne mase pristigla novčana sredstva u iznosu od </w:t>
      </w:r>
      <w:r>
        <w:rPr>
          <w:rFonts w:cs="Mangal" w:eastAsia="SimSun" w:hAnsi="Liberation Serif" w:ascii="Liberation Serif"/>
          <w:kern w:val="2"/>
          <w:sz w:val="24"/>
          <w:szCs w:val="24"/>
          <w:lang w:bidi="hi-IN" w:eastAsia="zh-CN"/>
        </w:rPr>
        <w:t>3.633,98 kn</w:t>
      </w:r>
      <w:r>
        <w:rPr>
          <w:rFonts w:hAnsi="Times New Roman" w:ascii="Times New Roman"/>
          <w:sz w:val="24"/>
          <w:szCs w:val="24"/>
        </w:rPr>
        <w:t xml:space="preserve"> na ime naplate preostalog dijela tražbine koju je stečajna masa imala prema svojem dužniku Mariji Filo.</w:t>
      </w:r>
    </w:p>
    <w:p w:rsidRDefault="00346E2F" w:rsidP="00346E2F" w:rsidR="00346E2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podnesku od 14. ožujka 2019. stečajni upravitelj je predložio da mu se odredi nagrada u nastavnom stečajnom postupku u skladu s odredbama Stečajnog zakona i Uredbe o kriterijima i načinu obračuna i plaćanja nagrade stečajnim upraviteljima (Narodne novine 105/15, dalje u tekstu: Uredba) u iznosu od 581,44 kuna.</w:t>
      </w:r>
    </w:p>
    <w:p w:rsidRDefault="00346E2F" w:rsidP="00346E2F" w:rsidR="00346E2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Prema čl. 94. Stečajnog zakona stečajni upravitelj ima pravo na nagradu za svoj rad, te na naknadu stvarnih troškova. </w:t>
      </w:r>
    </w:p>
    <w:p w:rsidRDefault="00346E2F" w:rsidP="00346E2F" w:rsidR="00346E2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Nagradu stečajnom upravitelju rješenjem određuje sud prema uredbi kojom Vlada Republike Hrvatske utvrđuje kriterije i način obračuna i plaćanja nagrade stečajnim upraviteljima.</w:t>
      </w:r>
    </w:p>
    <w:p w:rsidRDefault="00346E2F" w:rsidP="00346E2F" w:rsidR="00346E2F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6E2F" w:rsidP="00346E2F" w:rsidR="00346E2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2                            Poslovni broj: 7 St-128/2019-7</w:t>
      </w:r>
    </w:p>
    <w:p w:rsidRDefault="00346E2F" w:rsidP="00346E2F" w:rsidR="00346E2F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6E2F" w:rsidP="00346E2F" w:rsidR="00346E2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tablici izračuna nagrade stečajnom upravitelju, iz čl. 7. Uredbe, stečajnom upravitelju pripada nagrada kako slijedi:</w:t>
      </w:r>
      <w:r>
        <w:rPr>
          <w:rFonts w:hAnsi="Times New Roman" w:ascii="Times New Roman"/>
          <w:sz w:val="24"/>
          <w:szCs w:val="24"/>
        </w:rPr>
        <w:tab/>
      </w:r>
    </w:p>
    <w:tbl>
      <w:tblPr>
        <w:tblW w:type="dxa" w:w="9705"/>
        <w:tblInd w:type="dxa" w:w="5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4A0" w:noVBand="1" w:noHBand="0" w:lastColumn="0" w:firstColumn="1" w:lastRow="0" w:firstRow="1"/>
      </w:tblPr>
      <w:tblGrid>
        <w:gridCol w:w="453"/>
        <w:gridCol w:w="3593"/>
        <w:gridCol w:w="1772"/>
        <w:gridCol w:w="1940"/>
        <w:gridCol w:w="1947"/>
      </w:tblGrid>
      <w:tr w:rsidTr="00346E2F" w:rsidR="00346E2F">
        <w:trPr>
          <w:trHeight w:val="287"/>
        </w:trPr>
        <w:tc>
          <w:tcPr>
            <w:tcW w:type="dxa" w:w="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46E2F" w:rsidR="00346E2F">
            <w:pPr>
              <w:widowControl w:val="false"/>
              <w:suppressLineNumbers/>
              <w:suppressAutoHyphens/>
              <w:spacing w:after="0"/>
              <w:jc w:val="both"/>
              <w:rPr>
                <w:rFonts w:cs="Mangal" w:eastAsia="SimSun" w:hAnsi="Liberation Serif" w:ascii="Liberation Serif"/>
                <w:kern w:val="2"/>
                <w:sz w:val="24"/>
                <w:szCs w:val="24"/>
                <w:lang w:bidi="hi-IN" w:eastAsia="zh-CN"/>
              </w:rPr>
            </w:pPr>
          </w:p>
        </w:tc>
        <w:tc>
          <w:tcPr>
            <w:tcW w:type="dxa" w:w="35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E2F" w:rsidR="00346E2F">
            <w:pPr>
              <w:widowControl w:val="false"/>
              <w:suppressLineNumbers/>
              <w:suppressAutoHyphens/>
              <w:spacing w:after="0"/>
              <w:jc w:val="both"/>
              <w:rPr>
                <w:rFonts w:cs="Mangal" w:eastAsia="SimSun" w:hAnsi="Liberation Serif" w:ascii="Liberation Serif"/>
                <w:kern w:val="2"/>
                <w:sz w:val="24"/>
                <w:szCs w:val="24"/>
                <w:lang w:bidi="hi-IN" w:eastAsia="zh-CN"/>
              </w:rPr>
            </w:pPr>
            <w:r>
              <w:rPr>
                <w:rFonts w:cs="Mangal" w:eastAsia="SimSun" w:hAnsi="Liberation Serif" w:ascii="Liberation Serif"/>
                <w:kern w:val="2"/>
                <w:sz w:val="24"/>
                <w:szCs w:val="24"/>
                <w:lang w:bidi="hi-IN" w:eastAsia="zh-CN"/>
              </w:rPr>
              <w:t>Vrijednost unovčene</w:t>
            </w:r>
          </w:p>
          <w:p w:rsidRDefault="00346E2F" w:rsidR="00346E2F">
            <w:pPr>
              <w:widowControl w:val="false"/>
              <w:suppressLineNumbers/>
              <w:suppressAutoHyphens/>
              <w:spacing w:after="0"/>
              <w:jc w:val="both"/>
              <w:rPr>
                <w:rFonts w:cs="Mangal" w:eastAsia="SimSun" w:hAnsi="Liberation Serif" w:ascii="Liberation Serif"/>
                <w:kern w:val="2"/>
                <w:sz w:val="24"/>
                <w:szCs w:val="24"/>
                <w:lang w:bidi="hi-IN" w:eastAsia="zh-CN"/>
              </w:rPr>
            </w:pPr>
            <w:r>
              <w:rPr>
                <w:rFonts w:cs="Mangal" w:eastAsia="SimSun" w:hAnsi="Liberation Serif" w:ascii="Liberation Serif"/>
                <w:kern w:val="2"/>
                <w:sz w:val="24"/>
                <w:szCs w:val="24"/>
                <w:lang w:bidi="hi-IN" w:eastAsia="zh-CN"/>
              </w:rPr>
              <w:t>stečajne mase u kn</w:t>
            </w:r>
          </w:p>
        </w:tc>
        <w:tc>
          <w:tcPr>
            <w:tcW w:type="dxa" w:w="17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E2F" w:rsidR="00346E2F">
            <w:pPr>
              <w:widowControl w:val="false"/>
              <w:suppressLineNumbers/>
              <w:suppressAutoHyphens/>
              <w:spacing w:after="0"/>
              <w:jc w:val="both"/>
              <w:rPr>
                <w:rFonts w:cs="Mangal" w:eastAsia="SimSun" w:hAnsi="Liberation Serif" w:ascii="Liberation Serif"/>
                <w:kern w:val="2"/>
                <w:sz w:val="24"/>
                <w:szCs w:val="24"/>
                <w:lang w:bidi="hi-IN" w:eastAsia="zh-CN"/>
              </w:rPr>
            </w:pPr>
            <w:r>
              <w:rPr>
                <w:rFonts w:cs="Mangal" w:eastAsia="SimSun" w:hAnsi="Liberation Serif" w:ascii="Liberation Serif"/>
                <w:kern w:val="2"/>
                <w:sz w:val="24"/>
                <w:szCs w:val="24"/>
                <w:lang w:bidi="hi-IN" w:eastAsia="zh-CN"/>
              </w:rPr>
              <w:t>Osnovica u kn</w:t>
            </w:r>
          </w:p>
        </w:tc>
        <w:tc>
          <w:tcPr>
            <w:tcW w:type="dxa" w:w="19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E2F" w:rsidR="00346E2F">
            <w:pPr>
              <w:widowControl w:val="false"/>
              <w:suppressLineNumbers/>
              <w:suppressAutoHyphens/>
              <w:spacing w:after="0"/>
              <w:jc w:val="both"/>
              <w:rPr>
                <w:rFonts w:cs="Mangal" w:eastAsia="SimSun" w:hAnsi="Liberation Serif" w:ascii="Liberation Serif"/>
                <w:kern w:val="2"/>
                <w:sz w:val="24"/>
                <w:szCs w:val="24"/>
                <w:lang w:bidi="hi-IN" w:eastAsia="zh-CN"/>
              </w:rPr>
            </w:pPr>
            <w:r>
              <w:rPr>
                <w:rFonts w:cs="Mangal" w:eastAsia="SimSun" w:hAnsi="Liberation Serif" w:ascii="Liberation Serif"/>
                <w:kern w:val="2"/>
                <w:sz w:val="24"/>
                <w:szCs w:val="24"/>
                <w:lang w:bidi="hi-IN" w:eastAsia="zh-CN"/>
              </w:rPr>
              <w:t>Nagrada u %</w:t>
            </w:r>
          </w:p>
        </w:tc>
        <w:tc>
          <w:tcPr>
            <w:tcW w:type="dxa" w:w="19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E2F" w:rsidR="00346E2F">
            <w:pPr>
              <w:widowControl w:val="false"/>
              <w:suppressLineNumbers/>
              <w:suppressAutoHyphens/>
              <w:spacing w:after="0"/>
              <w:jc w:val="both"/>
              <w:rPr>
                <w:rFonts w:cs="Mangal" w:eastAsia="SimSun" w:hAnsi="Liberation Serif" w:ascii="Liberation Serif"/>
                <w:kern w:val="2"/>
                <w:sz w:val="24"/>
                <w:szCs w:val="24"/>
                <w:lang w:bidi="hi-IN" w:eastAsia="zh-CN"/>
              </w:rPr>
            </w:pPr>
            <w:r>
              <w:rPr>
                <w:rFonts w:cs="Mangal" w:eastAsia="SimSun" w:hAnsi="Liberation Serif" w:ascii="Liberation Serif"/>
                <w:kern w:val="2"/>
                <w:sz w:val="24"/>
                <w:szCs w:val="24"/>
                <w:lang w:bidi="hi-IN" w:eastAsia="zh-CN"/>
              </w:rPr>
              <w:t>Iznos nagrade u kn</w:t>
            </w:r>
          </w:p>
        </w:tc>
      </w:tr>
      <w:tr w:rsidTr="00346E2F" w:rsidR="00346E2F">
        <w:trPr>
          <w:trHeight w:val="143"/>
        </w:trPr>
        <w:tc>
          <w:tcPr>
            <w:tcW w:type="dxa" w:w="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E2F" w:rsidR="00346E2F">
            <w:pPr>
              <w:widowControl w:val="false"/>
              <w:suppressLineNumbers/>
              <w:suppressAutoHyphens/>
              <w:spacing w:after="0"/>
              <w:jc w:val="both"/>
              <w:rPr>
                <w:rFonts w:cs="Mangal" w:eastAsia="SimSun" w:hAnsi="Liberation Serif" w:ascii="Liberation Serif"/>
                <w:kern w:val="2"/>
                <w:sz w:val="24"/>
                <w:szCs w:val="24"/>
                <w:lang w:bidi="hi-IN" w:eastAsia="zh-CN"/>
              </w:rPr>
            </w:pPr>
            <w:r>
              <w:rPr>
                <w:rFonts w:cs="Mangal" w:eastAsia="SimSun" w:hAnsi="Liberation Serif" w:ascii="Liberation Serif"/>
                <w:kern w:val="2"/>
                <w:sz w:val="24"/>
                <w:szCs w:val="24"/>
                <w:lang w:bidi="hi-IN" w:eastAsia="zh-CN"/>
              </w:rPr>
              <w:t>1.</w:t>
            </w:r>
          </w:p>
        </w:tc>
        <w:tc>
          <w:tcPr>
            <w:tcW w:type="dxa" w:w="35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E2F" w:rsidR="00346E2F">
            <w:pPr>
              <w:widowControl w:val="false"/>
              <w:suppressLineNumbers/>
              <w:suppressAutoHyphens/>
              <w:spacing w:after="0"/>
              <w:jc w:val="both"/>
              <w:rPr>
                <w:rFonts w:cs="Mangal" w:eastAsia="SimSun" w:hAnsi="Liberation Serif" w:ascii="Liberation Serif"/>
                <w:kern w:val="2"/>
                <w:sz w:val="24"/>
                <w:szCs w:val="24"/>
                <w:lang w:bidi="hi-IN" w:eastAsia="zh-CN"/>
              </w:rPr>
            </w:pPr>
            <w:r>
              <w:rPr>
                <w:rFonts w:cs="Mangal" w:eastAsia="SimSun" w:hAnsi="Liberation Serif" w:ascii="Liberation Serif"/>
                <w:kern w:val="2"/>
                <w:sz w:val="24"/>
                <w:szCs w:val="24"/>
                <w:lang w:bidi="hi-IN" w:eastAsia="zh-CN"/>
              </w:rPr>
              <w:t xml:space="preserve">do    100.000,00 </w:t>
            </w:r>
          </w:p>
        </w:tc>
        <w:tc>
          <w:tcPr>
            <w:tcW w:type="dxa" w:w="17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E2F" w:rsidR="00346E2F">
            <w:pPr>
              <w:widowControl w:val="false"/>
              <w:suppressLineNumbers/>
              <w:suppressAutoHyphens/>
              <w:spacing w:after="0"/>
              <w:jc w:val="right"/>
              <w:rPr>
                <w:rFonts w:cs="Mangal" w:eastAsia="SimSun" w:hAnsi="Liberation Serif" w:ascii="Liberation Serif"/>
                <w:kern w:val="2"/>
                <w:sz w:val="24"/>
                <w:szCs w:val="24"/>
                <w:lang w:bidi="hi-IN" w:eastAsia="zh-CN"/>
              </w:rPr>
            </w:pPr>
            <w:r>
              <w:rPr>
                <w:rFonts w:cs="Mangal" w:eastAsia="SimSun" w:hAnsi="Liberation Serif" w:ascii="Liberation Serif"/>
                <w:kern w:val="2"/>
                <w:sz w:val="24"/>
                <w:szCs w:val="24"/>
                <w:lang w:bidi="hi-IN" w:eastAsia="zh-CN"/>
              </w:rPr>
              <w:t xml:space="preserve">3.633,98 </w:t>
            </w:r>
          </w:p>
        </w:tc>
        <w:tc>
          <w:tcPr>
            <w:tcW w:type="dxa" w:w="19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E2F" w:rsidR="00346E2F">
            <w:pPr>
              <w:widowControl w:val="false"/>
              <w:suppressLineNumbers/>
              <w:suppressAutoHyphens/>
              <w:spacing w:after="0"/>
              <w:jc w:val="center"/>
              <w:rPr>
                <w:rFonts w:cs="Mangal" w:eastAsia="SimSun" w:hAnsi="Liberation Serif" w:ascii="Liberation Serif"/>
                <w:kern w:val="2"/>
                <w:sz w:val="24"/>
                <w:szCs w:val="24"/>
                <w:lang w:bidi="hi-IN" w:eastAsia="zh-CN"/>
              </w:rPr>
            </w:pPr>
            <w:r>
              <w:rPr>
                <w:rFonts w:cs="Mangal" w:eastAsia="SimSun" w:hAnsi="Liberation Serif" w:ascii="Liberation Serif"/>
                <w:kern w:val="2"/>
                <w:sz w:val="24"/>
                <w:szCs w:val="24"/>
                <w:lang w:bidi="hi-IN" w:eastAsia="zh-CN"/>
              </w:rPr>
              <w:t xml:space="preserve"> 16%</w:t>
            </w:r>
          </w:p>
        </w:tc>
        <w:tc>
          <w:tcPr>
            <w:tcW w:type="dxa" w:w="19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E2F" w:rsidR="00346E2F">
            <w:pPr>
              <w:widowControl w:val="false"/>
              <w:suppressLineNumbers/>
              <w:suppressAutoHyphens/>
              <w:spacing w:after="0"/>
              <w:jc w:val="right"/>
              <w:rPr>
                <w:rFonts w:cs="Mangal" w:eastAsia="SimSun" w:hAnsi="Liberation Serif" w:ascii="Liberation Serif"/>
                <w:kern w:val="2"/>
                <w:sz w:val="24"/>
                <w:szCs w:val="24"/>
                <w:lang w:bidi="hi-IN" w:eastAsia="zh-CN"/>
              </w:rPr>
            </w:pPr>
            <w:r>
              <w:rPr>
                <w:rFonts w:cs="Mangal" w:eastAsia="SimSun" w:hAnsi="Liberation Serif" w:ascii="Liberation Serif"/>
                <w:kern w:val="2"/>
                <w:sz w:val="24"/>
                <w:szCs w:val="24"/>
                <w:lang w:bidi="hi-IN" w:eastAsia="zh-CN"/>
              </w:rPr>
              <w:t>581,44</w:t>
            </w:r>
          </w:p>
        </w:tc>
      </w:tr>
    </w:tbl>
    <w:p w:rsidRDefault="00346E2F" w:rsidP="00346E2F" w:rsidR="00346E2F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346E2F" w:rsidP="00346E2F" w:rsidR="00346E2F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Temeljem svega navedenoga sud je s obzirom na vrijednost unovčene stečajne mase u ovome postupku, riješio kao u izreci, primjenom čl. 94. SZ-a i čl. 7. Uredbe.</w:t>
      </w:r>
    </w:p>
    <w:p w:rsidRDefault="00346E2F" w:rsidP="00346E2F" w:rsidR="00346E2F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346E2F" w:rsidP="00346E2F" w:rsidR="00346E2F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346E2F" w:rsidP="00346E2F" w:rsidR="00346E2F">
      <w:pPr>
        <w:spacing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Varaždinu 28. lipnja 2019. </w:t>
      </w:r>
    </w:p>
    <w:p w:rsidRDefault="00346E2F" w:rsidP="00346E2F" w:rsidR="00346E2F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346E2F" w:rsidP="00346E2F" w:rsidR="00346E2F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ab/>
        <w:t xml:space="preserve">           Sudac:</w:t>
      </w:r>
    </w:p>
    <w:p w:rsidRDefault="00346E2F" w:rsidP="00346E2F" w:rsidR="00346E2F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346E2F" w:rsidP="00346E2F" w:rsidR="00346E2F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Marija Levanić-Škerbić</w:t>
      </w:r>
    </w:p>
    <w:p w:rsidRDefault="00346E2F" w:rsidP="00346E2F" w:rsidR="00346E2F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346E2F" w:rsidP="00346E2F" w:rsidR="00346E2F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346E2F" w:rsidP="00346E2F" w:rsidR="00346E2F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Protiv ovog rješenja pravo na žalbu imaju stečajni upravitelj i svaki stečajni vjerovnik. Rok za žalbu je osam dana od isteka osmog dana od objave rješenja na e-Oglasnoj ploči suda. Žalba se podnosi pisano u četiri (4) primjerka, putem ovog suda, a o žalbi odlučuje Visoki trgovački sud Republike Hrvatske u Zagrebu.</w:t>
      </w:r>
    </w:p>
    <w:p w:rsidRDefault="00346E2F" w:rsidP="00346E2F" w:rsidR="00346E2F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346E2F" w:rsidP="00346E2F" w:rsidR="00346E2F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346E2F" w:rsidP="00346E2F" w:rsidR="00346E2F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stečajni upravitelj Tomislav Strniščak, putem e-</w:t>
      </w:r>
      <w:proofErr w:type="spellStart"/>
      <w:r>
        <w:rPr>
          <w:rFonts w:hAnsi="Times New Roman" w:ascii="Times New Roman"/>
          <w:sz w:val="24"/>
          <w:szCs w:val="24"/>
        </w:rPr>
        <w:t>maila</w:t>
      </w:r>
      <w:proofErr w:type="spellEnd"/>
      <w:r>
        <w:rPr>
          <w:rFonts w:hAnsi="Times New Roman" w:ascii="Times New Roman"/>
          <w:sz w:val="24"/>
          <w:szCs w:val="24"/>
        </w:rPr>
        <w:t>,</w:t>
      </w:r>
    </w:p>
    <w:p w:rsidRDefault="00346E2F" w:rsidP="00346E2F" w:rsidR="00346E2F">
      <w:pPr>
        <w:tabs>
          <w:tab w:pos="720" w:val="left"/>
        </w:tabs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 e- oglasna ploča </w:t>
      </w:r>
    </w:p>
    <w:p w:rsidRDefault="00346E2F" w:rsidP="00346E2F" w:rsidR="00346E2F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346E2F" w:rsidP="00346E2F" w:rsidR="00346E2F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346E2F" w:rsidP="00346E2F" w:rsidR="00346E2F"/>
    <w:p w:rsidRDefault="00AE649C" w:rsidP="00346E2F" w:rsidR="00AE649C" w:rsidRPr="00346E2F"/>
    <w:sectPr w:rsidSect="0032366B" w:rsidR="00AE649C" w:rsidRPr="00346E2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EE"/>
    <w:family w:val="roman"/>
    <w:pitch w:val="variable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E2F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46E2F"/>
    <w:rPr>
      <w:rFonts w:cs="Times New Roman" w:eastAsia="Calibri" w:hAnsi="Calibri" w:ascii="Calibri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lineRule="auto" w:line="240" w:after="240"/>
      <w:outlineLvl w:val="1"/>
    </w:pPr>
    <w:rPr>
      <w:rFonts w:cstheme="minorBidi" w:eastAsiaTheme="minorHAnsi" w:hAnsi="Times New Roman" w:asci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caps/>
      <w:spacing w:val="100"/>
      <w:sz w:val="24"/>
      <w:szCs w:val="24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spacing w:val="100"/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eastAsiaTheme="minorHAnsi"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cstheme="minorBidi" w:eastAsiaTheme="minorHAnsi" w:hAnsi="Times New Roman" w:asci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cstheme="minorBidi" w:eastAsiaTheme="minorHAnsi" w:hAnsi="Times New Roman" w:ascii="Times New Roman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cstheme="minorBidi" w:eastAsiaTheme="minorHAnsi" w:hAnsi="Times New Roman" w:ascii="Times New Roman"/>
      <w:sz w:val="24"/>
      <w:szCs w:val="24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cstheme="minorBidi" w:eastAsiaTheme="minorHAnsi" w:hAnsi="Times New Roman" w:ascii="Times New Roman"/>
      <w:noProof/>
      <w:sz w:val="20"/>
      <w:szCs w:val="24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  <w:sz w:val="24"/>
      <w:szCs w:val="24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b/>
      <w:caps/>
      <w:spacing w:val="100"/>
      <w:sz w:val="24"/>
      <w:szCs w:val="24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lineRule="auto" w:line="240" w:afterAutospacing="true" w:after="100" w:beforeAutospacing="true" w:before="100"/>
    </w:pPr>
    <w:rPr>
      <w:rFonts w:cstheme="minorBidi" w:eastAsiaTheme="minorHAnsi" w:hAnsi="Times New Roman" w:ascii="Times New Roman"/>
      <w:sz w:val="24"/>
      <w:szCs w:val="24"/>
    </w:r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cstheme="minorBidi" w:eastAsiaTheme="minorHAnsi" w:hAnsi="Times New Roman" w:ascii="Times New Roman"/>
      <w:sz w:val="24"/>
      <w:szCs w:val="24"/>
    </w:r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cstheme="minorBidi" w:eastAsiaTheme="minorHAnsi" w:hAnsi="Times New Roman" w:ascii="Times New Roman"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sz w:val="24"/>
      <w:szCs w:val="24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lineRule="auto" w:line="240"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cstheme="minorBidi" w:eastAsiaTheme="minorHAnsi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 w:eastAsiaTheme="minorHAnsi" w:hAnsi="Times New Roman" w:ascii="Times New Roman"/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sz w:val="24"/>
      <w:szCs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 w:eastAsiaTheme="minorHAnsi"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cstheme="minorBidi" w:eastAsiaTheme="minorHAnsi" w:hAnsi="Times New Roman" w:ascii="Times New Roman"/>
      <w:sz w:val="24"/>
      <w:szCs w:val="24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sz w:val="24"/>
      <w:szCs w:val="24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eastAsiaTheme="minorHAnsi"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4"/>
      <w:szCs w:val="24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i/>
      <w:iCs/>
      <w:sz w:val="24"/>
      <w:szCs w:val="24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lineRule="auto" w:line="240" w:after="0"/>
    </w:pPr>
    <w:rPr>
      <w:rFonts w:eastAsiaTheme="minorHAnsi"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 w:eastAsiaTheme="minorHAnsi" w:hAnsi="Times New Roman" w:asci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cstheme="minorBidi" w:eastAsiaTheme="minorHAnsi" w:hAnsi="Times New Roman" w:asci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cstheme="minorBidi" w:eastAsiaTheme="minorHAnsi" w:hAnsi="Times New Roman" w:asci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cstheme="minorBidi" w:eastAsiaTheme="minorHAnsi" w:hAnsi="Times New Roman" w:asci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cstheme="minorBidi" w:eastAsiaTheme="minorHAnsi" w:hAnsi="Times New Roman" w:asci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cstheme="minorBidi" w:eastAsiaTheme="minorHAnsi" w:hAnsi="Times New Roman" w:asci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cstheme="minorBidi" w:eastAsiaTheme="minorHAnsi" w:hAnsi="Times New Roman" w:asci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cstheme="minorBidi" w:eastAsiaTheme="minorHAnsi" w:hAnsi="Times New Roman" w:asci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cstheme="minorBidi" w:eastAsiaTheme="minorHAnsi" w:hAnsi="Times New Roman" w:asci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lineRule="auto" w:line="240" w:after="0"/>
      <w:ind w:hanging="1134" w:left="1134"/>
    </w:pPr>
    <w:rPr>
      <w:rFonts w:cstheme="majorBidi" w:eastAsiaTheme="majorEastAsia" w:hAnsiTheme="majorHAnsi" w:asciiTheme="majorHAnsi"/>
      <w:sz w:val="24"/>
      <w:szCs w:val="24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cstheme="minorBidi" w:eastAsiaTheme="minorHAnsi" w:hAnsi="Times New Roman" w:ascii="Times New Roman"/>
      <w:sz w:val="24"/>
      <w:szCs w:val="24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4"/>
      <w:szCs w:val="24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lineRule="auto" w:line="240" w:after="0"/>
    </w:pPr>
    <w:rPr>
      <w:rFonts w:eastAsiaTheme="minorHAnsi"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sz w:val="24"/>
      <w:szCs w:val="24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cstheme="minorBidi" w:eastAsiaTheme="minorHAnsi" w:hAnsi="Times New Roman" w:ascii="Times New Roman"/>
      <w:sz w:val="24"/>
      <w:szCs w:val="24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 w:eastAsiaTheme="minorHAnsi" w:hAnsi="Times New Roman" w:asci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cstheme="minorBidi" w:eastAsiaTheme="minorHAnsi" w:hAnsi="Times New Roman" w:asci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cstheme="minorBidi" w:eastAsiaTheme="minorHAnsi" w:hAnsi="Times New Roman" w:asci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cstheme="minorBidi" w:eastAsiaTheme="minorHAnsi" w:hAnsi="Times New Roman" w:asci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cstheme="minorBidi" w:eastAsiaTheme="minorHAnsi" w:hAnsi="Times New Roman" w:asci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cstheme="minorBidi" w:eastAsiaTheme="minorHAnsi" w:hAnsi="Times New Roman" w:asci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cstheme="minorBidi" w:eastAsiaTheme="minorHAnsi" w:hAnsi="Times New Roman" w:asci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cstheme="minorBidi" w:eastAsiaTheme="minorHAnsi" w:hAnsi="Times New Roman" w:asci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cstheme="minorBidi" w:eastAsiaTheme="minorHAnsi" w:hAnsi="Times New Roman" w:asci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cstheme="minorBidi" w:eastAsiaTheme="minorHAnsi" w:hAnsi="Times New Roman" w:asci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cstheme="minorBidi" w:eastAsiaTheme="minorHAnsi" w:hAnsi="Times New Roman" w:ascii="Times New Roman"/>
      <w:sz w:val="20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hAnsi="Times New Roman" w:ascii="Times New Roman"/>
      <w:noProof/>
      <w:color w:val="000000"/>
      <w:sz w:val="24"/>
      <w:szCs w:val="24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hAnsi="Times New Roman" w:ascii="Times New Roman"/>
      <w:noProof/>
      <w:color w:val="000000"/>
      <w:sz w:val="24"/>
      <w:szCs w:val="24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hAnsi="Times New Roman" w:ascii="Times New Roman"/>
      <w:noProof/>
      <w:color w:val="000000"/>
      <w:sz w:val="24"/>
      <w:szCs w:val="24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hAnsi="Times New Roman" w:ascii="Times New Roman"/>
      <w:color w:val="000000"/>
      <w:sz w:val="24"/>
      <w:szCs w:val="24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hAnsi="Times New Roman" w:ascii="Times New Roman"/>
      <w:noProof/>
      <w:color w:val="000000"/>
      <w:sz w:val="24"/>
      <w:szCs w:val="24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cstheme="minorBidi" w:eastAsiaTheme="minorHAnsi" w:hAnsi="Times New Roman" w:ascii="Times New Roman"/>
      <w:sz w:val="24"/>
      <w:szCs w:val="24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cstheme="minorBidi" w:eastAsiaTheme="minorHAnsi" w:hAnsi="Times New Roman" w:ascii="Times New Roman"/>
      <w:sz w:val="24"/>
      <w:szCs w:val="24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46E2F"/>
    <w:rPr>
      <w:rFonts w:ascii="Calibri" w:cs="Times New Roman" w:eastAsia="Calibri" w:hAnsi="Calibri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 w:line="240" w:lineRule="auto"/>
      <w:outlineLvl w:val="1"/>
    </w:pPr>
    <w:rPr>
      <w:rFonts w:ascii="Times New Roman" w:cstheme="minorBidi" w:eastAsiaTheme="minorHAnsi" w:hAns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caps/>
      <w:spacing w:val="100"/>
      <w:sz w:val="24"/>
      <w:szCs w:val="24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spacing w:val="100"/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eastAsiaTheme="minorHAns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ascii="Times New Roman" w:cstheme="minorBidi" w:eastAsiaTheme="minorHAnsi" w:hAns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ascii="Times New Roman" w:cstheme="minorBidi" w:eastAsiaTheme="minorHAnsi" w:hAnsi="Times New Roman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ascii="Times New Roman" w:cstheme="minorBidi" w:eastAsiaTheme="minorHAnsi" w:hAnsi="Times New Roman"/>
      <w:sz w:val="24"/>
      <w:szCs w:val="24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ascii="Times New Roman" w:cstheme="minorBidi" w:eastAsiaTheme="minorHAnsi" w:hAnsi="Times New Roman"/>
      <w:noProof/>
      <w:sz w:val="20"/>
      <w:szCs w:val="24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  <w:sz w:val="24"/>
      <w:szCs w:val="24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b/>
      <w:caps/>
      <w:spacing w:val="100"/>
      <w:sz w:val="24"/>
      <w:szCs w:val="24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 w:line="240" w:lineRule="auto"/>
    </w:pPr>
    <w:rPr>
      <w:rFonts w:ascii="Times New Roman" w:cstheme="minorBidi" w:eastAsiaTheme="minorHAnsi" w:hAnsi="Times New Roman"/>
      <w:sz w:val="24"/>
      <w:szCs w:val="24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ascii="Times New Roman" w:cstheme="minorBidi" w:eastAsiaTheme="minorHAnsi" w:hAnsi="Times New Roman"/>
      <w:sz w:val="24"/>
      <w:szCs w:val="24"/>
    </w:r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sz w:val="24"/>
      <w:szCs w:val="24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 w:line="240" w:lineRule="auto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cstheme="minorBidi" w:eastAsiaTheme="minorHAnsi" w:hAnsi="Times New Roman"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sz w:val="24"/>
      <w:szCs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cstheme="minorBidi" w:eastAsiaTheme="minorHAnsi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cstheme="minorBidi" w:eastAsiaTheme="minorHAnsi" w:hAnsi="Times New Roman"/>
      <w:sz w:val="24"/>
      <w:szCs w:val="24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eastAsiaTheme="minorHAnsi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i/>
      <w:iCs/>
      <w:sz w:val="24"/>
      <w:szCs w:val="24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 w:line="240" w:lineRule="auto"/>
    </w:pPr>
    <w:rPr>
      <w:rFonts w:ascii="Consolas" w:cs="Consolas" w:eastAsiaTheme="minorHAnsi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cstheme="minorBidi" w:eastAsiaTheme="minorHAnsi" w:hAns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ascii="Times New Roman" w:cstheme="minorBidi" w:eastAsiaTheme="minorHAnsi" w:hAns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ascii="Times New Roman" w:cstheme="minorBidi" w:eastAsiaTheme="minorHAnsi" w:hAns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ascii="Times New Roman" w:cstheme="minorBidi" w:eastAsiaTheme="minorHAnsi" w:hAns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ascii="Times New Roman" w:cstheme="minorBidi" w:eastAsiaTheme="minorHAnsi" w:hAns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ascii="Times New Roman" w:cstheme="minorBidi" w:eastAsiaTheme="minorHAnsi" w:hAns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ascii="Times New Roman" w:cstheme="minorBidi" w:eastAsiaTheme="minorHAnsi" w:hAns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ascii="Times New Roman" w:cstheme="minorBidi" w:eastAsiaTheme="minorHAnsi" w:hAns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ascii="Times New Roman" w:cstheme="minorBidi" w:eastAsiaTheme="minorHAnsi" w:hAns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 w:line="240" w:lineRule="auto"/>
      <w:ind w:hanging="1134" w:left="1134"/>
    </w:pPr>
    <w:rPr>
      <w:rFonts w:asciiTheme="majorHAnsi" w:cstheme="majorBidi" w:eastAsiaTheme="majorEastAsia" w:hAnsiTheme="majorHAnsi"/>
      <w:sz w:val="24"/>
      <w:szCs w:val="24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 w:line="240" w:lineRule="auto"/>
    </w:pPr>
    <w:rPr>
      <w:rFonts w:ascii="Consolas" w:cs="Consolas" w:eastAsiaTheme="minorHAnsi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cstheme="minorBidi" w:eastAsiaTheme="minorHAnsi" w:hAnsi="Times New Roman"/>
      <w:sz w:val="24"/>
      <w:szCs w:val="24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cstheme="minorBidi" w:eastAsiaTheme="minorHAnsi" w:hAns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ascii="Times New Roman" w:cstheme="minorBidi" w:eastAsiaTheme="minorHAnsi" w:hAns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ascii="Times New Roman" w:cstheme="minorBidi" w:eastAsiaTheme="minorHAnsi" w:hAns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ascii="Times New Roman" w:cstheme="minorBidi" w:eastAsiaTheme="minorHAnsi" w:hAns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ascii="Times New Roman" w:cstheme="minorBidi" w:eastAsiaTheme="minorHAnsi" w:hAns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ascii="Times New Roman" w:cstheme="minorBidi" w:eastAsiaTheme="minorHAnsi" w:hAns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ascii="Times New Roman" w:cstheme="minorBidi" w:eastAsiaTheme="minorHAnsi" w:hAns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ascii="Times New Roman" w:cstheme="minorBidi" w:eastAsiaTheme="minorHAnsi" w:hAns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ascii="Times New Roman" w:cstheme="minorBidi" w:eastAsiaTheme="minorHAnsi" w:hAns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ascii="Times New Roman" w:cstheme="minorBidi" w:eastAsiaTheme="minorHAnsi" w:hAns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ascii="Times New Roman" w:cstheme="minorBidi" w:eastAsiaTheme="minorHAnsi" w:hAnsi="Times New Roman"/>
      <w:sz w:val="20"/>
      <w:szCs w:val="24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ascii="Times New Roman" w:hAnsi="Times New Roman"/>
      <w:noProof/>
      <w:color w:val="000000"/>
      <w:sz w:val="24"/>
      <w:szCs w:val="24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ascii="Times New Roman" w:hAnsi="Times New Roman"/>
      <w:noProof/>
      <w:color w:val="000000"/>
      <w:sz w:val="24"/>
      <w:szCs w:val="24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ascii="Times New Roman" w:hAnsi="Times New Roman"/>
      <w:noProof/>
      <w:color w:val="000000"/>
      <w:sz w:val="24"/>
      <w:szCs w:val="24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ascii="Times New Roman" w:hAnsi="Times New Roman"/>
      <w:color w:val="000000"/>
      <w:sz w:val="24"/>
      <w:szCs w:val="24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ascii="Times New Roman" w:hAnsi="Times New Roman"/>
      <w:noProof/>
      <w:color w:val="000000"/>
      <w:sz w:val="24"/>
      <w:szCs w:val="24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ascii="Times New Roman" w:cstheme="minorBidi" w:eastAsiaTheme="minorHAnsi" w:hAnsi="Times New Roman"/>
      <w:sz w:val="24"/>
      <w:szCs w:val="24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ascii="Times New Roman" w:cstheme="minorBidi" w:eastAsiaTheme="minorHAnsi" w:hAnsi="Times New Roman"/>
      <w:sz w:val="24"/>
      <w:szCs w:val="24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027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2019.</izvorni_sadrzaj>
    <derivirana_varijabla naziv="DomainObject.DatumDonosenjaOdluke_1">28.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St-128/2019-7</izvorni_sadrzaj>
    <derivirana_varijabla naziv="DomainObject.Oznaka_1">St-128/2019-7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2019.</izvorni_sadrzaj>
    <derivirana_varijabla naziv="DomainObject.Predmet.DatumOsnivanja_1">29.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naknade diobe</izvorni_sadrzaj>
    <derivirana_varijabla naziv="DomainObject.Predmet.Opis_1">Nastavak postupka radi naknade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St-128/2019</izvorni_sadrzaj>
    <derivirana_varijabla naziv="DomainObject.Predmet.OznakaBroj_1">St-128/2019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GALANTERIJA FILO društvo s ograničenom odgovornošću za trgovinu u stečaju</izvorni_sadrzaj>
    <derivirana_varijabla naziv="DomainObject.Predmet.ProtustrankaFormated_1">  Stečajna masa iza GALANTERIJA FILO društvo s ograničenom odgovornošću za trgovinu u stečaju</derivirana_varijabla>
  </DomainObject.Predmet.ProtustrankaFormated>
  <DomainObject.Predmet.ProtustrankaFormatedOIB>
    <izvorni_sadrzaj>  Stečajna masa iza GALANTERIJA FILO društvo s ograničenom odgovornošću za trgovinu u stečaju, OIB 88174881330</izvorni_sadrzaj>
    <derivirana_varijabla naziv="DomainObject.Predmet.ProtustrankaFormatedOIB_1">  Stečajna masa iza GALANTERIJA FILO društvo s ograničenom odgovornošću za trgovinu u stečaju, OIB 88174881330</derivirana_varijabla>
  </DomainObject.Predmet.ProtustrankaFormatedOIB>
  <DomainObject.Predmet.ProtustrankaFormatedWithAdress>
    <izvorni_sadrzaj> Stečajna masa iza GALANTERIJA FILO društvo s ograničenom odgovornošću za trgovinu u stečaju, Gorčica 10, 40000 Šenkovec</izvorni_sadrzaj>
    <derivirana_varijabla naziv="DomainObject.Predmet.ProtustrankaFormatedWithAdress_1"> Stečajna masa iza GALANTERIJA FILO društvo s ograničenom odgovornošću za trgovinu u stečaju, Gorčica 10, 40000 Šenkovec</derivirana_varijabla>
  </DomainObject.Predmet.ProtustrankaFormatedWithAdress>
  <DomainObject.Predmet.ProtustrankaFormatedWithAdressOIB>
    <izvorni_sadrzaj> Stečajna masa iza GALANTERIJA FILO društvo s ograničenom odgovornošću za trgovinu u stečaju, OIB 88174881330, Gorčica 10, 40000 Šenkovec</izvorni_sadrzaj>
    <derivirana_varijabla naziv="DomainObject.Predmet.ProtustrankaFormatedWithAdressOIB_1"> Stečajna masa iza GALANTERIJA FILO društvo s ograničenom odgovornošću za trgovinu u stečaju, OIB 88174881330, Gorčica 10, 40000 Šenkovec</derivirana_varijabla>
  </DomainObject.Predmet.ProtustrankaFormatedWithAdressOIB>
  <DomainObject.Predmet.ProtustrankaWithAdress>
    <izvorni_sadrzaj>Stečajna masa iza GALANTERIJA FILO društvo s ograničenom odgovornošću za trgovinu u stečaju Gorčica 10, 40000 Šenkovec</izvorni_sadrzaj>
    <derivirana_varijabla naziv="DomainObject.Predmet.ProtustrankaWithAdress_1">Stečajna masa iza GALANTERIJA FILO društvo s ograničenom odgovornošću za trgovinu u stečaju Gorčica 10, 40000 Šenkovec</derivirana_varijabla>
  </DomainObject.Predmet.ProtustrankaWithAdress>
  <DomainObject.Predmet.ProtustrankaWithAdressOIB>
    <izvorni_sadrzaj>Stečajna masa iza GALANTERIJA FILO društvo s ograničenom odgovornošću za trgovinu u stečaju, OIB 88174881330, Gorčica 10, 40000 Šenkovec</izvorni_sadrzaj>
    <derivirana_varijabla naziv="DomainObject.Predmet.ProtustrankaWithAdressOIB_1">Stečajna masa iza GALANTERIJA FILO društvo s ograničenom odgovornošću za trgovinu u stečaju, OIB 88174881330, Gorčica 10, 40000 Šenkovec</derivirana_varijabla>
  </DomainObject.Predmet.ProtustrankaWithAdressOIB>
  <DomainObject.Predmet.ProtustrankaNazivFormated>
    <izvorni_sadrzaj>Stečajna masa iza GALANTERIJA FILO društvo s ograničenom odgovornošću za trgovinu u stečaju</izvorni_sadrzaj>
    <derivirana_varijabla naziv="DomainObject.Predmet.ProtustrankaNazivFormated_1">Stečajna masa iza GALANTERIJA FILO društvo s ograničenom odgovornošću za trgovinu u stečaju</derivirana_varijabla>
  </DomainObject.Predmet.ProtustrankaNazivFormated>
  <DomainObject.Predmet.ProtustrankaNazivFormatedOIB>
    <izvorni_sadrzaj>Stečajna masa iza GALANTERIJA FILO društvo s ograničenom odgovornošću za trgovinu u stečaju, OIB 88174881330</izvorni_sadrzaj>
    <derivirana_varijabla naziv="DomainObject.Predmet.ProtustrankaNazivFormatedOIB_1">Stečajna masa iza GALANTERIJA FILO društvo s ograničenom odgovornošću za trgovinu u stečaju, OIB 88174881330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REGIONALNI CENTAR ZAGREB</izvorni_sadrzaj>
    <derivirana_varijabla naziv="DomainObject.Predmet.StrankaFormated_1">  FINANCIJSKA AGENCIJA - REGIONALNI CENTAR ZAGREB</derivirana_varijabla>
  </DomainObject.Predmet.StrankaFormated>
  <DomainObject.Predmet.StrankaFormatedOIB>
    <izvorni_sadrzaj>  FINANCIJSKA AGENCIJA - REGIONALNI CENTAR ZAGREB</izvorni_sadrzaj>
    <derivirana_varijabla naziv="DomainObject.Predmet.StrankaFormatedOIB_1">  FINANCIJSKA AGENCIJA - REGIONALNI CENTAR ZAGREB</derivirana_varijabla>
  </DomainObject.Predmet.StrankaFormatedOIB>
  <DomainObject.Predmet.StrankaFormatedWithAdress>
    <izvorni_sadrzaj> FINANCIJSKA AGENCIJA - REGIONALNI CENTAR ZAGREB, Ilica 307, 10000 Zagreb</izvorni_sadrzaj>
    <derivirana_varijabla naziv="DomainObject.Predmet.StrankaFormatedWithAdress_1"> FINANCIJSKA AGENCIJA - REGIONALNI CENTAR ZAGREB, Ilica 307, 10000 Zagreb</derivirana_varijabla>
  </DomainObject.Predmet.StrankaFormatedWithAdress>
  <DomainObject.Predmet.StrankaFormatedWithAdressOIB>
    <izvorni_sadrzaj> FINANCIJSKA AGENCIJA - REGIONALNI CENTAR ZAGREB, Ilica 307, 10000 Zagreb</izvorni_sadrzaj>
    <derivirana_varijabla naziv="DomainObject.Predmet.StrankaFormatedWithAdressOIB_1"> FINANCIJSKA AGENCIJA - REGIONALNI CENTAR ZAGREB, Ilica 307, 10000 Zagreb</derivirana_varijabla>
  </DomainObject.Predmet.StrankaFormatedWithAdressOIB>
  <DomainObject.Predmet.StrankaWithAdress>
    <izvorni_sadrzaj>FINANCIJSKA AGENCIJA - REGIONALNI CENTAR ZAGREB Ilica 307,10000 Zagreb</izvorni_sadrzaj>
    <derivirana_varijabla naziv="DomainObject.Predmet.StrankaWithAdress_1">FINANCIJSKA AGENCIJA - REGIONALNI CENTAR ZAGREB Ilica 307,10000 Zagreb</derivirana_varijabla>
  </DomainObject.Predmet.StrankaWithAdress>
  <DomainObject.Predmet.StrankaWithAdressOIB>
    <izvorni_sadrzaj>FINANCIJSKA AGENCIJA - REGIONALNI CENTAR ZAGREB, Ilica 307,10000 Zagreb</izvorni_sadrzaj>
    <derivirana_varijabla naziv="DomainObject.Predmet.StrankaWithAdressOIB_1">FINANCIJSKA AGENCIJA - REGIONALNI CENTAR ZAGREB, Ilica 307,10000 Zagreb</derivirana_varijabla>
  </DomainObject.Predmet.StrankaWithAdressOIB>
  <DomainObject.Predmet.StrankaNazivFormated>
    <izvorni_sadrzaj>FINANCIJSKA AGENCIJA - REGIONALNI CENTAR ZAGREB</izvorni_sadrzaj>
    <derivirana_varijabla naziv="DomainObject.Predmet.StrankaNazivFormated_1">FINANCIJSKA AGENCIJA - REGIONALNI CENTAR ZAGREB</derivirana_varijabla>
  </DomainObject.Predmet.StrankaNazivFormated>
  <DomainObject.Predmet.StrankaNazivFormatedOIB>
    <izvorni_sadrzaj>FINANCIJSKA AGENCIJA - REGIONALNI CENTAR ZAGREB</izvorni_sadrzaj>
    <derivirana_varijabla naziv="DomainObject.Predmet.StrankaNazivFormatedOIB_1">FINANCIJSKA AGENCIJA -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- REGIONALNI CENTAR ZAGREB</item>
    </izvorni_sadrzaj>
    <derivirana_varijabla naziv="DomainObject.Predmet.StrankaListFormated_1">
      <item>FINANCIJSKA AGENCIJA - REGIONALNI CENTAR ZAGREB</item>
    </derivirana_varijabla>
  </DomainObject.Predmet.StrankaListFormated>
  <DomainObject.Predmet.StrankaListFormatedOIB>
    <izvorni_sadrzaj>
      <item>FINANCIJSKA AGENCIJA - REGIONALNI CENTAR ZAGREB</item>
    </izvorni_sadrzaj>
    <derivirana_varijabla naziv="DomainObject.Predmet.StrankaListFormatedOIB_1">
      <item>FINANCIJSKA AGENCIJA - REGIONALNI CENTAR ZAGREB</item>
    </derivirana_varijabla>
  </DomainObject.Predmet.StrankaListFormatedOIB>
  <DomainObject.Predmet.StrankaListFormatedWithAdress>
    <izvorni_sadrzaj>
      <item>FINANCIJSKA AGENCIJA - REGIONALNI CENTAR ZAGREB, Ilica 307, 10000 Zagreb</item>
    </izvorni_sadrzaj>
    <derivirana_varijabla naziv="DomainObject.Predmet.StrankaListFormatedWithAdress_1">
      <item>FINANCIJSKA AGENCIJA - REGIONALNI CENTAR ZAGREB, Ilica 307, 10000 Zagreb</item>
    </derivirana_varijabla>
  </DomainObject.Predmet.StrankaListFormatedWithAdress>
  <DomainObject.Predmet.StrankaListFormatedWithAdressOIB>
    <izvorni_sadrzaj>
      <item>FINANCIJSKA AGENCIJA - REGIONALNI CENTAR ZAGREB, Ilica 307, 10000 Zagreb</item>
    </izvorni_sadrzaj>
    <derivirana_varijabla naziv="DomainObject.Predmet.StrankaListFormatedWithAdressOIB_1">
      <item>FINANCIJSKA AGENCIJA - REGIONALNI CENTAR ZAGREB, Ilica 307, 10000 Zagreb</item>
    </derivirana_varijabla>
  </DomainObject.Predmet.StrankaListFormatedWithAdressOIB>
  <DomainObject.Predmet.StrankaListNazivFormated>
    <izvorni_sadrzaj>
      <item>FINANCIJSKA AGENCIJA - REGIONALNI CENTAR ZAGREB</item>
    </izvorni_sadrzaj>
    <derivirana_varijabla naziv="DomainObject.Predmet.StrankaListNazivFormated_1">
      <item>FINANCIJSKA AGENCIJA - REGIONALNI CENTAR ZAGREB</item>
    </derivirana_varijabla>
  </DomainObject.Predmet.StrankaListNazivFormated>
  <DomainObject.Predmet.StrankaListNazivFormatedOIB>
    <izvorni_sadrzaj>
      <item>FINANCIJSKA AGENCIJA - REGIONALNI CENTAR ZAGREB</item>
    </izvorni_sadrzaj>
    <derivirana_varijabla naziv="DomainObject.Predmet.StrankaListNazivFormatedOIB_1">
      <item>FINANCIJSKA AGENCIJA - REGIONALNI CENTAR ZAGREB</item>
    </derivirana_varijabla>
  </DomainObject.Predmet.StrankaListNazivFormatedOIB>
  <DomainObject.Predmet.ProtuStrankaListFormated>
    <izvorni_sadrzaj>
      <item>Stečajna masa iza GALANTERIJA FILO društvo s ograničenom odgovornošću za trgovinu u stečaju</item>
    </izvorni_sadrzaj>
    <derivirana_varijabla naziv="DomainObject.Predmet.ProtuStrankaListFormated_1">
      <item>Stečajna masa iza GALANTERIJA FILO društvo s ograničenom odgovornošću za trgovinu u stečaju</item>
    </derivirana_varijabla>
  </DomainObject.Predmet.ProtuStrankaListFormated>
  <DomainObject.Predmet.ProtuStrankaListFormatedOIB>
    <izvorni_sadrzaj>
      <item>Stečajna masa iza GALANTERIJA FILO društvo s ograničenom odgovornošću za trgovinu u stečaju, OIB 88174881330</item>
    </izvorni_sadrzaj>
    <derivirana_varijabla naziv="DomainObject.Predmet.ProtuStrankaListFormatedOIB_1">
      <item>Stečajna masa iza GALANTERIJA FILO društvo s ograničenom odgovornošću za trgovinu u stečaju, OIB 88174881330</item>
    </derivirana_varijabla>
  </DomainObject.Predmet.ProtuStrankaListFormatedOIB>
  <DomainObject.Predmet.ProtuStrankaListFormatedWithAdress>
    <izvorni_sadrzaj>
      <item>Stečajna masa iza GALANTERIJA FILO društvo s ograničenom odgovornošću za trgovinu u stečaju, Gorčica 10, 40000 Šenkovec</item>
    </izvorni_sadrzaj>
    <derivirana_varijabla naziv="DomainObject.Predmet.ProtuStrankaListFormatedWithAdress_1">
      <item>Stečajna masa iza GALANTERIJA FILO društvo s ograničenom odgovornošću za trgovinu u stečaju, Gorčica 10, 40000 Šenkovec</item>
    </derivirana_varijabla>
  </DomainObject.Predmet.ProtuStrankaListFormatedWithAdress>
  <DomainObject.Predmet.ProtuStrankaListFormatedWithAdressOIB>
    <izvorni_sadrzaj>
      <item>Stečajna masa iza GALANTERIJA FILO društvo s ograničenom odgovornošću za trgovinu u stečaju, OIB 88174881330, Gorčica 10, 40000 Šenkovec</item>
    </izvorni_sadrzaj>
    <derivirana_varijabla naziv="DomainObject.Predmet.ProtuStrankaListFormatedWithAdressOIB_1">
      <item>Stečajna masa iza GALANTERIJA FILO društvo s ograničenom odgovornošću za trgovinu u stečaju, OIB 88174881330, Gorčica 10, 40000 Šenkovec</item>
    </derivirana_varijabla>
  </DomainObject.Predmet.ProtuStrankaListFormatedWithAdressOIB>
  <DomainObject.Predmet.ProtuStrankaListNazivFormated>
    <izvorni_sadrzaj>
      <item>Stečajna masa iza GALANTERIJA FILO društvo s ograničenom odgovornošću za trgovinu u stečaju</item>
    </izvorni_sadrzaj>
    <derivirana_varijabla naziv="DomainObject.Predmet.ProtuStrankaListNazivFormated_1">
      <item>Stečajna masa iza GALANTERIJA FILO društvo s ograničenom odgovornošću za trgovinu u stečaju</item>
    </derivirana_varijabla>
  </DomainObject.Predmet.ProtuStrankaListNazivFormated>
  <DomainObject.Predmet.ProtuStrankaListNazivFormatedOIB>
    <izvorni_sadrzaj>
      <item>Stečajna masa iza GALANTERIJA FILO društvo s ograničenom odgovornošću za trgovinu u stečaju, OIB 88174881330</item>
    </izvorni_sadrzaj>
    <derivirana_varijabla naziv="DomainObject.Predmet.ProtuStrankaListNazivFormatedOIB_1">
      <item>Stečajna masa iza GALANTERIJA FILO društvo s ograničenom odgovornošću za trgovinu u stečaju, OIB 88174881330</item>
    </derivirana_varijabla>
  </DomainObject.Predmet.ProtuStrankaListNazivFormatedOIB>
  <DomainObject.Predmet.OstaliListFormated>
    <izvorni_sadrzaj>
      <item>MANUELA FILO</item>
      <item>Tomislav Strniščak</item>
    </izvorni_sadrzaj>
    <derivirana_varijabla naziv="DomainObject.Predmet.OstaliListFormated_1">
      <item>MANUELA FILO</item>
      <item>Tomislav Strniščak</item>
    </derivirana_varijabla>
  </DomainObject.Predmet.OstaliListFormated>
  <DomainObject.Predmet.OstaliListFormatedOIB>
    <izvorni_sadrzaj>
      <item>MANUELA FILO</item>
      <item>Tomislav Strniščak, OIB 26341315268</item>
    </izvorni_sadrzaj>
    <derivirana_varijabla naziv="DomainObject.Predmet.OstaliListFormatedOIB_1">
      <item>MANUELA FILO</item>
      <item>Tomislav Strniščak, OIB 26341315268</item>
    </derivirana_varijabla>
  </DomainObject.Predmet.OstaliListFormatedOIB>
  <DomainObject.Predmet.OstaliListFormatedWithAdress>
    <izvorni_sadrzaj>
      <item>MANUELA FILO</item>
      <item>Tomislav Strniščak, Gorčica 10, 40000 Šenkovec</item>
    </izvorni_sadrzaj>
    <derivirana_varijabla naziv="DomainObject.Predmet.OstaliListFormatedWithAdress_1">
      <item>MANUELA FILO</item>
      <item>Tomislav Strniščak, Gorčica 10, 40000 Šenkovec</item>
    </derivirana_varijabla>
  </DomainObject.Predmet.OstaliListFormatedWithAdress>
  <DomainObject.Predmet.OstaliListFormatedWithAdressOIB>
    <izvorni_sadrzaj>
      <item>MANUELA FILO</item>
      <item>Tomislav Strniščak, OIB 26341315268, Gorčica 10, 40000 Šenkovec</item>
    </izvorni_sadrzaj>
    <derivirana_varijabla naziv="DomainObject.Predmet.OstaliListFormatedWithAdressOIB_1">
      <item>MANUELA FILO</item>
      <item>Tomislav Strniščak, OIB 26341315268, Gorčica 10, 40000 Šenkovec</item>
    </derivirana_varijabla>
  </DomainObject.Predmet.OstaliListFormatedWithAdressOIB>
  <DomainObject.Predmet.OstaliListNazivFormated>
    <izvorni_sadrzaj>
      <item>MANUELA FILO</item>
      <item>Tomislav Strniščak</item>
    </izvorni_sadrzaj>
    <derivirana_varijabla naziv="DomainObject.Predmet.OstaliListNazivFormated_1">
      <item>MANUELA FILO</item>
      <item>Tomislav Strniščak</item>
    </derivirana_varijabla>
  </DomainObject.Predmet.OstaliListNazivFormated>
  <DomainObject.Predmet.OstaliListNazivFormatedOIB>
    <izvorni_sadrzaj>
      <item>MANUELA FILO</item>
      <item>Tomislav Strniščak, OIB 26341315268</item>
    </izvorni_sadrzaj>
    <derivirana_varijabla naziv="DomainObject.Predmet.OstaliListNazivFormatedOIB_1">
      <item>MANUELA FILO</item>
      <item>Tomislav Strniščak, OIB 26341315268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2019.</izvorni_sadrzaj>
    <derivirana_varijabla naziv="DomainObject.Datum_1">28. lipnja 2019.</derivirana_varijabla>
  </DomainObject.Datum>
  <DomainObject.PoslovniBrojDokumenta>
    <izvorni_sadrzaj>St-128/2019-7</izvorni_sadrzaj>
    <derivirana_varijabla naziv="DomainObject.PoslovniBrojDokumenta_1">St-128/2019-7</derivirana_varijabla>
  </DomainObject.PoslovniBrojDokumenta>
  <DomainObject.Predmet.StrankaIDrugi>
    <izvorni_sadrzaj>FINANCIJSKA AGENCIJA - REGIONALNI CENTAR ZAGREB</izvorni_sadrzaj>
    <derivirana_varijabla naziv="DomainObject.Predmet.StrankaIDrugi_1">FINANCIJSKA AGENCIJA - REGIONALNI CENTAR ZAGREB</derivirana_varijabla>
  </DomainObject.Predmet.StrankaIDrugi>
  <DomainObject.Predmet.ProtustrankaIDrugi>
    <izvorni_sadrzaj>Stečajna masa iza GALANTERIJA FILO društvo s ograničenom odgovornošću za trgovinu u stečaju</izvorni_sadrzaj>
    <derivirana_varijabla naziv="DomainObject.Predmet.ProtustrankaIDrugi_1">Stečajna masa iza GALANTERIJA FILO društvo s ograničenom odgovornošću za trgovinu u stečaju</derivirana_varijabla>
  </DomainObject.Predmet.ProtustrankaIDrugi>
  <DomainObject.Predmet.StrankaIDrugiAdressOIB>
    <izvorni_sadrzaj>FINANCIJSKA AGENCIJA - REGIONALNI CENTAR ZAGREB, Ilica 307, 10000 Zagreb</izvorni_sadrzaj>
    <derivirana_varijabla naziv="DomainObject.Predmet.StrankaIDrugiAdressOIB_1">FINANCIJSKA AGENCIJA - REGIONALNI CENTAR ZAGREB, Ilica 307, 10000 Zagreb</derivirana_varijabla>
  </DomainObject.Predmet.StrankaIDrugiAdressOIB>
  <DomainObject.Predmet.ProtustrankaIDrugiAdressOIB>
    <izvorni_sadrzaj>Stečajna masa iza GALANTERIJA FILO društvo s ograničenom odgovornošću za trgovinu u stečaju, OIB 88174881330, Gorčica 10, 40000 Šenkovec</izvorni_sadrzaj>
    <derivirana_varijabla naziv="DomainObject.Predmet.ProtustrankaIDrugiAdressOIB_1">Stečajna masa iza GALANTERIJA FILO društvo s ograničenom odgovornošću za trgovinu u stečaju, OIB 88174881330, Gorčica 10,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GALANTERIJA FILO društvo s ograničenom odgovornošću za trgovinu u stečaju</item>
      <item>MANUELA FILO</item>
      <item>FINANCIJSKA AGENCIJA - REGIONALNI CENTAR ZAGREB</item>
      <item>Tomislav Strniščak</item>
    </izvorni_sadrzaj>
    <derivirana_varijabla naziv="DomainObject.Predmet.SudioniciListNaziv_1">
      <item>Stečajna masa iza GALANTERIJA FILO društvo s ograničenom odgovornošću za trgovinu u stečaju</item>
      <item>MANUELA FILO</item>
      <item>FINANCIJSKA AGENCIJA - REGIONALNI CENTAR ZAGREB</item>
      <item>Tomislav Strniščak</item>
    </derivirana_varijabla>
  </DomainObject.Predmet.SudioniciListNaziv>
  <DomainObject.Predmet.SudioniciListAdressOIB>
    <izvorni_sadrzaj>
      <item>Stečajna masa iza GALANTERIJA FILO društvo s ograničenom odgovornošću za trgovinu u stečaju, OIB 88174881330, Gorčica 10,40000 Šenkovec</item>
      <item>MANUELA FILO</item>
      <item>FINANCIJSKA AGENCIJA - REGIONALNI CENTAR ZAGREB, Ilica 307,10000 Zagreb</item>
      <item>Tomislav Strniščak, OIB 26341315268, Gorčica 10,40000 Šenkovec</item>
    </izvorni_sadrzaj>
    <derivirana_varijabla naziv="DomainObject.Predmet.SudioniciListAdressOIB_1">
      <item>Stečajna masa iza GALANTERIJA FILO društvo s ograničenom odgovornošću za trgovinu u stečaju, OIB 88174881330, Gorčica 10,40000 Šenkovec</item>
      <item>MANUELA FILO</item>
      <item>FINANCIJSKA AGENCIJA - REGIONALNI CENTAR ZAGREB, Ilica 307,10000 Zagreb</item>
      <item>Tomislav Strniščak, OIB 26341315268, Gorčica 10,40000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C0572B-825F-4FDC-BC0B-94569F1D44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2145</properties:Characters>
  <properties:Lines>70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2019-06-28T12:25:00Z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St-128/2019-7 / Odluka - Rješenje - određivanje nagrade stečajnom upravitelju (St-128-19 nova nagrada stečajnom upravitelju.docx)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