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0108" w14:paraId="6530108" w:rsidRDefault="0027743F" w:rsidP="0027743F" w:rsidR="0027743F" w:rsidRPr="00C92B2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7743F" w:rsidP="0027743F" w:rsidR="0027743F" w:rsidRPr="00C92B28">
      <w:pPr>
        <w:jc w:val="center"/>
        <w:rPr>
          <w:b/>
          <w:sz w:val="24"/>
          <w:szCs w:val="24"/>
        </w:rPr>
      </w:pPr>
    </w:p>
    <w:p w:rsidRDefault="00312D6C" w:rsidP="0027743F" w:rsidR="00312D6C" w:rsidRPr="00C92B28">
      <w:pPr>
        <w:rPr>
          <w:b/>
          <w:sz w:val="24"/>
          <w:szCs w:val="24"/>
        </w:rPr>
      </w:pPr>
    </w:p>
    <w:p w:rsidRDefault="008C54A0" w:rsidR="008C54A0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C92B28">
      <w:pPr>
        <w:rPr>
          <w:b/>
          <w:sz w:val="24"/>
          <w:szCs w:val="24"/>
        </w:rPr>
      </w:pP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8C54A0">
        <w:rPr>
          <w:sz w:val="24"/>
          <w:szCs w:val="24"/>
        </w:rPr>
        <w:t xml:space="preserve">                    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Amruševa 2/II</w:t>
      </w: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Gordanu Zubaku, u stečajnom postupku nad dužnikom </w:t>
      </w:r>
      <w:r w:rsidR="003D4782" w:rsidRPr="003D4782">
        <w:rPr>
          <w:bCs/>
          <w:sz w:val="24"/>
          <w:szCs w:val="24"/>
          <w:lang w:val="pt-BR"/>
        </w:rPr>
        <w:t>FAMES NEKRETNINE d.o.o. u stečaju, Sesvete, Primorska 5, OIB: 62507984293</w:t>
      </w:r>
      <w:r w:rsidRPr="00C92B28">
        <w:rPr>
          <w:sz w:val="24"/>
          <w:szCs w:val="24"/>
        </w:rPr>
        <w:t xml:space="preserve">, </w:t>
      </w:r>
      <w:r w:rsidR="003D4782">
        <w:rPr>
          <w:sz w:val="24"/>
          <w:szCs w:val="24"/>
        </w:rPr>
        <w:t>5. srpnja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3D4782">
        <w:rPr>
          <w:sz w:val="24"/>
          <w:szCs w:val="24"/>
        </w:rPr>
        <w:t xml:space="preserve">Odbacuje se kao nedopušten prijedlog stečajnog upravitelja Zdravka Krznara od 23. lipnja 2016. za donošenje novog rješenja </w:t>
      </w:r>
      <w:r w:rsidR="00AB6D95">
        <w:rPr>
          <w:sz w:val="24"/>
          <w:szCs w:val="24"/>
        </w:rPr>
        <w:t>o utvrđenju</w:t>
      </w:r>
      <w:r w:rsidR="003D4782">
        <w:rPr>
          <w:sz w:val="24"/>
          <w:szCs w:val="24"/>
        </w:rPr>
        <w:t xml:space="preserve"> tražbina Opatovina projekt d.o.o., Sesvete, Primorska 5, </w:t>
      </w:r>
      <w:r w:rsidR="003D4782" w:rsidRPr="003D4782">
        <w:rPr>
          <w:bCs/>
          <w:sz w:val="24"/>
          <w:szCs w:val="24"/>
        </w:rPr>
        <w:t>OIB: 75108231896, u iznosu od 22.954.234,31 kn</w:t>
      </w:r>
      <w:r w:rsidR="003D4782">
        <w:rPr>
          <w:bCs/>
          <w:sz w:val="24"/>
          <w:szCs w:val="24"/>
        </w:rPr>
        <w:t xml:space="preserve"> i </w:t>
      </w:r>
      <w:r w:rsidR="003D4782">
        <w:rPr>
          <w:sz w:val="24"/>
          <w:szCs w:val="24"/>
        </w:rPr>
        <w:t xml:space="preserve"> </w:t>
      </w:r>
      <w:r w:rsidR="003D4782" w:rsidRPr="003D4782">
        <w:rPr>
          <w:bCs/>
          <w:sz w:val="24"/>
          <w:szCs w:val="24"/>
        </w:rPr>
        <w:t>Vendita d.o.o., Sesvete, Primorska 5, OIB: 91598506848, u iznosu od 7.224,22 kn</w:t>
      </w:r>
      <w:r w:rsidR="003D4782">
        <w:rPr>
          <w:bCs/>
          <w:sz w:val="24"/>
          <w:szCs w:val="24"/>
        </w:rPr>
        <w:t>.</w:t>
      </w:r>
    </w:p>
    <w:p w:rsidRDefault="004E77F6" w:rsidP="00F07556" w:rsidR="004E77F6">
      <w:pPr>
        <w:jc w:val="both"/>
        <w:rPr>
          <w:sz w:val="24"/>
          <w:szCs w:val="24"/>
        </w:rPr>
      </w:pPr>
    </w:p>
    <w:p w:rsidRDefault="003D4782" w:rsidP="00F07556" w:rsidR="003D4782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3D4782" w:rsidP="00750EE2" w:rsidR="003D4782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U ovom stečajnom postupku održano je ispitno ročište 9. lipnja 2016. na kojem je stečajni upravitelj osporio tražbine </w:t>
      </w:r>
      <w:r w:rsidRPr="003D4782">
        <w:rPr>
          <w:sz w:val="24"/>
          <w:szCs w:val="24"/>
        </w:rPr>
        <w:t xml:space="preserve">Opatovina projekt d.o.o., Sesvete, </w:t>
      </w:r>
      <w:r w:rsidRPr="003D4782">
        <w:rPr>
          <w:bCs/>
          <w:sz w:val="24"/>
          <w:szCs w:val="24"/>
        </w:rPr>
        <w:t>u iznosu od 22.954.234,31 kn</w:t>
      </w:r>
      <w:r>
        <w:rPr>
          <w:bCs/>
          <w:sz w:val="24"/>
          <w:szCs w:val="24"/>
        </w:rPr>
        <w:t xml:space="preserve"> i</w:t>
      </w:r>
      <w:r w:rsidRPr="003D4782">
        <w:rPr>
          <w:sz w:val="24"/>
          <w:szCs w:val="24"/>
        </w:rPr>
        <w:t xml:space="preserve"> </w:t>
      </w:r>
      <w:r w:rsidRPr="003D4782">
        <w:rPr>
          <w:bCs/>
          <w:sz w:val="24"/>
          <w:szCs w:val="24"/>
        </w:rPr>
        <w:t>Vendita d.o.o., Sesvete, u iznosu od 7.224,22 kn</w:t>
      </w:r>
      <w:r>
        <w:rPr>
          <w:bCs/>
          <w:sz w:val="24"/>
          <w:szCs w:val="24"/>
        </w:rPr>
        <w:t>.</w:t>
      </w:r>
    </w:p>
    <w:p w:rsidRDefault="006E1367" w:rsidP="006E1367" w:rsidR="006E1367">
      <w:pPr>
        <w:jc w:val="both"/>
        <w:rPr>
          <w:bCs/>
          <w:sz w:val="24"/>
          <w:szCs w:val="24"/>
        </w:rPr>
      </w:pPr>
    </w:p>
    <w:p w:rsidRDefault="006E1367" w:rsidP="006E1367" w:rsidR="006E1367">
      <w:pPr>
        <w:ind w:firstLine="720"/>
        <w:jc w:val="both"/>
        <w:rPr>
          <w:bCs/>
          <w:sz w:val="24"/>
          <w:szCs w:val="24"/>
        </w:rPr>
      </w:pPr>
      <w:r w:rsidRPr="006E1367">
        <w:rPr>
          <w:bCs/>
          <w:sz w:val="24"/>
          <w:szCs w:val="24"/>
        </w:rPr>
        <w:t>Prema odredbi čl. 260. Stečajnog zakona („Narodne novine“ br. 71/15) tražbine ispituju stečajni upravitelj i stečajni vjerovnici. Kao što je navedeno, stečajni upravitelj osporio je tražbine Opatovina projekt d.o.o. i Vendita d.o.o., nakon čega je sud sastavio tablice ispitanih tražbina te je, potom, donio rješenje od 9. lipnja 2016. kojim su utvrđene tražbine viših isplatnih redova i osporene tražbine Opatovina projekt d.o.o. te Vendita d.o.o. Navedenim rješenjem, upućeni su vjerovnici Opatovina projekt d.o.o. i Vendita d.o.o. u roku od 8 dana od dana pravomoćnosti rješenja o upućivanju u parnicu, odnosno primitka drugostupanjske odluke, na parnicu protiv stečajnog dužnika radi utvrđenja osnovanom osporene tražbine.</w:t>
      </w:r>
    </w:p>
    <w:p w:rsidRDefault="006E1367" w:rsidP="006E1367" w:rsidR="006E1367" w:rsidRPr="006E1367">
      <w:pPr>
        <w:jc w:val="both"/>
        <w:rPr>
          <w:bCs/>
          <w:sz w:val="24"/>
          <w:szCs w:val="24"/>
        </w:rPr>
      </w:pPr>
    </w:p>
    <w:p w:rsidRDefault="006E1367" w:rsidP="006E1367" w:rsidR="006E1367">
      <w:pPr>
        <w:ind w:firstLine="720"/>
        <w:jc w:val="both"/>
        <w:rPr>
          <w:bCs/>
          <w:sz w:val="24"/>
          <w:szCs w:val="24"/>
        </w:rPr>
      </w:pPr>
      <w:r w:rsidRPr="006E1367">
        <w:rPr>
          <w:bCs/>
          <w:sz w:val="24"/>
          <w:szCs w:val="24"/>
        </w:rPr>
        <w:t xml:space="preserve">Stečajni upravitelj Zdravko Krznar dostavio je sudu, nakon održanog ispitnog ročišta, podnesak od 23. lipnja 2016. u kojem je naveo da mu je osoba ovlaštena za zastupanje Opatovina projekt d.o.o. i Vendita d.o.o. dostavila dokaze, koje nije podastrijela prilikom podnošenja prijave tražbine, iz kojih proizlazi da Opatovina projekt d.o.o. raspolaže ovršnom ispravom na temelju ugovora o provedbi podjele društva u ukupnom iznosu od 22.954.234,31 kn, a Vendita d.o.o. raspolaže dokazima o osnovanosti tražbina na temelju ugovora o pozajmicama u iznosu od 7.224,22 kn. </w:t>
      </w:r>
      <w:r w:rsidRPr="006E1367">
        <w:rPr>
          <w:bCs/>
          <w:sz w:val="24"/>
          <w:szCs w:val="24"/>
        </w:rPr>
        <w:lastRenderedPageBreak/>
        <w:t>Slijedom navedenog, predložio je da sud donese novo rješenje kojim bi se priznale i ove osporene tražbine.</w:t>
      </w:r>
    </w:p>
    <w:p w:rsidRDefault="00493C7F" w:rsidP="006E1367" w:rsidR="00493C7F">
      <w:pPr>
        <w:ind w:firstLine="720"/>
        <w:jc w:val="both"/>
        <w:rPr>
          <w:bCs/>
          <w:sz w:val="24"/>
          <w:szCs w:val="24"/>
        </w:rPr>
      </w:pPr>
    </w:p>
    <w:p w:rsidRDefault="00493C7F" w:rsidP="006E1367" w:rsidR="00493C7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Odredbom čl. 260. st. 1. SZ-a propisano je da se na </w:t>
      </w:r>
      <w:r w:rsidRPr="00493C7F">
        <w:rPr>
          <w:bCs/>
          <w:sz w:val="24"/>
          <w:szCs w:val="24"/>
        </w:rPr>
        <w:t>ispitnom ročištu prijavljene tražbine ispituju prema svojim iznosima i redu</w:t>
      </w:r>
      <w:r>
        <w:rPr>
          <w:bCs/>
          <w:sz w:val="24"/>
          <w:szCs w:val="24"/>
        </w:rPr>
        <w:t xml:space="preserve">. Slijedom navedenog, stečajni upravitelj ispitao je sve pristigle tražbine u roku prijave na ispitnom ročištu od 9. lipnja 2016. pa tako i tražbine Opatovina projekt d.o.o. i Vendita d.o.o.  Nakon toga, sud je donio spomenuto rješenje od 9. lipnja 2016., koje je postalo pravomoćno 30. lipnja 2016. </w:t>
      </w:r>
    </w:p>
    <w:p w:rsidRDefault="00493C7F" w:rsidP="006E1367" w:rsidR="00493C7F">
      <w:pPr>
        <w:ind w:firstLine="720"/>
        <w:jc w:val="both"/>
        <w:rPr>
          <w:bCs/>
          <w:sz w:val="24"/>
          <w:szCs w:val="24"/>
        </w:rPr>
      </w:pPr>
    </w:p>
    <w:p w:rsidRDefault="00493C7F" w:rsidP="00493C7F" w:rsidR="00493C7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 obzirom na to da iz sadržaja Stečajnog zakona proizlazi da se prijavljene tražbine mogu ispitivati samo na ispitnom ročištu, nije dopušteno stečajnom upravitelju, naknadno, nakon održanog ispitnog ročišta i izvan ispitnog ročišta ponovno ispitivati (priznati ili osporiti) tražbinu i zahtijevati da sud donese novo rješenje o takvim tražbinama. Međutim, neovisno o tome, imajući u vidu činjenicu da je rješenje o utvrđenim i osporenom tražbinama postalo pravomoćno 30. lipnja 2016.</w:t>
      </w:r>
      <w:r w:rsidR="00AB6D9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AB6D95">
        <w:rPr>
          <w:bCs/>
          <w:sz w:val="24"/>
          <w:szCs w:val="24"/>
        </w:rPr>
        <w:t xml:space="preserve">nije dopušteno ni da sud u smislu čl. 333. st. 2. Zakona o parničnom postupku („Narodne novine“ </w:t>
      </w:r>
      <w:r w:rsidR="00AB6D95" w:rsidRPr="00AB6D95">
        <w:rPr>
          <w:bCs/>
          <w:sz w:val="24"/>
          <w:szCs w:val="24"/>
        </w:rPr>
        <w:t>broj 53/91, 91/92, 112/99, 88/01, 117/03, 88/05, 2/07, 84/08, 57/11, 148/11, 25/13 i 89/14</w:t>
      </w:r>
      <w:r w:rsidR="00AB6D95">
        <w:rPr>
          <w:bCs/>
          <w:sz w:val="24"/>
          <w:szCs w:val="24"/>
        </w:rPr>
        <w:t>, dalje: ZPP) u vezi s čl. 10. SZ-a ponovno odlučuje o onome o čemu je već pravomoćno riješio.</w:t>
      </w:r>
    </w:p>
    <w:p w:rsidRDefault="00493C7F" w:rsidP="00AB6D95" w:rsidR="00493C7F">
      <w:pPr>
        <w:jc w:val="both"/>
        <w:rPr>
          <w:bCs/>
          <w:sz w:val="24"/>
          <w:szCs w:val="24"/>
        </w:rPr>
      </w:pPr>
    </w:p>
    <w:p w:rsidRDefault="00AB6D95" w:rsidP="006E1367" w:rsidR="00493C7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Pored navedenog, ukazuje se vjerovnicima da je s</w:t>
      </w:r>
      <w:r w:rsidR="00493C7F">
        <w:rPr>
          <w:bCs/>
          <w:sz w:val="24"/>
          <w:szCs w:val="24"/>
        </w:rPr>
        <w:t>ud u ovom postupku donio rješenje o otvaranju stečaja nad dužnikom od 19. veljače 2016. kojim</w:t>
      </w:r>
      <w:r>
        <w:rPr>
          <w:bCs/>
          <w:sz w:val="24"/>
          <w:szCs w:val="24"/>
        </w:rPr>
        <w:t xml:space="preserve"> ih</w:t>
      </w:r>
      <w:r w:rsidR="00493C7F">
        <w:rPr>
          <w:bCs/>
          <w:sz w:val="24"/>
          <w:szCs w:val="24"/>
        </w:rPr>
        <w:t xml:space="preserve"> je pozvao </w:t>
      </w:r>
      <w:r w:rsidR="00493C7F" w:rsidRPr="00493C7F">
        <w:rPr>
          <w:bCs/>
          <w:sz w:val="24"/>
          <w:szCs w:val="24"/>
        </w:rPr>
        <w:t xml:space="preserve">u roku od 60 dana od dana objave ovog rješenja na mrežnoj stranici e-oglasna ploča Trgovačkog suda u Zagrebu prijaviti svoje tražbine stečajnom upravitelju, u skladu s pravilima Stečajnog zakona o prijavi tražbina,  na propisanom obrascu, u 2 primjerka, </w:t>
      </w:r>
      <w:r w:rsidR="00493C7F" w:rsidRPr="00AB6D95">
        <w:rPr>
          <w:bCs/>
          <w:sz w:val="24"/>
          <w:szCs w:val="24"/>
          <w:u w:val="single"/>
        </w:rPr>
        <w:t>s ispravama iz kojih tražbina proizlazi, odnosno kojima se dokazuje</w:t>
      </w:r>
      <w:r w:rsidR="00493C7F">
        <w:rPr>
          <w:bCs/>
          <w:sz w:val="24"/>
          <w:szCs w:val="24"/>
        </w:rPr>
        <w:t>.</w:t>
      </w:r>
    </w:p>
    <w:p w:rsidRDefault="00AB6D95" w:rsidP="006E1367" w:rsidR="00AB6D95">
      <w:pPr>
        <w:ind w:firstLine="720"/>
        <w:jc w:val="both"/>
        <w:rPr>
          <w:bCs/>
          <w:sz w:val="24"/>
          <w:szCs w:val="24"/>
        </w:rPr>
      </w:pPr>
    </w:p>
    <w:p w:rsidRDefault="00AB6D95" w:rsidP="006E1367" w:rsidR="00AB6D95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Slijedom navedenog, sud je na temelju odredbe čl. 333. st. 2. ZPP-a u vezi s čl. 10. SZ-a riješio kao u izreci. 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AB6D95">
        <w:rPr>
          <w:sz w:val="24"/>
          <w:szCs w:val="24"/>
        </w:rPr>
        <w:t>5. srpnja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8C54A0" w:rsidR="008C54A0" w:rsidRPr="00310646">
      <w:pPr>
        <w:pStyle w:val="Tijeloteksta"/>
        <w:ind w:left="6372"/>
      </w:pP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</w:r>
      <w:r w:rsidRPr="00C92B28">
        <w:tab/>
        <w:t xml:space="preserve">            </w:t>
      </w:r>
      <w:r w:rsidR="008C54A0">
        <w:t xml:space="preserve"> </w:t>
      </w:r>
      <w:r w:rsidR="008C54A0" w:rsidRPr="00310646">
        <w:t>SUDAC:</w:t>
      </w:r>
    </w:p>
    <w:p w:rsidRDefault="008C54A0" w:rsidP="00F213B6" w:rsidR="008C54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C54A0" w:rsidP="00F213B6" w:rsidR="008C54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C54A0" w:rsidP="008C54A0" w:rsidR="008C54A0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C54A0" w:rsidP="00F213B6" w:rsidR="008C54A0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8C54A0" w:rsidR="008C54A0"/>
    <w:p w:rsidRDefault="0027743F" w:rsidP="008C54A0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8C54A0" w:rsidP="0027743F" w:rsidR="008C54A0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312D6C" w:rsidP="0027743F" w:rsidR="00312D6C" w:rsidRPr="00C92B28">
      <w:pPr>
        <w:jc w:val="both"/>
        <w:rPr>
          <w:sz w:val="24"/>
          <w:szCs w:val="24"/>
        </w:rPr>
      </w:pPr>
    </w:p>
    <w:p w:rsidRDefault="008C54A0" w:rsidP="0027743F" w:rsidR="008C54A0">
      <w:pPr>
        <w:jc w:val="both"/>
        <w:rPr>
          <w:sz w:val="24"/>
          <w:szCs w:val="24"/>
        </w:rPr>
      </w:pPr>
    </w:p>
    <w:p w:rsidRDefault="008C54A0" w:rsidP="0027743F" w:rsidR="008C54A0">
      <w:pPr>
        <w:jc w:val="both"/>
        <w:rPr>
          <w:sz w:val="24"/>
          <w:szCs w:val="24"/>
        </w:rPr>
      </w:pPr>
    </w:p>
    <w:p w:rsidRDefault="008C54A0" w:rsidP="0027743F" w:rsidR="008C54A0">
      <w:pPr>
        <w:jc w:val="both"/>
        <w:rPr>
          <w:sz w:val="24"/>
          <w:szCs w:val="24"/>
        </w:rPr>
      </w:pPr>
    </w:p>
    <w:p w:rsidRDefault="008C54A0" w:rsidP="0027743F" w:rsidR="008C54A0">
      <w:pPr>
        <w:jc w:val="both"/>
        <w:rPr>
          <w:sz w:val="24"/>
          <w:szCs w:val="24"/>
        </w:rPr>
      </w:pPr>
    </w:p>
    <w:p w:rsidRDefault="008C54A0" w:rsidP="0027743F" w:rsidR="008C54A0">
      <w:pPr>
        <w:jc w:val="both"/>
        <w:rPr>
          <w:sz w:val="24"/>
          <w:szCs w:val="24"/>
        </w:rPr>
      </w:pPr>
    </w:p>
    <w:p w:rsidRDefault="00935ABA" w:rsidR="00935ABA" w:rsidRPr="00C92B28">
      <w:pPr>
        <w:rPr>
          <w:sz w:val="24"/>
          <w:szCs w:val="24"/>
        </w:rPr>
      </w:pPr>
    </w:p>
    <w:sectPr w:rsidSect="002E3364" w:rsidR="00935ABA" w:rsidRPr="00C92B28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6432341"/>
      <w:docPartObj>
        <w:docPartGallery w:val="Page Numbers (Top of Page)"/>
        <w:docPartUnique/>
      </w:docPartObj>
    </w:sdtPr>
    <w:sdtEndPr/>
    <w:sdtContent>
      <w:p w:rsidRDefault="008C54A0" w:rsidR="008C54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9A2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                                                    </w:t>
        </w:r>
        <w:r w:rsidRPr="00C92B28">
          <w:rPr>
            <w:sz w:val="24"/>
            <w:szCs w:val="24"/>
          </w:rPr>
          <w:t>67. St</w:t>
        </w:r>
        <w:r>
          <w:rPr>
            <w:sz w:val="24"/>
            <w:szCs w:val="24"/>
          </w:rPr>
          <w:t>-7399/15-37</w:t>
        </w:r>
      </w:p>
    </w:sdtContent>
  </w:sdt>
  <w:p w:rsidRDefault="008C54A0" w:rsidR="008C54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A1D40"/>
    <w:rsid w:val="001A69B9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D4782"/>
    <w:rsid w:val="003E5792"/>
    <w:rsid w:val="00493C7F"/>
    <w:rsid w:val="004B7367"/>
    <w:rsid w:val="004E77F6"/>
    <w:rsid w:val="0051300B"/>
    <w:rsid w:val="00523742"/>
    <w:rsid w:val="00577C20"/>
    <w:rsid w:val="005F27F5"/>
    <w:rsid w:val="00681EE3"/>
    <w:rsid w:val="006870FD"/>
    <w:rsid w:val="006C69A2"/>
    <w:rsid w:val="006E1367"/>
    <w:rsid w:val="007039B6"/>
    <w:rsid w:val="00715B09"/>
    <w:rsid w:val="007370E5"/>
    <w:rsid w:val="00750EE2"/>
    <w:rsid w:val="00756F86"/>
    <w:rsid w:val="0080088A"/>
    <w:rsid w:val="008A286D"/>
    <w:rsid w:val="008C54A0"/>
    <w:rsid w:val="008D58CF"/>
    <w:rsid w:val="00930448"/>
    <w:rsid w:val="00935ABA"/>
    <w:rsid w:val="0099424A"/>
    <w:rsid w:val="009B51C4"/>
    <w:rsid w:val="009F4D8D"/>
    <w:rsid w:val="00AA67D2"/>
    <w:rsid w:val="00AB197A"/>
    <w:rsid w:val="00AB6D95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E24D45"/>
    <w:rsid w:val="00E50AE5"/>
    <w:rsid w:val="00E81382"/>
    <w:rsid w:val="00F07556"/>
    <w:rsid w:val="00F140A9"/>
    <w:rsid w:val="00F16803"/>
    <w:rsid w:val="00F418BC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link w:val="PodnaslovChar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8C54A0"/>
  </w:style>
  <w:style w:customStyle="true" w:styleId="PodnaslovChar" w:type="character">
    <w:name w:val="Podnaslov Char"/>
    <w:basedOn w:val="Zadanifontodlomka"/>
    <w:link w:val="Podnaslov"/>
    <w:rsid w:val="008C54A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C54A0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C5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9A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9A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9A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9A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link w:val="PodnaslovChar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8C54A0"/>
  </w:style>
  <w:style w:customStyle="1" w:styleId="PodnaslovChar" w:type="character">
    <w:name w:val="Podnaslov Char"/>
    <w:basedOn w:val="Zadanifontodlomka"/>
    <w:link w:val="Podnaslov"/>
    <w:rsid w:val="008C54A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C54A0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C5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9A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9A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9A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9A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  <item>OPATOVINA PROJEKT društvo s ograničenom odgovornošću za poslovanje nekretninama</item>
      <item>VENDITA, d.o.o. za savjetovanje i upravljanje</item>
    </izvorni_sadrzaj>
    <derivirana_varijabla naziv="DomainObject.Predmet.OstaliListFormated_1">
      <item>Petar Šola</item>
      <item>OPATOVINA PROJEKT društvo s ograničenom odgovornošću za poslovanje nekretninama</item>
      <item>VENDITA, d.o.o. za savjetovanje i upravljanje</item>
    </derivirana_varijabla>
  </DomainObject.Predmet.OstaliListFormated>
  <DomainObject.Predmet.OstaliList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</izvorni_sadrzaj>
    <derivirana_varijabla naziv="DomainObject.Predmet.OstaliListFormatedOIB_1">
      <item>Petar Šola, OIB 18566621969</item>
      <item>OPATOVINA PROJEKT društvo s ograničenom odgovornošću za poslovanje nekretninama, OIB 75108231896</item>
      <item>VENDITA, d.o.o. za savjetovanje i upravljanje, OIB 91598506848</item>
    </derivirana_varijabla>
  </DomainObject.Predmet.OstaliListFormatedOIB>
  <DomainObject.Predmet.OstaliListFormatedWithAdress>
    <izvorni_sadrzaj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</izvorni_sadrzaj>
    <derivirana_varijabla naziv="DomainObject.Predmet.OstaliListFormatedWithAdress_1"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</derivirana_varijabla>
  </DomainObject.Predmet.OstaliListFormatedWithAdress>
  <DomainObject.Predmet.OstaliListFormatedWithAdressOIB>
    <izvorni_sadrzaj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</izvorni_sadrzaj>
    <derivirana_varijabla naziv="DomainObject.Predmet.OstaliListFormatedWithAdressOIB_1"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</derivirana_varijabla>
  </DomainObject.Predmet.OstaliListFormatedWithAdressOIB>
  <DomainObject.Predmet.OstaliListNazivFormated>
    <izvorni_sadrzaj>
      <item>Petar Šola</item>
      <item>OPATOVINA PROJEKT društvo s ograničenom odgovornošću za poslovanje nekretninama</item>
      <item>VENDITA, d.o.o. za savjetovanje i upravljanje</item>
    </izvorni_sadrzaj>
    <derivirana_varijabla naziv="DomainObject.Predmet.OstaliListNazivFormated_1">
      <item>Petar Šola</item>
      <item>OPATOVINA PROJEKT društvo s ograničenom odgovornošću za poslovanje nekretninama</item>
      <item>VENDITA, d.o.o. za savjetovanje i upravljanje</item>
    </derivirana_varijabla>
  </DomainObject.Predmet.OstaliListNazivFormated>
  <DomainObject.Predmet.OstaliListNaziv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</izvorni_sadrzaj>
    <derivirana_varijabla naziv="DomainObject.Predmet.OstaliListNazivFormatedOIB_1">
      <item>Petar Šola, OIB 18566621969</item>
      <item>OPATOVINA PROJEKT društvo s ograničenom odgovornošću za poslovanje nekretninama, OIB 75108231896</item>
      <item>VENDITA, d.o.o. za savjetovanje i upravljanje, OIB 91598506848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</izvorni_sadrzaj>
    <derivirana_varijabla naziv="DomainObject.Predmet.SudioniciListNaziv_1"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  <item>, OIB 75108231896</item>
      <item>, OIB 91598506848</item>
    </izvorni_sadrzaj>
    <derivirana_varijabla naziv="DomainObject.Predmet.SudioniciListNazivOIB_1">
      <item>, OIB 85821130368</item>
      <item>, OIB 62507984293</item>
      <item>, OIB 18566621969</item>
      <item>, OIB 75108231896</item>
      <item>, OIB 91598506848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686</properties:Words>
  <properties:Characters>3666</properties:Characters>
  <properties:Lines>100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2016-07-04T12:41:00Z</dcterms:created>
  <dc:creator>nmarkovic</dc:creator>
  <cp:lastModifiedBy>Ivana Rogić</cp:lastModifiedBy>
  <cp:lastPrinted>2016-07-08T11:58:00Z</cp:lastPrinted>
  <dcterms:modified xmlns:xsi="http://www.w3.org/2001/XMLSchema-instance" xsi:type="dcterms:W3CDTF">2016-07-08T12:00:00Z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