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1da70" w14:paraId="381da70" w:rsidRDefault="00AE649C" w:rsidP="004F27AE" w:rsidR="00AE649C" w:rsidRPr="00B76F3C">
      <w:pPr>
        <w:pStyle w:val="NormaleSPIS"/>
        <w15:collapsed w:val="false"/>
      </w:pPr>
    </w:p>
    <w:p w:rsidRDefault="00AB4602" w:rsidP="00D276EA" w:rsidR="00D276EA" w:rsidRPr="00D276EA">
      <w:pPr>
        <w:pStyle w:val="NormaleSPIS"/>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276EA">
        <w:rPr>
          <w:rFonts w:cs="Times New Roman"/>
        </w:rPr>
        <w:t xml:space="preserve">  </w:t>
      </w:r>
      <w:bookmarkStart w:name="_GoBack" w:id="0"/>
      <w:bookmarkEnd w:id="0"/>
      <w:r w:rsidR="00D276EA">
        <w:rPr>
          <w:rFonts w:cs="Times New Roman"/>
        </w:rPr>
        <w:t xml:space="preserve"> </w:t>
      </w:r>
      <w:r w:rsidR="00D276EA" w:rsidRPr="00D276EA">
        <w:rPr>
          <w:rFonts w:cs="Times New Roman"/>
        </w:rPr>
        <w:tab/>
      </w:r>
      <w:r w:rsidR="00D276EA" w:rsidRPr="00D276EA">
        <w:rPr>
          <w:rFonts w:cs="Times New Roman"/>
        </w:rPr>
        <w:tab/>
      </w:r>
      <w:r w:rsidR="00D276EA" w:rsidRPr="00D276EA">
        <w:rPr>
          <w:rFonts w:cs="Times New Roman"/>
        </w:rPr>
        <w:tab/>
      </w:r>
      <w:r w:rsidR="00D276EA" w:rsidRPr="00D276EA">
        <w:rPr>
          <w:rFonts w:cs="Times New Roman"/>
        </w:rPr>
        <w:tab/>
      </w:r>
      <w:r w:rsidR="00D276EA" w:rsidRPr="00D276EA">
        <w:rPr>
          <w:rFonts w:cs="Times New Roman"/>
        </w:rPr>
        <w:tab/>
      </w:r>
      <w:r w:rsidR="00D276EA" w:rsidRPr="00D276EA">
        <w:rPr>
          <w:rFonts w:cs="Times New Roman"/>
        </w:rPr>
        <w:tab/>
      </w:r>
      <w:r w:rsidR="00D276EA" w:rsidRPr="00D276EA">
        <w:rPr>
          <w:rFonts w:cs="Times New Roman"/>
        </w:rPr>
        <w:tab/>
        <w:t xml:space="preserve">  Poslovni broj 3. St-867/2016-16</w:t>
      </w:r>
    </w:p>
    <w:p w:rsidRDefault="00D276EA" w:rsidP="00D276EA" w:rsidR="00D276EA" w:rsidRPr="00D276EA">
      <w:pPr>
        <w:spacing w:after="0"/>
        <w:ind w:firstLine="708"/>
        <w:rPr>
          <w:rFonts w:cs="Times New Roman" w:eastAsia="Times New Roman"/>
          <w:lang w:eastAsia="hr-HR"/>
        </w:rPr>
      </w:pPr>
      <w:r w:rsidRPr="00D276EA">
        <w:rPr>
          <w:rFonts w:cs="Times New Roman" w:eastAsia="Times New Roman"/>
          <w:lang w:eastAsia="hr-HR"/>
        </w:rPr>
        <w:t>REPUBLIKA HRVATSKA</w:t>
      </w:r>
    </w:p>
    <w:p w:rsidRDefault="00D276EA" w:rsidP="00D276EA" w:rsidR="00D276EA" w:rsidRPr="00D276EA">
      <w:pPr>
        <w:spacing w:after="0"/>
        <w:ind w:firstLine="708"/>
        <w:rPr>
          <w:rFonts w:cs="Times New Roman" w:eastAsia="Times New Roman"/>
          <w:lang w:eastAsia="hr-HR"/>
        </w:rPr>
      </w:pPr>
      <w:r w:rsidRPr="00D276EA">
        <w:rPr>
          <w:rFonts w:cs="Times New Roman" w:eastAsia="Times New Roman"/>
          <w:lang w:eastAsia="hr-HR"/>
        </w:rPr>
        <w:t>TRGOVAČKI SUD U ZADRU</w:t>
      </w:r>
    </w:p>
    <w:p w:rsidRDefault="00D276EA" w:rsidP="00D276EA" w:rsidR="00D276EA" w:rsidRPr="00D276EA">
      <w:pPr>
        <w:spacing w:after="0"/>
        <w:ind w:firstLine="708"/>
        <w:rPr>
          <w:rFonts w:cs="Times New Roman" w:eastAsia="Times New Roman"/>
          <w:lang w:eastAsia="hr-HR"/>
        </w:rPr>
      </w:pPr>
      <w:r w:rsidRPr="00D276EA">
        <w:rPr>
          <w:rFonts w:cs="Times New Roman" w:eastAsia="Times New Roman"/>
          <w:lang w:eastAsia="hr-HR"/>
        </w:rPr>
        <w:t>Zadar, Dr. Franje Tuđmana 35</w:t>
      </w:r>
    </w:p>
    <w:p w:rsidRDefault="00D276EA" w:rsidP="00D276EA" w:rsidR="00D276EA" w:rsidRPr="00D276EA">
      <w:pPr>
        <w:spacing w:after="0"/>
        <w:jc w:val="center"/>
        <w:rPr>
          <w:rFonts w:cs="Times New Roman" w:eastAsia="Times New Roman"/>
          <w:lang w:eastAsia="hr-HR"/>
        </w:rPr>
      </w:pPr>
    </w:p>
    <w:p w:rsidRDefault="00D276EA" w:rsidP="00D276EA" w:rsidR="00D276EA" w:rsidRPr="00D276EA">
      <w:pPr>
        <w:spacing w:after="0"/>
        <w:jc w:val="center"/>
        <w:rPr>
          <w:rFonts w:cs="Times New Roman" w:eastAsia="Times New Roman"/>
          <w:lang w:eastAsia="hr-HR"/>
        </w:rPr>
      </w:pPr>
    </w:p>
    <w:p w:rsidRDefault="00D276EA" w:rsidP="00D276EA" w:rsidR="00D276EA" w:rsidRPr="00D276EA">
      <w:pPr>
        <w:spacing w:after="0"/>
        <w:jc w:val="center"/>
        <w:rPr>
          <w:rFonts w:cs="Times New Roman" w:eastAsia="Times New Roman"/>
          <w:lang w:eastAsia="hr-HR"/>
        </w:rPr>
      </w:pPr>
      <w:r w:rsidRPr="00D276EA">
        <w:rPr>
          <w:rFonts w:cs="Times New Roman" w:eastAsia="Times New Roman"/>
          <w:lang w:eastAsia="hr-HR"/>
        </w:rPr>
        <w:t xml:space="preserve">R E P U B L I K A  H R V A T S K A </w:t>
      </w:r>
    </w:p>
    <w:p w:rsidRDefault="00D276EA" w:rsidP="00D276EA" w:rsidR="00D276EA" w:rsidRPr="00D276EA">
      <w:pPr>
        <w:spacing w:after="0"/>
        <w:jc w:val="both"/>
        <w:rPr>
          <w:rFonts w:cs="Times New Roman" w:eastAsia="Times New Roman"/>
          <w:lang w:eastAsia="hr-HR"/>
        </w:rPr>
      </w:pPr>
    </w:p>
    <w:p w:rsidRDefault="00D276EA" w:rsidP="00D276EA" w:rsidR="00D276EA" w:rsidRPr="00D276EA">
      <w:pPr>
        <w:spacing w:after="0"/>
        <w:jc w:val="center"/>
        <w:rPr>
          <w:rFonts w:cs="Times New Roman" w:eastAsia="Times New Roman"/>
          <w:lang w:eastAsia="hr-HR"/>
        </w:rPr>
      </w:pPr>
      <w:r w:rsidRPr="00D276EA">
        <w:rPr>
          <w:rFonts w:cs="Times New Roman" w:eastAsia="Times New Roman"/>
          <w:lang w:eastAsia="hr-HR"/>
        </w:rPr>
        <w:t>R J E Š E NJ E</w:t>
      </w:r>
    </w:p>
    <w:p w:rsidRDefault="00D276EA" w:rsidP="00D276EA" w:rsidR="00D276EA" w:rsidRPr="00D276EA">
      <w:pPr>
        <w:spacing w:after="0"/>
        <w:rPr>
          <w:rFonts w:cs="Times New Roman" w:eastAsia="Times New Roman"/>
          <w:lang w:eastAsia="hr-HR"/>
        </w:rPr>
      </w:pPr>
    </w:p>
    <w:p w:rsidRDefault="00D276EA" w:rsidP="00D276EA" w:rsidR="00D276EA" w:rsidRPr="00D276EA">
      <w:pPr>
        <w:spacing w:after="0"/>
        <w:ind w:firstLine="708"/>
        <w:jc w:val="both"/>
        <w:rPr>
          <w:rFonts w:cs="Times New Roman" w:eastAsia="Times New Roman"/>
          <w:lang w:eastAsia="hr-HR"/>
        </w:rPr>
      </w:pPr>
      <w:r w:rsidRPr="00D276EA">
        <w:rPr>
          <w:rFonts w:cs="Times New Roman" w:eastAsia="Times New Roman"/>
          <w:lang w:eastAsia="hr-HR"/>
        </w:rPr>
        <w:t xml:space="preserve">Trgovački sud u Zadru, OIB: 39670464653, po sutkinji Tini Grgas, u prethodnom postupku radi utvrđivanja pretpostavki za otvaranje stečajnoga postupka nad dužnikom ANTE ŠKABRNJA j.d.o.o. sa sjedištem u Prkosu, </w:t>
      </w:r>
      <w:proofErr w:type="spellStart"/>
      <w:r w:rsidRPr="00D276EA">
        <w:rPr>
          <w:rFonts w:cs="Times New Roman" w:eastAsia="Times New Roman"/>
          <w:lang w:eastAsia="hr-HR"/>
        </w:rPr>
        <w:t>Prkoških</w:t>
      </w:r>
      <w:proofErr w:type="spellEnd"/>
      <w:r w:rsidRPr="00D276EA">
        <w:rPr>
          <w:rFonts w:cs="Times New Roman" w:eastAsia="Times New Roman"/>
          <w:lang w:eastAsia="hr-HR"/>
        </w:rPr>
        <w:t xml:space="preserve"> domoljuba 4, OIB: 82366331916, zastupanim po Anti </w:t>
      </w:r>
      <w:proofErr w:type="spellStart"/>
      <w:r w:rsidRPr="00D276EA">
        <w:rPr>
          <w:rFonts w:cs="Times New Roman" w:eastAsia="Times New Roman"/>
          <w:lang w:eastAsia="hr-HR"/>
        </w:rPr>
        <w:t>Butiću</w:t>
      </w:r>
      <w:proofErr w:type="spellEnd"/>
      <w:r w:rsidRPr="00D276EA">
        <w:rPr>
          <w:rFonts w:cs="Times New Roman" w:eastAsia="Times New Roman"/>
          <w:lang w:eastAsia="hr-HR"/>
        </w:rPr>
        <w:t xml:space="preserve"> iz Prkosa, 8. lipnja 2017.</w:t>
      </w:r>
    </w:p>
    <w:p w:rsidRDefault="00D276EA" w:rsidP="00D276EA" w:rsidR="00D276EA" w:rsidRPr="00D276EA">
      <w:pPr>
        <w:spacing w:after="0"/>
        <w:ind w:firstLine="708"/>
        <w:jc w:val="both"/>
        <w:rPr>
          <w:rFonts w:cs="Times New Roman" w:eastAsia="Times New Roman"/>
          <w:lang w:eastAsia="hr-HR"/>
        </w:rPr>
      </w:pPr>
    </w:p>
    <w:p w:rsidRDefault="00D276EA" w:rsidP="00D276EA" w:rsidR="00D276EA" w:rsidRPr="00D276EA">
      <w:pPr>
        <w:spacing w:after="0"/>
        <w:jc w:val="center"/>
        <w:rPr>
          <w:rFonts w:cs="Times New Roman" w:eastAsia="Times New Roman"/>
          <w:lang w:eastAsia="hr-HR"/>
        </w:rPr>
      </w:pPr>
      <w:r w:rsidRPr="00D276EA">
        <w:rPr>
          <w:rFonts w:cs="Times New Roman" w:eastAsia="Times New Roman"/>
          <w:lang w:eastAsia="hr-HR"/>
        </w:rPr>
        <w:t>r i j e š i o   j e</w:t>
      </w:r>
    </w:p>
    <w:p w:rsidRDefault="00D276EA" w:rsidP="00D276EA" w:rsidR="00D276EA" w:rsidRPr="00D276EA">
      <w:pPr>
        <w:spacing w:after="0"/>
        <w:rPr>
          <w:rFonts w:cs="Times New Roman" w:eastAsia="Times New Roman"/>
          <w:lang w:eastAsia="hr-HR"/>
        </w:rPr>
      </w:pPr>
    </w:p>
    <w:p w:rsidRDefault="00D276EA" w:rsidP="00D276EA" w:rsidR="00D276EA" w:rsidRPr="00D276EA">
      <w:pPr>
        <w:spacing w:after="0"/>
        <w:ind w:firstLine="708"/>
        <w:jc w:val="both"/>
        <w:rPr>
          <w:rFonts w:cs="Times New Roman" w:eastAsia="Times New Roman"/>
          <w:lang w:eastAsia="hr-HR"/>
        </w:rPr>
      </w:pPr>
      <w:r w:rsidRPr="00D276EA">
        <w:rPr>
          <w:rFonts w:cs="Times New Roman" w:eastAsia="Times New Roman"/>
          <w:lang w:eastAsia="hr-HR"/>
        </w:rPr>
        <w:t xml:space="preserve">I. Pozivaju se osobe koje imaju pravni interes za provedbom stečajnoga postupka nad dužnikom ANTE ŠKABRNJA j.d.o.o. sa sjedištem u Prkosu, </w:t>
      </w:r>
      <w:proofErr w:type="spellStart"/>
      <w:r w:rsidRPr="00D276EA">
        <w:rPr>
          <w:rFonts w:cs="Times New Roman" w:eastAsia="Times New Roman"/>
          <w:lang w:eastAsia="hr-HR"/>
        </w:rPr>
        <w:t>Prkoških</w:t>
      </w:r>
      <w:proofErr w:type="spellEnd"/>
      <w:r w:rsidRPr="00D276EA">
        <w:rPr>
          <w:rFonts w:cs="Times New Roman" w:eastAsia="Times New Roman"/>
          <w:lang w:eastAsia="hr-HR"/>
        </w:rPr>
        <w:t xml:space="preserve"> domoljuba 4, OIB: 82366331916, u roku od 15 dana od isteka osmog dana od dana objave ovog rješenja na mrežnoj stranici e-Oglasna ploča suda, solidarno uplatiti predujam za namirenje troškova prethodnoga i otvorenoga stečajnog postupka u iznosu od 28.000,00 kuna (</w:t>
      </w:r>
      <w:proofErr w:type="spellStart"/>
      <w:r w:rsidRPr="00D276EA">
        <w:rPr>
          <w:rFonts w:cs="Times New Roman" w:eastAsia="Times New Roman"/>
          <w:lang w:eastAsia="hr-HR"/>
        </w:rPr>
        <w:t>dvadesetosamtisuća</w:t>
      </w:r>
      <w:proofErr w:type="spellEnd"/>
      <w:r w:rsidRPr="00D276EA">
        <w:rPr>
          <w:rFonts w:cs="Times New Roman" w:eastAsia="Times New Roman"/>
          <w:lang w:eastAsia="hr-HR"/>
        </w:rPr>
        <w:t xml:space="preserve"> kuna) na žiro račun ovog suda otvoren kod Hrvatske poštanske banke d.d. broj: IBAN: HR43 2390 0011 3000 0085 7 s pozivom na broj odobrenja 05 221-867-16.</w:t>
      </w:r>
    </w:p>
    <w:p w:rsidRDefault="00D276EA" w:rsidP="00D276EA" w:rsidR="00D276EA" w:rsidRPr="00D276EA">
      <w:pPr>
        <w:spacing w:after="0"/>
        <w:ind w:firstLine="705"/>
        <w:jc w:val="both"/>
        <w:rPr>
          <w:rFonts w:cs="Times New Roman" w:eastAsia="Times New Roman"/>
          <w:lang w:eastAsia="hr-HR"/>
        </w:rPr>
      </w:pPr>
      <w:r w:rsidRPr="00D276EA">
        <w:rPr>
          <w:rFonts w:cs="Times New Roman" w:eastAsia="Times New Roman"/>
          <w:lang w:eastAsia="hr-HR"/>
        </w:rPr>
        <w:t>II. Ako osobe iz točke I. izreke ovog rješenja ne predujme zatraženi iznos, sud će donijeti rješenje o otvaranju i zaključenju stečajnoga postupka nad uvodno označenim dužnikom.</w:t>
      </w:r>
    </w:p>
    <w:p w:rsidRDefault="00D276EA" w:rsidP="00D276EA" w:rsidR="00D276EA" w:rsidRPr="00D276EA">
      <w:pPr>
        <w:spacing w:after="0"/>
        <w:ind w:firstLine="705"/>
        <w:jc w:val="both"/>
        <w:rPr>
          <w:rFonts w:cs="Times New Roman" w:eastAsia="Times New Roman"/>
          <w:lang w:eastAsia="hr-HR"/>
        </w:rPr>
      </w:pPr>
      <w:r w:rsidRPr="00D276EA">
        <w:rPr>
          <w:rFonts w:cs="Times New Roman" w:eastAsia="Times New Roman"/>
          <w:lang w:eastAsia="hr-HR"/>
        </w:rPr>
        <w:t xml:space="preserve">III. Ovo rješenje će se objaviti na mrežnoj stranici e-Oglasna ploča suda istog dana kada je doneseno. </w:t>
      </w:r>
    </w:p>
    <w:p w:rsidRDefault="00D276EA" w:rsidP="00D276EA" w:rsidR="00D276EA" w:rsidRPr="00D276EA">
      <w:pPr>
        <w:spacing w:after="0"/>
        <w:jc w:val="both"/>
        <w:rPr>
          <w:rFonts w:cs="Times New Roman" w:eastAsia="Times New Roman"/>
          <w:lang w:eastAsia="hr-HR"/>
        </w:rPr>
      </w:pPr>
    </w:p>
    <w:p w:rsidRDefault="00D276EA" w:rsidP="00D276EA" w:rsidR="00D276EA" w:rsidRPr="00D276EA">
      <w:pPr>
        <w:spacing w:after="0"/>
        <w:jc w:val="both"/>
        <w:rPr>
          <w:rFonts w:cs="Times New Roman" w:eastAsia="Times New Roman"/>
          <w:lang w:eastAsia="hr-HR"/>
        </w:rPr>
      </w:pPr>
    </w:p>
    <w:p w:rsidRDefault="00D276EA" w:rsidP="00D276EA" w:rsidR="00D276EA" w:rsidRPr="00D276EA">
      <w:pPr>
        <w:spacing w:after="0"/>
        <w:jc w:val="center"/>
        <w:rPr>
          <w:rFonts w:cs="Times New Roman" w:eastAsia="Times New Roman"/>
          <w:lang w:eastAsia="hr-HR"/>
        </w:rPr>
      </w:pPr>
      <w:r w:rsidRPr="00D276EA">
        <w:rPr>
          <w:rFonts w:cs="Times New Roman" w:eastAsia="Times New Roman"/>
          <w:lang w:eastAsia="hr-HR"/>
        </w:rPr>
        <w:t>Obrazloženje</w:t>
      </w:r>
    </w:p>
    <w:p w:rsidRDefault="00D276EA" w:rsidP="00D276EA" w:rsidR="00D276EA" w:rsidRPr="00D276EA">
      <w:pPr>
        <w:spacing w:after="0"/>
        <w:jc w:val="center"/>
        <w:rPr>
          <w:rFonts w:cs="Times New Roman" w:eastAsia="Times New Roman"/>
          <w:lang w:eastAsia="hr-HR"/>
        </w:rPr>
      </w:pPr>
    </w:p>
    <w:p w:rsidRDefault="00D276EA" w:rsidP="00D276EA" w:rsidR="00D276EA" w:rsidRPr="00D276EA">
      <w:pPr>
        <w:spacing w:after="0"/>
        <w:ind w:firstLine="708"/>
        <w:jc w:val="both"/>
        <w:rPr>
          <w:rFonts w:cs="Times New Roman" w:eastAsia="Times New Roman"/>
          <w:lang w:eastAsia="hr-HR"/>
        </w:rPr>
      </w:pPr>
      <w:r w:rsidRPr="00D276EA">
        <w:rPr>
          <w:rFonts w:cs="Times New Roman" w:eastAsia="Times New Roman"/>
          <w:lang w:eastAsia="hr-HR"/>
        </w:rPr>
        <w:t xml:space="preserve">Postupajući po zahtjevu Financijske agencije od 22. veljače 2015. za provedbu skraćenoga stečajnoga postupka nad uvodno označenim dužnikom, ovaj sud je rješenjem poslovni broj St-253/16 od 24. svibnja 2016., obustavio skraćeni stečajni postupak nad istim. </w:t>
      </w:r>
    </w:p>
    <w:p w:rsidRDefault="00D276EA" w:rsidP="00D276EA" w:rsidR="00D276EA" w:rsidRPr="00D276EA">
      <w:pPr>
        <w:spacing w:after="0"/>
        <w:ind w:firstLine="708"/>
        <w:jc w:val="both"/>
        <w:rPr>
          <w:rFonts w:cs="Times New Roman" w:eastAsia="Times New Roman"/>
          <w:lang w:eastAsia="hr-HR"/>
        </w:rPr>
      </w:pPr>
      <w:r w:rsidRPr="00D276EA">
        <w:rPr>
          <w:rFonts w:cs="Times New Roman" w:eastAsia="Times New Roman"/>
          <w:lang w:eastAsia="hr-HR"/>
        </w:rPr>
        <w:t>Nakon pravomoćnosti navedenog rješenja, a na temelju prijedloga vjerovnika Republike Hrvatske,  rješenjem ovog suda poslovni broj gornji od 20. lipnja 2016. pokrenut je prethodni postupak radi utvrđivanja pretpostavki za otvaranje stečajnoga postupka nad dužnikom.</w:t>
      </w:r>
    </w:p>
    <w:p w:rsidRDefault="00D276EA" w:rsidP="00D276EA" w:rsidR="00D276EA" w:rsidRPr="00D276EA">
      <w:pPr>
        <w:spacing w:after="0"/>
        <w:ind w:firstLine="708"/>
        <w:jc w:val="both"/>
        <w:rPr>
          <w:rFonts w:cs="Times New Roman" w:eastAsia="Times New Roman"/>
          <w:lang w:eastAsia="hr-HR"/>
        </w:rPr>
      </w:pPr>
      <w:r w:rsidRPr="00D276EA">
        <w:rPr>
          <w:rFonts w:cs="Times New Roman" w:eastAsia="Times New Roman"/>
          <w:lang w:eastAsia="hr-HR"/>
        </w:rPr>
        <w:t xml:space="preserve">Na ročištu radi očitovanja o prijedlogu i ročištu radi utvrđivanja pretpostavki za otvaranje stečajnog postupka nad dužnikom od 6. srpnja 2016. nije pristupila uredno pozvana osoba ovlaštena za zastupanje dužnika po zakonu zbog čega je ovaj sud rješenjem od 18. kolovoza 2016. imenovao Krešimira </w:t>
      </w:r>
      <w:proofErr w:type="spellStart"/>
      <w:r w:rsidRPr="00D276EA">
        <w:rPr>
          <w:rFonts w:cs="Times New Roman" w:eastAsia="Times New Roman"/>
          <w:lang w:eastAsia="hr-HR"/>
        </w:rPr>
        <w:t>Peroša</w:t>
      </w:r>
      <w:proofErr w:type="spellEnd"/>
      <w:r w:rsidRPr="00D276EA">
        <w:rPr>
          <w:rFonts w:cs="Times New Roman" w:eastAsia="Times New Roman"/>
          <w:lang w:eastAsia="hr-HR"/>
        </w:rPr>
        <w:t xml:space="preserve"> iz Zadra za privremenog stečajnog upravitelja dužnika te naložio istom u roku od 30 dana ispitati postojanje razloga za otvaranje stečajnoga postupka te postojanje imovine dužnika.</w:t>
      </w:r>
    </w:p>
    <w:p w:rsidRDefault="00D276EA" w:rsidP="00D276EA" w:rsidR="00D276EA" w:rsidRPr="00D276EA">
      <w:pPr>
        <w:spacing w:after="0"/>
        <w:ind w:firstLine="708"/>
        <w:jc w:val="both"/>
        <w:rPr>
          <w:rFonts w:cs="Times New Roman" w:eastAsia="Times New Roman"/>
          <w:lang w:eastAsia="hr-HR"/>
        </w:rPr>
      </w:pPr>
      <w:r w:rsidRPr="00D276EA">
        <w:rPr>
          <w:rFonts w:cs="Times New Roman" w:eastAsia="Times New Roman"/>
          <w:lang w:eastAsia="hr-HR"/>
        </w:rPr>
        <w:lastRenderedPageBreak/>
        <w:t xml:space="preserve">U izvješću o utvrđenim okolnostima privremeni stečajni upravitelj dužnika je u bitnom naveo da je račun dužnika u neprekidnoj blokadi u trajanju od 676 dana zbog nepodmirenih dospjelih obveza prema vjerovnicima u iznosu od 224.335,00 kuna iz čega proizlazi  postojanje stečajnih razloga nesposobnosti dužnika za plaćanje i prezaduženosti istog u smislu odredbi čl. 5. do 7. Stečajnog zakona. Dužnik da nema uvjeta za nastavak poslovanja te da prema knjigovodstvenoj evidenciji ima evidentiranu materijalnu imovinu u vidu viličara s hidrauličnom opremom nabavne vrijednosti 500.000,00 kuna tj. knjigovodstvene vrijednosti 245.833,33 kuna. Međutim, predmetni viličar da je 31. siječnja 2016. prodan obrtu </w:t>
      </w:r>
      <w:proofErr w:type="spellStart"/>
      <w:r w:rsidRPr="00D276EA">
        <w:rPr>
          <w:rFonts w:cs="Times New Roman" w:eastAsia="Times New Roman"/>
          <w:lang w:eastAsia="hr-HR"/>
        </w:rPr>
        <w:t>Butić</w:t>
      </w:r>
      <w:proofErr w:type="spellEnd"/>
      <w:r w:rsidRPr="00D276EA">
        <w:rPr>
          <w:rFonts w:cs="Times New Roman" w:eastAsia="Times New Roman"/>
          <w:lang w:eastAsia="hr-HR"/>
        </w:rPr>
        <w:t xml:space="preserve"> u vlasništvu Ante </w:t>
      </w:r>
      <w:proofErr w:type="spellStart"/>
      <w:r w:rsidRPr="00D276EA">
        <w:rPr>
          <w:rFonts w:cs="Times New Roman" w:eastAsia="Times New Roman"/>
          <w:lang w:eastAsia="hr-HR"/>
        </w:rPr>
        <w:t>Butića</w:t>
      </w:r>
      <w:proofErr w:type="spellEnd"/>
      <w:r w:rsidRPr="00D276EA">
        <w:rPr>
          <w:rFonts w:cs="Times New Roman" w:eastAsia="Times New Roman"/>
          <w:lang w:eastAsia="hr-HR"/>
        </w:rPr>
        <w:t xml:space="preserve">, ujedno osnivača i zakonskog zastupnika dužnika po cijeni od 20.000,00 kuna. Dužnik da nema potraživanja prema trećim osobama. Dužnik da je u poslovnoj 2013. godini poslovao s gubitkom u iznosu od 873.100,00 kuna, a posljednje financijsko izvješće da je dostavio 2014. u kojem je iskazana dobit u iznosu od 253.000,00 kuna. </w:t>
      </w:r>
    </w:p>
    <w:p w:rsidRDefault="00D276EA" w:rsidP="00D276EA" w:rsidR="00D276EA" w:rsidRPr="00D276EA">
      <w:pPr>
        <w:spacing w:after="0"/>
        <w:ind w:firstLine="708"/>
        <w:jc w:val="both"/>
        <w:rPr>
          <w:rFonts w:cs="Times New Roman" w:eastAsia="Times New Roman"/>
          <w:lang w:eastAsia="hr-HR"/>
        </w:rPr>
      </w:pPr>
      <w:r w:rsidRPr="00D276EA">
        <w:rPr>
          <w:rFonts w:cs="Times New Roman" w:eastAsia="Times New Roman"/>
          <w:lang w:eastAsia="hr-HR"/>
        </w:rPr>
        <w:t xml:space="preserve">Privremeni stečajni upravitelj u svim izvješću zaključno navodi da bi jedini cilj vođenja stečajnoga postupka nad dužnikom bio moguće pobijanje pravne radnje dužnika na štetu vjerovnika s osnove prodaje navedenog viličara, a kako je upitna tržišna vrijednost istog, da je neizvjesno bi li se u slučaju uspjeha u sporu unovčenjem imovine dužnika mogli namiriti troškovi postupka. </w:t>
      </w:r>
    </w:p>
    <w:p w:rsidRDefault="00D276EA" w:rsidP="00D276EA" w:rsidR="00D276EA" w:rsidRPr="00D276EA">
      <w:pPr>
        <w:spacing w:after="0"/>
        <w:ind w:firstLine="708"/>
        <w:jc w:val="both"/>
        <w:rPr>
          <w:rFonts w:cs="Times New Roman" w:eastAsia="Times New Roman"/>
          <w:lang w:eastAsia="hr-HR"/>
        </w:rPr>
      </w:pPr>
      <w:r w:rsidRPr="00D276EA">
        <w:rPr>
          <w:rFonts w:cs="Times New Roman" w:eastAsia="Times New Roman"/>
          <w:lang w:eastAsia="hr-HR"/>
        </w:rPr>
        <w:t xml:space="preserve">Slijedom svega navedenog, privremeni stečajni upravitelj dužnika je predložio ovom sudu donošenje odluke o otvaranju i istovremenom zaključenju stečajnoga postupka nad dužnikom uz prethodno pozivanje zainteresiranih osoba u smislu odredbe čl. 132. Stečajnog zakona (Narodne novine broj 71/15-u nastavku teksta: SZ) na uplatu iznosa od 28.000,00 kuna potrebnog za pokriće troškova stečajnoga postupka. </w:t>
      </w:r>
    </w:p>
    <w:p w:rsidRDefault="00D276EA" w:rsidP="00D276EA" w:rsidR="00D276EA" w:rsidRPr="00D276EA">
      <w:pPr>
        <w:spacing w:after="0"/>
        <w:ind w:firstLine="708"/>
        <w:jc w:val="both"/>
        <w:rPr>
          <w:rFonts w:cs="Times New Roman" w:eastAsia="Times New Roman"/>
          <w:lang w:eastAsia="hr-HR"/>
        </w:rPr>
      </w:pPr>
      <w:r w:rsidRPr="00D276EA">
        <w:rPr>
          <w:rFonts w:cs="Times New Roman" w:eastAsia="Times New Roman"/>
          <w:lang w:eastAsia="hr-HR"/>
        </w:rPr>
        <w:t>Naime, odredbom čl. 132. st. 1. i 2. Stečajnog zakona (Narodne novine broj 71/15, dalje: SZ) je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D276EA" w:rsidP="00D276EA" w:rsidR="00D276EA" w:rsidRPr="00D276EA">
      <w:pPr>
        <w:spacing w:after="0"/>
        <w:ind w:firstLine="708"/>
        <w:jc w:val="both"/>
        <w:rPr>
          <w:rFonts w:cs="Times New Roman" w:eastAsia="Times New Roman"/>
          <w:lang w:eastAsia="hr-HR"/>
        </w:rPr>
      </w:pPr>
      <w:r w:rsidRPr="00D276EA">
        <w:rPr>
          <w:rFonts w:cs="Times New Roman" w:eastAsia="Times New Roman"/>
          <w:lang w:eastAsia="hr-HR"/>
        </w:rPr>
        <w:t>S obzirom da iz izvješća privremenog stečajnog upravitelja dužnika kojeg je ovaj sud prihvatio u cijelosti budući su podaci iz istog jasni, potpuni, obrazloženi i dokumentirani potrebitim ispravama, proizlazi postojanje stečajnih razloga nesposobnosti dužnika za plaćanje i prezaduženosti istog te nepostojanje nesporne imovine dužnika koja bi ušla u stečajnu masu i čije bi moguće vraćanje u stečajnu masu iziskivalo znatne troškove u odnosu na neizvjesnost uspješnog unovčenja iste te upitnost njezine tržišne vrijednosti, ovaj sud zaključuje da se iz moguće imovine dužnika ne bi mogli namiriti niti troškovi prethodnoga i redovnoga stečajnoga postupka u slučaju da se isti otvori.</w:t>
      </w:r>
    </w:p>
    <w:p w:rsidRDefault="00D276EA" w:rsidP="00D276EA" w:rsidR="00D276EA" w:rsidRPr="00D276EA">
      <w:pPr>
        <w:spacing w:after="0"/>
        <w:ind w:firstLine="708"/>
        <w:jc w:val="both"/>
        <w:rPr>
          <w:rFonts w:cs="Times New Roman" w:eastAsia="Times New Roman"/>
          <w:lang w:eastAsia="hr-HR"/>
        </w:rPr>
      </w:pPr>
      <w:r w:rsidRPr="00D276EA">
        <w:rPr>
          <w:rFonts w:cs="Times New Roman" w:eastAsia="Times New Roman"/>
          <w:lang w:eastAsia="hr-HR"/>
        </w:rPr>
        <w:t xml:space="preserve">Tako je ovaj sud prihvatio procjenu troškova prethodnoga i moguće otvorenoga stečajnoga postupka od strane privremenog stečajnog upravitelja dužnika u iznosu od 28.000,00 kuna potrebnih za razdoblje od godinu i pol dana od održanoga izvještajnog ročišta koji se odnose na troškove minimalne bruto nagrade privremenom stečajnom upravitelju u iznosu od 4.000,00 kuna određene sukladno odredbi čl. 4. Uredbe o kriterijima i načinu obračuna i plaćanja nagrade stečajnim upraviteljima (Narodne novine broj 105/15), troškove pobijanja pravnih radnji dužnika u iznosu od 7.000,00 kuna, troškove usluga knjigovodstva u iznosu od 12.000,00 kuna, administrativne takse i pristojbe u iznosu od 30.000,00 kuna, troškove zbrinjavanja dokumentacije dužnika u iznosu od 1.000,00 kuna te troškove telefona, poštarine i druge materijalne troškove u iznosu od 1.000,00 kuna. </w:t>
      </w:r>
    </w:p>
    <w:p w:rsidRDefault="00D276EA" w:rsidP="00D276EA" w:rsidR="00D276EA" w:rsidRPr="00D276EA">
      <w:pPr>
        <w:spacing w:after="0"/>
        <w:ind w:firstLine="708"/>
        <w:jc w:val="both"/>
        <w:rPr>
          <w:rFonts w:cs="Times New Roman" w:eastAsia="Times New Roman"/>
          <w:lang w:eastAsia="hr-HR"/>
        </w:rPr>
      </w:pPr>
      <w:r w:rsidRPr="00D276EA">
        <w:rPr>
          <w:rFonts w:cs="Times New Roman" w:eastAsia="Times New Roman"/>
          <w:lang w:eastAsia="hr-HR"/>
        </w:rPr>
        <w:lastRenderedPageBreak/>
        <w:t xml:space="preserve">Pri tome je sud uzeo u obzir činjenicu da Financijska agencija s računa dužnika nije zaplijenila iznos od 5.000,00 kuna na ime predujma za namirenje troškova stečajnoga postupka zbog čega na </w:t>
      </w:r>
      <w:proofErr w:type="spellStart"/>
      <w:r w:rsidRPr="00D276EA">
        <w:rPr>
          <w:rFonts w:cs="Times New Roman" w:eastAsia="Times New Roman"/>
          <w:lang w:eastAsia="hr-HR"/>
        </w:rPr>
        <w:t>kontovnika</w:t>
      </w:r>
      <w:proofErr w:type="spellEnd"/>
      <w:r w:rsidRPr="00D276EA">
        <w:rPr>
          <w:rFonts w:cs="Times New Roman" w:eastAsia="Times New Roman"/>
          <w:lang w:eastAsia="hr-HR"/>
        </w:rPr>
        <w:t xml:space="preserve"> u predmetnom postupku nema nikakvih sredstava s ove osnove. </w:t>
      </w:r>
    </w:p>
    <w:p w:rsidRDefault="00D276EA" w:rsidP="00D276EA" w:rsidR="00D276EA" w:rsidRPr="00D276EA">
      <w:pPr>
        <w:spacing w:after="0"/>
        <w:ind w:firstLine="708"/>
        <w:jc w:val="both"/>
        <w:rPr>
          <w:rFonts w:cs="Times New Roman" w:eastAsia="Times New Roman"/>
          <w:lang w:eastAsia="hr-HR"/>
        </w:rPr>
      </w:pPr>
    </w:p>
    <w:p w:rsidRDefault="00D276EA" w:rsidP="00D276EA" w:rsidR="00D276EA" w:rsidRPr="00D276EA">
      <w:pPr>
        <w:spacing w:after="0"/>
        <w:ind w:firstLine="708"/>
        <w:jc w:val="both"/>
        <w:rPr>
          <w:rFonts w:cs="Times New Roman" w:eastAsia="Times New Roman"/>
          <w:lang w:eastAsia="hr-HR"/>
        </w:rPr>
      </w:pPr>
      <w:r w:rsidRPr="00D276EA">
        <w:rPr>
          <w:rFonts w:cs="Times New Roman" w:eastAsia="Times New Roman"/>
          <w:lang w:eastAsia="hr-HR"/>
        </w:rPr>
        <w:t xml:space="preserve">Slijedom svega naprijed navedenog, a prije donošenja odluke iz čl. 132. st. 2. SZ-a, trebalo je pozvati osobe koje imaju pravni interes za provedbom stečajnoga postupka nad dužnikom na uplatu navedenog predujma, zbog čega je temeljem odredbe čl. 132. st. 1. SZ-a donesena odluka kao u izreci rješenja. </w:t>
      </w:r>
    </w:p>
    <w:p w:rsidRDefault="00D276EA" w:rsidP="00D276EA" w:rsidR="00D276EA" w:rsidRPr="00D276EA">
      <w:pPr>
        <w:spacing w:after="0"/>
        <w:ind w:firstLine="708"/>
        <w:jc w:val="both"/>
        <w:rPr>
          <w:rFonts w:cs="Times New Roman" w:eastAsia="Times New Roman"/>
          <w:lang w:eastAsia="hr-HR"/>
        </w:rPr>
      </w:pPr>
    </w:p>
    <w:p w:rsidRDefault="00D276EA" w:rsidP="00D276EA" w:rsidR="00D276EA" w:rsidRPr="00D276EA">
      <w:pPr>
        <w:spacing w:after="0"/>
        <w:rPr>
          <w:rFonts w:cs="Times New Roman" w:eastAsia="Times New Roman"/>
          <w:lang w:eastAsia="hr-HR"/>
        </w:rPr>
      </w:pPr>
    </w:p>
    <w:p w:rsidRDefault="00D276EA" w:rsidP="00D276EA" w:rsidR="00D276EA" w:rsidRPr="00D276EA">
      <w:pPr>
        <w:spacing w:after="0"/>
        <w:jc w:val="center"/>
        <w:rPr>
          <w:rFonts w:cs="Times New Roman" w:eastAsia="Times New Roman"/>
          <w:lang w:eastAsia="hr-HR"/>
        </w:rPr>
      </w:pPr>
      <w:r w:rsidRPr="00D276EA">
        <w:rPr>
          <w:rFonts w:cs="Times New Roman" w:eastAsia="Times New Roman"/>
          <w:lang w:eastAsia="hr-HR"/>
        </w:rPr>
        <w:t xml:space="preserve">U Zadru 8. lipnja 2017. </w:t>
      </w:r>
    </w:p>
    <w:p w:rsidRDefault="00D276EA" w:rsidP="00D276EA" w:rsidR="00D276EA" w:rsidRPr="00D276EA">
      <w:pPr>
        <w:spacing w:after="0"/>
        <w:ind w:firstLine="708"/>
        <w:jc w:val="both"/>
        <w:rPr>
          <w:rFonts w:cs="Times New Roman" w:eastAsia="Times New Roman"/>
          <w:lang w:eastAsia="hr-HR"/>
        </w:rPr>
      </w:pPr>
      <w:r w:rsidRPr="00D276EA">
        <w:rPr>
          <w:rFonts w:cs="Times New Roman" w:eastAsia="Times New Roman"/>
          <w:lang w:eastAsia="hr-HR"/>
        </w:rPr>
        <w:t xml:space="preserve">     </w:t>
      </w:r>
    </w:p>
    <w:p w:rsidRDefault="00D276EA" w:rsidP="00D276EA" w:rsidR="00D276EA" w:rsidRPr="00D276EA">
      <w:pPr>
        <w:spacing w:after="0"/>
        <w:ind w:firstLine="708"/>
        <w:jc w:val="both"/>
        <w:rPr>
          <w:rFonts w:cs="Times New Roman" w:eastAsia="Times New Roman"/>
          <w:lang w:eastAsia="hr-HR"/>
        </w:rPr>
      </w:pPr>
    </w:p>
    <w:p w:rsidRDefault="00D276EA" w:rsidP="00D276EA" w:rsidR="00D276EA" w:rsidRPr="00D276EA">
      <w:pPr>
        <w:spacing w:after="0"/>
        <w:ind w:firstLine="708"/>
        <w:jc w:val="right"/>
        <w:rPr>
          <w:rFonts w:cs="Times New Roman" w:eastAsia="Times New Roman"/>
          <w:lang w:eastAsia="hr-HR"/>
        </w:rPr>
      </w:pPr>
      <w:r w:rsidRPr="00D276EA">
        <w:rPr>
          <w:rFonts w:cs="Times New Roman" w:eastAsia="Times New Roman"/>
          <w:lang w:eastAsia="hr-HR"/>
        </w:rPr>
        <w:t>Sutkinja:</w:t>
      </w:r>
    </w:p>
    <w:p w:rsidRDefault="00D276EA" w:rsidP="00D276EA" w:rsidR="00D276EA" w:rsidRPr="00D276EA">
      <w:pPr>
        <w:spacing w:after="0"/>
        <w:ind w:firstLine="708"/>
        <w:jc w:val="right"/>
        <w:rPr>
          <w:rFonts w:cs="Times New Roman" w:eastAsia="Times New Roman"/>
          <w:lang w:eastAsia="hr-HR"/>
        </w:rPr>
      </w:pPr>
      <w:r w:rsidRPr="00D276EA">
        <w:rPr>
          <w:rFonts w:cs="Times New Roman" w:eastAsia="Times New Roman"/>
          <w:lang w:eastAsia="hr-HR"/>
        </w:rPr>
        <w:t>Tina Grgas</w:t>
      </w:r>
    </w:p>
    <w:p w:rsidRDefault="00D276EA" w:rsidP="00D276EA" w:rsidR="00D276EA" w:rsidRPr="00D276EA">
      <w:pPr>
        <w:spacing w:after="0"/>
        <w:jc w:val="right"/>
        <w:rPr>
          <w:rFonts w:cs="Times New Roman" w:eastAsia="Times New Roman"/>
          <w:lang w:eastAsia="hr-HR"/>
        </w:rPr>
      </w:pPr>
    </w:p>
    <w:p w:rsidRDefault="00D276EA" w:rsidP="00D276EA" w:rsidR="00D276EA" w:rsidRPr="00D276EA">
      <w:pPr>
        <w:spacing w:after="0"/>
        <w:jc w:val="center"/>
        <w:rPr>
          <w:rFonts w:cs="Times New Roman" w:eastAsia="Times New Roman"/>
          <w:lang w:eastAsia="hr-HR"/>
        </w:rPr>
      </w:pPr>
    </w:p>
    <w:p w:rsidRDefault="00D276EA" w:rsidP="00D276EA" w:rsidR="00D276EA" w:rsidRPr="00D276EA">
      <w:pPr>
        <w:spacing w:after="0"/>
        <w:rPr>
          <w:rFonts w:cs="Times New Roman" w:eastAsia="Times New Roman"/>
          <w:lang w:eastAsia="hr-HR"/>
        </w:rPr>
      </w:pPr>
      <w:r w:rsidRPr="00D276EA">
        <w:rPr>
          <w:rFonts w:cs="Times New Roman" w:eastAsia="Times New Roman"/>
          <w:lang w:eastAsia="hr-HR"/>
        </w:rPr>
        <w:tab/>
        <w:t xml:space="preserve">UPUTA O PRAVNOM LIJEKU: </w:t>
      </w:r>
    </w:p>
    <w:p w:rsidRDefault="00D276EA" w:rsidP="00D276EA" w:rsidR="00D276EA" w:rsidRPr="00D276EA">
      <w:pPr>
        <w:spacing w:after="0"/>
        <w:ind w:firstLine="708"/>
        <w:jc w:val="both"/>
        <w:rPr>
          <w:rFonts w:cs="Times New Roman" w:eastAsia="Times New Roman"/>
          <w:lang w:eastAsia="hr-HR"/>
        </w:rPr>
      </w:pPr>
      <w:r w:rsidRPr="00D276EA">
        <w:rPr>
          <w:rFonts w:cs="Times New Roman" w:eastAsia="Times New Roman"/>
          <w:lang w:eastAsia="hr-HR"/>
        </w:rPr>
        <w:t xml:space="preserve">Protiv ovog rješenja dopuštena je žalba. Ista se podnosi Visokom trgovačkom sudu Republike Hrvatske putem ovog suda, u roku od 8 dana od isteka osmog dana od objave ovog rješenja na e-Oglasnoj ploči suda (čl. 12. i 19. Stečajnog zakona). </w:t>
      </w:r>
    </w:p>
    <w:p w:rsidRDefault="00D276EA" w:rsidP="00D276EA" w:rsidR="00D276EA" w:rsidRPr="00D276EA">
      <w:pPr>
        <w:spacing w:after="0"/>
        <w:ind w:firstLine="708"/>
        <w:rPr>
          <w:rFonts w:cs="Times New Roman" w:eastAsia="Times New Roman"/>
          <w:lang w:eastAsia="hr-HR"/>
        </w:rPr>
      </w:pPr>
    </w:p>
    <w:p w:rsidRDefault="00D276EA" w:rsidP="00D276EA" w:rsidR="00D276EA" w:rsidRPr="00D276EA">
      <w:pPr>
        <w:spacing w:after="0"/>
        <w:ind w:firstLine="708"/>
        <w:rPr>
          <w:rFonts w:cs="Times New Roman" w:eastAsia="Times New Roman"/>
          <w:lang w:eastAsia="hr-HR"/>
        </w:rPr>
      </w:pPr>
    </w:p>
    <w:p w:rsidRDefault="00D276EA" w:rsidP="00D276EA" w:rsidR="00D276EA" w:rsidRPr="00D276EA">
      <w:pPr>
        <w:spacing w:after="0"/>
        <w:ind w:firstLine="708"/>
        <w:rPr>
          <w:rFonts w:cs="Times New Roman" w:eastAsia="Times New Roman"/>
          <w:lang w:eastAsia="hr-HR"/>
        </w:rPr>
      </w:pPr>
      <w:r w:rsidRPr="00D276EA">
        <w:rPr>
          <w:rFonts w:cs="Times New Roman" w:eastAsia="Times New Roman"/>
          <w:lang w:eastAsia="hr-HR"/>
        </w:rPr>
        <w:t xml:space="preserve">Dostaviti: </w:t>
      </w:r>
    </w:p>
    <w:p w:rsidRDefault="00D276EA" w:rsidP="00D276EA" w:rsidR="00D276EA" w:rsidRPr="00D276EA">
      <w:pPr>
        <w:spacing w:after="0"/>
        <w:ind w:left="708"/>
        <w:rPr>
          <w:rFonts w:cs="Times New Roman" w:eastAsia="Times New Roman"/>
          <w:lang w:eastAsia="hr-HR"/>
        </w:rPr>
      </w:pPr>
      <w:r w:rsidRPr="00D276EA">
        <w:rPr>
          <w:rFonts w:cs="Times New Roman" w:eastAsia="Times New Roman"/>
          <w:lang w:eastAsia="hr-HR"/>
        </w:rPr>
        <w:t xml:space="preserve">- Svim sudionicima postupka putem e-Oglasne ploče suda  </w:t>
      </w:r>
    </w:p>
    <w:p w:rsidRDefault="00D276EA" w:rsidP="00D276EA" w:rsidR="00D276EA" w:rsidRPr="00D276EA">
      <w:pPr>
        <w:spacing w:after="0"/>
        <w:ind w:firstLine="708"/>
        <w:rPr>
          <w:rFonts w:cs="Times New Roman" w:eastAsia="Times New Roman"/>
          <w:lang w:eastAsia="hr-HR"/>
        </w:rPr>
      </w:pPr>
      <w:r w:rsidRPr="00D276EA">
        <w:rPr>
          <w:rFonts w:cs="Times New Roman" w:eastAsia="Times New Roman"/>
          <w:lang w:eastAsia="hr-HR"/>
        </w:rPr>
        <w:t xml:space="preserve">- Na znanje: Računovodstvu ovog suda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6EA"/>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821037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St-867/2016-18</izvorni_sadrzaj>
    <derivirana_varijabla naziv="DomainObject.Oznaka_1">St-867/2016-18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izvorni_sadrzaj>
    <derivirana_varijabla naziv="DomainObject.Predmet.Broj_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St-867/2016</izvorni_sadrzaj>
    <derivirana_varijabla naziv="DomainObject.Predmet.OznakaBroj_1">St-867/2016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ANTE ŠKABRNJA j.d.o.o.  za turizam i graditeljstvo</izvorni_sadrzaj>
    <derivirana_varijabla naziv="DomainObject.Predmet.ProtustrankaFormated_1">  ANTE ŠKABRNJA j.d.o.o.  za turizam i graditeljstvo</derivirana_varijabla>
  </DomainObject.Predmet.ProtustrankaFormated>
  <DomainObject.Predmet.ProtustrankaFormatedOIB>
    <izvorni_sadrzaj>  ANTE ŠKABRNJA j.d.o.o.  za turizam i graditeljstvo, OIB 82366331916</izvorni_sadrzaj>
    <derivirana_varijabla naziv="DomainObject.Predmet.ProtustrankaFormatedOIB_1">  ANTE ŠKABRNJA j.d.o.o.  za turizam i graditeljstvo, OIB 82366331916</derivirana_varijabla>
  </DomainObject.Predmet.ProtustrankaFormatedOIB>
  <DomainObject.Predmet.ProtustrankaFormatedWithAdress>
    <izvorni_sadrzaj> ANTE ŠKABRNJA j.d.o.o.  za turizam i graditeljstvo, Prkoških domoljuba 4, 23223 Prkos</izvorni_sadrzaj>
    <derivirana_varijabla naziv="DomainObject.Predmet.ProtustrankaFormatedWithAdress_1"> ANTE ŠKABRNJA j.d.o.o.  za turizam i graditeljstvo, Prkoških domoljuba 4, 23223 Prkos</derivirana_varijabla>
  </DomainObject.Predmet.ProtustrankaFormatedWithAdress>
  <DomainObject.Predmet.ProtustrankaFormatedWithAdressOIB>
    <izvorni_sadrzaj> ANTE ŠKABRNJA j.d.o.o.  za turizam i graditeljstvo, OIB 82366331916, Prkoških domoljuba 4, 23223 Prkos</izvorni_sadrzaj>
    <derivirana_varijabla naziv="DomainObject.Predmet.ProtustrankaFormatedWithAdressOIB_1"> ANTE ŠKABRNJA j.d.o.o.  za turizam i graditeljstvo, OIB 82366331916, Prkoških domoljuba 4, 23223 Prkos</derivirana_varijabla>
  </DomainObject.Predmet.ProtustrankaFormatedWithAdressOIB>
  <DomainObject.Predmet.ProtustrankaWithAdress>
    <izvorni_sadrzaj>ANTE ŠKABRNJA j.d.o.o.  za turizam i graditeljstvo Prkoških domoljuba 4, 23223 Prkos</izvorni_sadrzaj>
    <derivirana_varijabla naziv="DomainObject.Predmet.ProtustrankaWithAdress_1">ANTE ŠKABRNJA j.d.o.o.  za turizam i graditeljstvo Prkoških domoljuba 4, 23223 Prkos</derivirana_varijabla>
  </DomainObject.Predmet.ProtustrankaWithAdress>
  <DomainObject.Predmet.ProtustrankaWithAdressOIB>
    <izvorni_sadrzaj>ANTE ŠKABRNJA j.d.o.o.  za turizam i graditeljstvo, OIB 82366331916, Prkoških domoljuba 4, 23223 Prkos</izvorni_sadrzaj>
    <derivirana_varijabla naziv="DomainObject.Predmet.ProtustrankaWithAdressOIB_1">ANTE ŠKABRNJA j.d.o.o.  za turizam i graditeljstvo, OIB 82366331916, Prkoških domoljuba 4, 23223 Prkos</derivirana_varijabla>
  </DomainObject.Predmet.ProtustrankaWithAdressOIB>
  <DomainObject.Predmet.ProtustrankaNazivFormated>
    <izvorni_sadrzaj>ANTE ŠKABRNJA j.d.o.o.  za turizam i graditeljstvo</izvorni_sadrzaj>
    <derivirana_varijabla naziv="DomainObject.Predmet.ProtustrankaNazivFormated_1">ANTE ŠKABRNJA j.d.o.o.  za turizam i graditeljstvo</derivirana_varijabla>
  </DomainObject.Predmet.ProtustrankaNazivFormated>
  <DomainObject.Predmet.ProtustrankaNazivFormatedOIB>
    <izvorni_sadrzaj>ANTE ŠKABRNJA j.d.o.o.  za turizam i graditeljstvo, OIB 82366331916</izvorni_sadrzaj>
    <derivirana_varijabla naziv="DomainObject.Predmet.ProtustrankaNazivFormatedOIB_1">ANTE ŠKABRNJA j.d.o.o.  za turizam i graditeljstvo, OIB 82366331916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Ante Butić</izvorni_sadrzaj>
    <derivirana_varijabla naziv="DomainObject.Predmet.StrankaFormated_1">  FINA; Ante Butić</derivirana_varijabla>
  </DomainObject.Predmet.StrankaFormated>
  <DomainObject.Predmet.StrankaFormatedOIB>
    <izvorni_sadrzaj>  FINA, OIB 85821130368; Ante Butić, OIB 57026221338</izvorni_sadrzaj>
    <derivirana_varijabla naziv="DomainObject.Predmet.StrankaFormatedOIB_1">  FINA, OIB 85821130368; Ante Butić, OIB 57026221338</derivirana_varijabla>
  </DomainObject.Predmet.StrankaFormatedOIB>
  <DomainObject.Predmet.StrankaFormatedWithAdress>
    <izvorni_sadrzaj> FINA; Ante Butić, Ulica Prkoških Domoljuba 4, 23223 Prkos</izvorni_sadrzaj>
    <derivirana_varijabla naziv="DomainObject.Predmet.StrankaFormatedWithAdress_1"> FINA; Ante Butić, Ulica Prkoških Domoljuba 4, 23223 Prkos</derivirana_varijabla>
  </DomainObject.Predmet.StrankaFormatedWithAdress>
  <DomainObject.Predmet.StrankaFormatedWithAdressOIB>
    <izvorni_sadrzaj> FINA, OIB 85821130368; Ante Butić, OIB 57026221338, Ulica Prkoških Domoljuba 4, 23223 Prkos</izvorni_sadrzaj>
    <derivirana_varijabla naziv="DomainObject.Predmet.StrankaFormatedWithAdressOIB_1"> FINA, OIB 85821130368; Ante Butić, OIB 57026221338, Ulica Prkoških Domoljuba 4, 23223 Prkos</derivirana_varijabla>
  </DomainObject.Predmet.StrankaFormatedWithAdressOIB>
  <DomainObject.Predmet.StrankaWithAdress>
    <izvorni_sadrzaj>FINA ,Ante Butić Ulica Prkoških Domoljuba 4,23223 Prkos</izvorni_sadrzaj>
    <derivirana_varijabla naziv="DomainObject.Predmet.StrankaWithAdress_1">FINA ,Ante Butić Ulica Prkoških Domoljuba 4,23223 Prkos</derivirana_varijabla>
  </DomainObject.Predmet.StrankaWithAdress>
  <DomainObject.Predmet.StrankaWithAdressOIB>
    <izvorni_sadrzaj>FINA, OIB 85821130368,Ante Butić, OIB 57026221338, Ulica Prkoških Domoljuba 4,23223 Prkos</izvorni_sadrzaj>
    <derivirana_varijabla naziv="DomainObject.Predmet.StrankaWithAdressOIB_1">FINA, OIB 85821130368,Ante Butić, OIB 57026221338, Ulica Prkoških Domoljuba 4,23223 Prkos</derivirana_varijabla>
  </DomainObject.Predmet.StrankaWithAdressOIB>
  <DomainObject.Predmet.StrankaNazivFormated>
    <izvorni_sadrzaj>FINA,Ante Butić</izvorni_sadrzaj>
    <derivirana_varijabla naziv="DomainObject.Predmet.StrankaNazivFormated_1">FINA,Ante Butić</derivirana_varijabla>
  </DomainObject.Predmet.StrankaNazivFormated>
  <DomainObject.Predmet.StrankaNazivFormatedOIB>
    <izvorni_sadrzaj>FINA, OIB 85821130368,Ante Butić, OIB 57026221338</izvorni_sadrzaj>
    <derivirana_varijabla naziv="DomainObject.Predmet.StrankaNazivFormatedOIB_1">FINA, OIB 85821130368,Ante Butić, OIB 57026221338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Ante Butić</item>
    </izvorni_sadrzaj>
    <derivirana_varijabla naziv="DomainObject.Predmet.StrankaListFormated_1">
      <item>FINA</item>
      <item>Ante Butić</item>
    </derivirana_varijabla>
  </DomainObject.Predmet.StrankaListFormated>
  <DomainObject.Predmet.StrankaListFormatedOIB>
    <izvorni_sadrzaj>
      <item>FINA, OIB 85821130368</item>
      <item>Ante Butić, OIB 57026221338</item>
    </izvorni_sadrzaj>
    <derivirana_varijabla naziv="DomainObject.Predmet.StrankaListFormatedOIB_1">
      <item>FINA, OIB 85821130368</item>
      <item>Ante Butić, OIB 57026221338</item>
    </derivirana_varijabla>
  </DomainObject.Predmet.StrankaListFormatedOIB>
  <DomainObject.Predmet.StrankaListFormatedWithAdress>
    <izvorni_sadrzaj>
      <item>FINA</item>
      <item>Ante Butić, Ulica Prkoških Domoljuba 4, 23223 Prkos</item>
    </izvorni_sadrzaj>
    <derivirana_varijabla naziv="DomainObject.Predmet.StrankaListFormatedWithAdress_1">
      <item>FINA</item>
      <item>Ante Butić, Ulica Prkoških Domoljuba 4, 23223 Prkos</item>
    </derivirana_varijabla>
  </DomainObject.Predmet.StrankaListFormatedWithAdress>
  <DomainObject.Predmet.StrankaListFormatedWithAdressOIB>
    <izvorni_sadrzaj>
      <item>FINA, OIB 85821130368</item>
      <item>Ante Butić, OIB 57026221338, Ulica Prkoških Domoljuba 4, 23223 Prkos</item>
    </izvorni_sadrzaj>
    <derivirana_varijabla naziv="DomainObject.Predmet.StrankaListFormatedWithAdressOIB_1">
      <item>FINA, OIB 85821130368</item>
      <item>Ante Butić, OIB 57026221338, Ulica Prkoških Domoljuba 4, 23223 Prkos</item>
    </derivirana_varijabla>
  </DomainObject.Predmet.StrankaListFormatedWithAdressOIB>
  <DomainObject.Predmet.StrankaListNazivFormated>
    <izvorni_sadrzaj>
      <item>FINA</item>
      <item>Ante Butić</item>
    </izvorni_sadrzaj>
    <derivirana_varijabla naziv="DomainObject.Predmet.StrankaListNazivFormated_1">
      <item>FINA</item>
      <item>Ante Butić</item>
    </derivirana_varijabla>
  </DomainObject.Predmet.StrankaListNazivFormated>
  <DomainObject.Predmet.StrankaListNazivFormatedOIB>
    <izvorni_sadrzaj>
      <item>FINA, OIB 85821130368</item>
      <item>Ante Butić, OIB 57026221338</item>
    </izvorni_sadrzaj>
    <derivirana_varijabla naziv="DomainObject.Predmet.StrankaListNazivFormatedOIB_1">
      <item>FINA, OIB 85821130368</item>
      <item>Ante Butić, OIB 57026221338</item>
    </derivirana_varijabla>
  </DomainObject.Predmet.StrankaListNazivFormatedOIB>
  <DomainObject.Predmet.ProtuStrankaListFormated>
    <izvorni_sadrzaj>
      <item>ANTE ŠKABRNJA j.d.o.o.  za turizam i graditeljstvo</item>
    </izvorni_sadrzaj>
    <derivirana_varijabla naziv="DomainObject.Predmet.ProtuStrankaListFormated_1">
      <item>ANTE ŠKABRNJA j.d.o.o.  za turizam i graditeljstvo</item>
    </derivirana_varijabla>
  </DomainObject.Predmet.ProtuStrankaListFormated>
  <DomainObject.Predmet.ProtuStrankaListFormatedOIB>
    <izvorni_sadrzaj>
      <item>ANTE ŠKABRNJA j.d.o.o.  za turizam i graditeljstvo, OIB 82366331916</item>
    </izvorni_sadrzaj>
    <derivirana_varijabla naziv="DomainObject.Predmet.ProtuStrankaListFormatedOIB_1">
      <item>ANTE ŠKABRNJA j.d.o.o.  za turizam i graditeljstvo, OIB 82366331916</item>
    </derivirana_varijabla>
  </DomainObject.Predmet.ProtuStrankaListFormatedOIB>
  <DomainObject.Predmet.ProtuStrankaListFormatedWithAdress>
    <izvorni_sadrzaj>
      <item>ANTE ŠKABRNJA j.d.o.o.  za turizam i graditeljstvo, Prkoških domoljuba 4, 23223 Prkos</item>
    </izvorni_sadrzaj>
    <derivirana_varijabla naziv="DomainObject.Predmet.ProtuStrankaListFormatedWithAdress_1">
      <item>ANTE ŠKABRNJA j.d.o.o.  za turizam i graditeljstvo, Prkoških domoljuba 4, 23223 Prkos</item>
    </derivirana_varijabla>
  </DomainObject.Predmet.ProtuStrankaListFormatedWithAdress>
  <DomainObject.Predmet.ProtuStrankaListFormatedWithAdressOIB>
    <izvorni_sadrzaj>
      <item>ANTE ŠKABRNJA j.d.o.o.  za turizam i graditeljstvo, OIB 82366331916, Prkoških domoljuba 4, 23223 Prkos</item>
    </izvorni_sadrzaj>
    <derivirana_varijabla naziv="DomainObject.Predmet.ProtuStrankaListFormatedWithAdressOIB_1">
      <item>ANTE ŠKABRNJA j.d.o.o.  za turizam i graditeljstvo, OIB 82366331916, Prkoških domoljuba 4, 23223 Prkos</item>
    </derivirana_varijabla>
  </DomainObject.Predmet.ProtuStrankaListFormatedWithAdressOIB>
  <DomainObject.Predmet.ProtuStrankaListNazivFormated>
    <izvorni_sadrzaj>
      <item>ANTE ŠKABRNJA j.d.o.o.  za turizam i graditeljstvo</item>
    </izvorni_sadrzaj>
    <derivirana_varijabla naziv="DomainObject.Predmet.ProtuStrankaListNazivFormated_1">
      <item>ANTE ŠKABRNJA j.d.o.o.  za turizam i graditeljstvo</item>
    </derivirana_varijabla>
  </DomainObject.Predmet.ProtuStrankaListNazivFormated>
  <DomainObject.Predmet.ProtuStrankaListNazivFormatedOIB>
    <izvorni_sadrzaj>
      <item>ANTE ŠKABRNJA j.d.o.o.  za turizam i graditeljstvo, OIB 82366331916</item>
    </izvorni_sadrzaj>
    <derivirana_varijabla naziv="DomainObject.Predmet.ProtuStrankaListNazivFormatedOIB_1">
      <item>ANTE ŠKABRNJA j.d.o.o.  za turizam i graditeljstvo, OIB 82366331916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St-867/2016-18</izvorni_sadrzaj>
    <derivirana_varijabla naziv="DomainObject.PoslovniBrojDokumenta_1">St-867/2016-18</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ANTE ŠKABRNJA j.d.o.o.  za turizam i graditeljstvo</izvorni_sadrzaj>
    <derivirana_varijabla naziv="DomainObject.Predmet.ProtustrankaIDrugi_1">ANTE ŠKABRNJA j.d.o.o.  za turizam i graditeljstvo</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ANTE ŠKABRNJA j.d.o.o.  za turizam i graditeljstvo, OIB 82366331916, Prkoških domoljuba 4, 23223 Prkos</izvorni_sadrzaj>
    <derivirana_varijabla naziv="DomainObject.Predmet.ProtustrankaIDrugiAdressOIB_1">ANTE ŠKABRNJA j.d.o.o.  za turizam i graditeljstvo, OIB 82366331916, Prkoških domoljuba 4, 23223 Prkos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ANTE ŠKABRNJA j.d.o.o.  za turizam i graditeljstvo</item>
      <item>FINA</item>
      <item>Ante Butić</item>
    </izvorni_sadrzaj>
    <derivirana_varijabla naziv="DomainObject.Predmet.SudioniciListNaziv_1">
      <item>ANTE ŠKABRNJA j.d.o.o.  za turizam i graditeljstvo</item>
      <item>FINA</item>
      <item>Ante Butić</item>
    </derivirana_varijabla>
  </DomainObject.Predmet.SudioniciListNaziv>
  <DomainObject.Predmet.SudioniciListAdressOIB>
    <izvorni_sadrzaj>
      <item>ANTE ŠKABRNJA j.d.o.o.  za turizam i graditeljstvo, OIB 82366331916, Prkoških domoljuba 4,23223 Prkos</item>
      <item>FINA, OIB 85821130368</item>
      <item>Ante Butić, OIB 57026221338, Ulica Prkoških Domoljuba 4,23223 Prkos</item>
    </izvorni_sadrzaj>
    <derivirana_varijabla naziv="DomainObject.Predmet.SudioniciListAdressOIB_1">
      <item>ANTE ŠKABRNJA j.d.o.o.  za turizam i graditeljstvo, OIB 82366331916, Prkoških domoljuba 4,23223 Prkos</item>
      <item>FINA, OIB 85821130368</item>
      <item>Ante Butić, OIB 57026221338, Ulica Prkoških Domoljuba 4,23223 Prkos</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2A579F-F545-41BF-8AB7-0642FFB552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1097</properties:Words>
  <properties:Characters>6186</properties:Characters>
  <properties:Lines>122</properties:Lines>
  <properties:Paragraphs>31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2017-06-08T10:56:00Z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St-867/2016-18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