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1c6e" w14:paraId="9ad1c6e" w:rsidRDefault="001126E6" w:rsidP="00910611" w:rsidR="00E057A2" w:rsidRPr="00FF70E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F70E7">
        <w:rPr>
          <w:rFonts w:hAnsi="Times New Roman" w:ascii="Times New Roman"/>
          <w:b w:val="false"/>
        </w:rPr>
        <w:t xml:space="preserve">  </w:t>
      </w:r>
      <w:r w:rsidR="00E057A2" w:rsidRPr="00FF70E7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FF70E7">
      <w:pPr>
        <w:rPr>
          <w:rFonts w:hAnsi="Times New Roman" w:ascii="Times New Roman"/>
          <w:b w:val="false"/>
        </w:rPr>
      </w:pPr>
      <w:r w:rsidRPr="00FF70E7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FF70E7">
      <w:pPr>
        <w:rPr>
          <w:rFonts w:hAnsi="Times New Roman" w:ascii="Times New Roman"/>
          <w:b w:val="false"/>
        </w:rPr>
      </w:pPr>
      <w:r w:rsidRPr="00FF70E7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FF70E7">
      <w:pPr>
        <w:rPr>
          <w:rFonts w:eastAsia="MS Mincho" w:hAnsi="Times New Roman" w:ascii="Times New Roman"/>
          <w:b w:val="false"/>
        </w:rPr>
      </w:pPr>
      <w:r w:rsidRPr="00FF70E7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FF70E7" w:rsidP="00FF70E7" w:rsidR="00FF70E7">
      <w:pPr>
        <w:jc w:val="center"/>
        <w:rPr>
          <w:rFonts w:hAnsi="Times New Roman" w:ascii="Times New Roman"/>
          <w:b w:val="false"/>
          <w:bCs/>
        </w:rPr>
      </w:pPr>
    </w:p>
    <w:p w:rsidRDefault="00FF70E7" w:rsidP="00FF70E7" w:rsidR="00FF70E7" w:rsidRPr="00FF70E7">
      <w:pPr>
        <w:jc w:val="center"/>
        <w:rPr>
          <w:rFonts w:hAnsi="Times New Roman" w:ascii="Times New Roman"/>
          <w:b w:val="false"/>
          <w:bCs/>
        </w:rPr>
      </w:pPr>
      <w:r w:rsidRPr="00FF70E7">
        <w:rPr>
          <w:rFonts w:hAnsi="Times New Roman" w:ascii="Times New Roman"/>
          <w:b w:val="false"/>
          <w:bCs/>
        </w:rPr>
        <w:t>R E P U B L I K A    H R V A T S K A</w:t>
      </w:r>
    </w:p>
    <w:p w:rsidRDefault="00FF70E7" w:rsidP="00FF70E7" w:rsidR="00FF70E7" w:rsidRPr="00FF70E7">
      <w:pPr>
        <w:jc w:val="center"/>
        <w:rPr>
          <w:rFonts w:hAnsi="Times New Roman" w:ascii="Times New Roman"/>
          <w:b w:val="false"/>
          <w:bCs/>
        </w:rPr>
      </w:pPr>
      <w:r w:rsidRPr="00FF70E7">
        <w:rPr>
          <w:rFonts w:hAnsi="Times New Roman" w:ascii="Times New Roman"/>
          <w:b w:val="false"/>
          <w:bCs/>
        </w:rPr>
        <w:t>Z A K L J U Č A K</w:t>
      </w:r>
    </w:p>
    <w:p w:rsidRDefault="00FF70E7" w:rsidP="00FF70E7" w:rsidR="00FF70E7" w:rsidRPr="00FF70E7">
      <w:pPr>
        <w:rPr>
          <w:rFonts w:hAnsi="Times New Roman" w:ascii="Times New Roman"/>
          <w:b w:val="false"/>
        </w:rPr>
      </w:pPr>
    </w:p>
    <w:p w:rsidRDefault="00FF70E7" w:rsidP="00FF70E7" w:rsidR="00FF70E7" w:rsidRPr="00FF70E7">
      <w:pPr>
        <w:jc w:val="both"/>
        <w:rPr>
          <w:rFonts w:hAnsi="Times New Roman" w:ascii="Times New Roman"/>
          <w:b w:val="false"/>
          <w:color w:val="003366"/>
          <w:lang w:eastAsia="hr-HR" w:val="en-US"/>
        </w:rPr>
      </w:pPr>
      <w:r w:rsidRPr="00FF70E7">
        <w:rPr>
          <w:rFonts w:hAnsi="Times New Roman" w:ascii="Times New Roman"/>
          <w:b w:val="false"/>
        </w:rPr>
        <w:tab/>
        <w:t xml:space="preserve">Trgovački sud u Rijeci, po sucu Veri Jelenović, u postupku nad dužnikom PRO GRADNJA d. o. o. za građenje i trgovinu u stečaju Rijeka (Grad Rijeka), Vidikovac 2, </w:t>
      </w:r>
      <w:r w:rsidRPr="00FF70E7">
        <w:rPr>
          <w:rFonts w:hAnsi="Times New Roman" w:ascii="Times New Roman"/>
          <w:b w:val="false"/>
          <w:bCs/>
        </w:rPr>
        <w:t xml:space="preserve">MBS: </w:t>
      </w:r>
      <w:r w:rsidRPr="00FF70E7">
        <w:rPr>
          <w:rFonts w:hAnsi="Times New Roman" w:ascii="Times New Roman"/>
          <w:b w:val="false"/>
        </w:rPr>
        <w:t xml:space="preserve">040238107, OIB: 14628488963, dana 18. rujna 2018. </w:t>
      </w:r>
    </w:p>
    <w:p w:rsidRDefault="00FF70E7" w:rsidP="00FF70E7" w:rsidR="00FF70E7" w:rsidRPr="00FF70E7">
      <w:pPr>
        <w:jc w:val="center"/>
        <w:rPr>
          <w:rFonts w:hAnsi="Times New Roman" w:ascii="Times New Roman"/>
          <w:b w:val="false"/>
          <w:bCs/>
        </w:rPr>
      </w:pPr>
    </w:p>
    <w:p w:rsidRDefault="00FF70E7" w:rsidP="00FF70E7" w:rsidR="00FF70E7" w:rsidRPr="00FF70E7">
      <w:pPr>
        <w:jc w:val="center"/>
        <w:rPr>
          <w:rFonts w:hAnsi="Times New Roman" w:ascii="Times New Roman"/>
          <w:b w:val="false"/>
          <w:bCs/>
        </w:rPr>
      </w:pPr>
      <w:r w:rsidRPr="00FF70E7">
        <w:rPr>
          <w:rFonts w:hAnsi="Times New Roman" w:ascii="Times New Roman"/>
          <w:b w:val="false"/>
          <w:bCs/>
        </w:rPr>
        <w:t>z a k l j u č i o    j e</w:t>
      </w:r>
    </w:p>
    <w:p w:rsidRDefault="00FF70E7" w:rsidP="00FF70E7" w:rsidR="00FF70E7" w:rsidRPr="00FF70E7">
      <w:pPr>
        <w:jc w:val="center"/>
        <w:rPr>
          <w:rFonts w:hAnsi="Times New Roman" w:ascii="Times New Roman"/>
          <w:b w:val="false"/>
          <w:bCs/>
        </w:rPr>
      </w:pPr>
    </w:p>
    <w:p w:rsidRDefault="00FF70E7" w:rsidP="00FF70E7" w:rsidR="00FF70E7" w:rsidRPr="00FF70E7">
      <w:pPr>
        <w:jc w:val="both"/>
        <w:rPr>
          <w:rFonts w:hAnsi="Times New Roman" w:ascii="Times New Roman"/>
          <w:b w:val="false"/>
        </w:rPr>
      </w:pPr>
      <w:r w:rsidRPr="00FF70E7">
        <w:rPr>
          <w:rFonts w:hAnsi="Times New Roman" w:ascii="Times New Roman"/>
          <w:b w:val="false"/>
        </w:rPr>
        <w:t>I. Određuje se ročište radi izjašnjenja stranaka o izjašnjenju i prilaganju odgovarajućih pisanih dokaza glede vrijednosti nekretnina upisanih u zemljišnim knjigama Općinskog suda u Rijeci, zemljišnoknjižni odjel Rijeka,   K. O.  Marčelja:</w:t>
      </w:r>
    </w:p>
    <w:p w:rsidRDefault="00FF70E7" w:rsidP="00FF70E7" w:rsidR="00FF70E7" w:rsidRPr="00FF70E7">
      <w:pPr>
        <w:jc w:val="both"/>
        <w:rPr>
          <w:rFonts w:hAnsi="Times New Roman" w:ascii="Times New Roman"/>
          <w:b w:val="false"/>
        </w:rPr>
      </w:pPr>
      <w:r w:rsidRPr="00FF70E7">
        <w:rPr>
          <w:rFonts w:hAnsi="Times New Roman" w:ascii="Times New Roman"/>
          <w:b w:val="false"/>
        </w:rPr>
        <w:t>1. na k. č. br. 3217, pašnjak i šuma, površine 793 m², k. č. br. 3218/2, pašnjak i šuma, površine 991 m², k. č. br. 3218/3, šuma, površine 111 m², k. č. br. 3218/5, pašnjak i šuma, površine 775 m², sve upisano u z.k.ul. br. 3229</w:t>
      </w:r>
    </w:p>
    <w:p w:rsidRDefault="00FF70E7" w:rsidP="00FF70E7" w:rsidR="00FF70E7" w:rsidRPr="00FF70E7">
      <w:pPr>
        <w:jc w:val="both"/>
        <w:rPr>
          <w:rFonts w:hAnsi="Times New Roman" w:ascii="Times New Roman"/>
          <w:b w:val="false"/>
        </w:rPr>
      </w:pPr>
      <w:r w:rsidRPr="00FF70E7">
        <w:rPr>
          <w:rFonts w:hAnsi="Times New Roman" w:ascii="Times New Roman"/>
          <w:b w:val="false"/>
        </w:rPr>
        <w:t>2. na k.č.br. 3218/4, stambena zgrada br. 1/C i dvorište, površine 904 m², dvorište površine 732 m², stambena zgrada površine 172 m², sve upisano u z.k.ul. br. 5113, etažno vlasništvo s određenim omjerima kako slijedi:</w:t>
      </w:r>
    </w:p>
    <w:p w:rsidRDefault="00FF70E7" w:rsidP="00FF70E7" w:rsidR="00FF70E7" w:rsidRPr="00FF70E7">
      <w:pPr>
        <w:jc w:val="both"/>
        <w:rPr>
          <w:rFonts w:hAnsi="Times New Roman" w:ascii="Times New Roman"/>
          <w:b w:val="false"/>
        </w:rPr>
      </w:pPr>
      <w:r w:rsidRPr="00FF70E7">
        <w:rPr>
          <w:rFonts w:hAnsi="Times New Roman" w:ascii="Times New Roman"/>
          <w:b w:val="false"/>
        </w:rPr>
        <w:t>- suvlasnički udio: 32/1000 etažno vlasništvo (E – 1), sušionica rublja, u podrumu, površine 20,41 m², u cjelini.</w:t>
      </w:r>
    </w:p>
    <w:p w:rsidRDefault="00FF70E7" w:rsidP="00FF70E7" w:rsidR="00FF70E7" w:rsidRPr="00FF70E7">
      <w:pPr>
        <w:jc w:val="both"/>
        <w:rPr>
          <w:rFonts w:hAnsi="Times New Roman" w:ascii="Times New Roman"/>
          <w:b w:val="false"/>
        </w:rPr>
      </w:pPr>
      <w:r w:rsidRPr="00FF70E7">
        <w:rPr>
          <w:rFonts w:hAnsi="Times New Roman" w:ascii="Times New Roman"/>
          <w:b w:val="false"/>
        </w:rPr>
        <w:t>- suvlasnički udio: 56/1000 etažno vlasništvo (E – 2), 1. Sušionica rublja, u podrumu, površine 35,52 m², u cjelini.</w:t>
      </w:r>
    </w:p>
    <w:p w:rsidRDefault="00FF70E7" w:rsidP="00FF70E7" w:rsidR="00FF70E7" w:rsidRPr="00FF70E7">
      <w:pPr>
        <w:jc w:val="both"/>
        <w:rPr>
          <w:rFonts w:hAnsi="Times New Roman" w:ascii="Times New Roman"/>
          <w:b w:val="false"/>
        </w:rPr>
      </w:pPr>
      <w:r w:rsidRPr="00FF70E7">
        <w:rPr>
          <w:rFonts w:hAnsi="Times New Roman" w:ascii="Times New Roman"/>
          <w:b w:val="false"/>
        </w:rPr>
        <w:t>- suvlasnički udio: 108/1000 etažno vlasništvo (E - 3), 1. Stan S1, u prizemlju, koji se sastoji od hodnika, kupaonice, 2 sobe, dnevnog boravka, kuhinje, blagovaonice, terase, površine 60,64 m² sa pripadajućim spremištem 6, površine 8,42 m², u cjelini.</w:t>
      </w:r>
    </w:p>
    <w:p w:rsidRDefault="00FF70E7" w:rsidP="00FF70E7" w:rsidR="00FF70E7" w:rsidRPr="00FF70E7">
      <w:pPr>
        <w:jc w:val="both"/>
        <w:rPr>
          <w:rFonts w:hAnsi="Times New Roman" w:ascii="Times New Roman"/>
          <w:b w:val="false"/>
        </w:rPr>
      </w:pPr>
      <w:r w:rsidRPr="00FF70E7">
        <w:rPr>
          <w:rFonts w:hAnsi="Times New Roman" w:ascii="Times New Roman"/>
          <w:b w:val="false"/>
        </w:rPr>
        <w:t>- suvlasnički udio: 197/100 000 etaža vlasništvo (E - 7), 1. Stan S5, dvoetažni, koji se na drugome katu sastoji od hodnika, kupaonice, sobe, kuhinje blagovaone, dnevnog boravka, te nenatkrivene terase i balkona, površine 61,21 m² dok se na potkrovlju stan sastoji od hodnika sa stubištem, 2 sobe, kupaonice, površine 57,28 m² sa pripadajućim spremištem 8, površine 7,67 m², u cjelini, za</w:t>
      </w:r>
    </w:p>
    <w:p w:rsidRDefault="00FF70E7" w:rsidP="00FF70E7" w:rsidR="00FF70E7" w:rsidRPr="00FF70E7">
      <w:pPr>
        <w:ind w:left="3261"/>
        <w:contextualSpacing/>
        <w:rPr>
          <w:rFonts w:hAnsi="Times New Roman" w:ascii="Times New Roman"/>
          <w:b w:val="false"/>
        </w:rPr>
      </w:pPr>
      <w:r w:rsidRPr="00FF70E7">
        <w:rPr>
          <w:rFonts w:hAnsi="Times New Roman" w:ascii="Times New Roman"/>
          <w:b w:val="false"/>
        </w:rPr>
        <w:t>7. studenoga 2018.  u 10,00 sati</w:t>
      </w:r>
    </w:p>
    <w:p w:rsidRDefault="00FF70E7" w:rsidP="00FF70E7" w:rsidR="00FF70E7" w:rsidRPr="00FF70E7">
      <w:pPr>
        <w:jc w:val="center"/>
        <w:rPr>
          <w:rFonts w:hAnsi="Times New Roman" w:ascii="Times New Roman"/>
          <w:b w:val="false"/>
        </w:rPr>
      </w:pPr>
      <w:r w:rsidRPr="00FF70E7">
        <w:rPr>
          <w:rFonts w:hAnsi="Times New Roman" w:ascii="Times New Roman"/>
          <w:b w:val="false"/>
        </w:rPr>
        <w:t>kod Trgovačkog suda u Rijeci, Zadarska ulica 1 i 3,</w:t>
      </w:r>
    </w:p>
    <w:p w:rsidRDefault="00FF70E7" w:rsidP="00FF70E7" w:rsidR="00FF70E7" w:rsidRPr="00FF70E7">
      <w:pPr>
        <w:jc w:val="center"/>
        <w:rPr>
          <w:rFonts w:hAnsi="Times New Roman" w:ascii="Times New Roman"/>
          <w:b w:val="false"/>
        </w:rPr>
      </w:pPr>
      <w:r w:rsidRPr="00FF70E7">
        <w:rPr>
          <w:rFonts w:hAnsi="Times New Roman" w:ascii="Times New Roman"/>
          <w:b w:val="false"/>
        </w:rPr>
        <w:t>sudnica br. 3, prvi kat.</w:t>
      </w:r>
    </w:p>
    <w:p w:rsidRDefault="00FF70E7" w:rsidP="00FF70E7" w:rsidR="00FF70E7" w:rsidRPr="00FF70E7">
      <w:pPr>
        <w:jc w:val="center"/>
        <w:rPr>
          <w:rFonts w:hAnsi="Times New Roman" w:ascii="Times New Roman"/>
          <w:b w:val="false"/>
        </w:rPr>
      </w:pPr>
    </w:p>
    <w:p w:rsidRDefault="00FF70E7" w:rsidP="00FF70E7" w:rsidR="00FF70E7" w:rsidRPr="00FF70E7">
      <w:pPr>
        <w:jc w:val="both"/>
        <w:rPr>
          <w:rFonts w:hAnsi="Times New Roman" w:ascii="Times New Roman"/>
          <w:b w:val="false"/>
          <w:bCs/>
          <w:color w:val="000000"/>
        </w:rPr>
      </w:pPr>
      <w:r w:rsidRPr="00FF70E7">
        <w:rPr>
          <w:rFonts w:hAnsi="Times New Roman" w:ascii="Times New Roman"/>
          <w:b w:val="false"/>
        </w:rPr>
        <w:t xml:space="preserve">II. Na ročište iz točke I. izreke ovog zaključka pozivaju se stečajni upravitelj  i razlučni vjerovnik </w:t>
      </w:r>
      <w:r w:rsidRPr="00FF70E7">
        <w:rPr>
          <w:rFonts w:hAnsi="Times New Roman" w:ascii="Times New Roman"/>
          <w:b w:val="false"/>
          <w:bCs/>
          <w:color w:val="000000"/>
          <w:shd w:fill="FFFFFF" w:color="auto" w:val="clear"/>
        </w:rPr>
        <w:t>VOLKSBANK KARNTEN SUD E. GEN. HAUPTPLATZ 6, OIB: 55436470703, 9170 FERLACH, AUSTRIJA, 119559Y</w:t>
      </w:r>
      <w:r w:rsidRPr="00FF70E7">
        <w:rPr>
          <w:rFonts w:hAnsi="Times New Roman" w:ascii="Times New Roman"/>
          <w:b w:val="false"/>
          <w:bCs/>
          <w:color w:val="000000"/>
        </w:rPr>
        <w:t>.</w:t>
      </w:r>
    </w:p>
    <w:p w:rsidRDefault="00FF70E7" w:rsidP="00FF70E7" w:rsidR="00FF70E7" w:rsidRPr="00FF70E7">
      <w:pPr>
        <w:jc w:val="center"/>
        <w:rPr>
          <w:rFonts w:hAnsi="Times New Roman" w:ascii="Times New Roman"/>
          <w:b w:val="false"/>
        </w:rPr>
      </w:pPr>
    </w:p>
    <w:p w:rsidRDefault="00FF70E7" w:rsidP="00FF70E7" w:rsidR="00FF70E7" w:rsidRPr="00FF70E7">
      <w:pPr>
        <w:jc w:val="center"/>
        <w:rPr>
          <w:rFonts w:hAnsi="Times New Roman" w:ascii="Times New Roman"/>
          <w:b w:val="false"/>
        </w:rPr>
      </w:pPr>
      <w:r w:rsidRPr="00FF70E7">
        <w:rPr>
          <w:rFonts w:hAnsi="Times New Roman" w:ascii="Times New Roman"/>
          <w:b w:val="false"/>
        </w:rPr>
        <w:t>Rijeka, 1</w:t>
      </w:r>
      <w:r>
        <w:rPr>
          <w:rFonts w:hAnsi="Times New Roman" w:ascii="Times New Roman"/>
          <w:b w:val="false"/>
        </w:rPr>
        <w:t>8</w:t>
      </w:r>
      <w:r w:rsidRPr="00FF70E7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 xml:space="preserve">rujna </w:t>
      </w:r>
      <w:r w:rsidRPr="00FF70E7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8</w:t>
      </w:r>
      <w:r w:rsidRPr="00FF70E7">
        <w:rPr>
          <w:rFonts w:hAnsi="Times New Roman" w:ascii="Times New Roman"/>
          <w:b w:val="false"/>
        </w:rPr>
        <w:t xml:space="preserve">. </w:t>
      </w:r>
    </w:p>
    <w:p w:rsidRDefault="00FF70E7" w:rsidP="00FF70E7" w:rsidR="00FF70E7" w:rsidRPr="00FF70E7">
      <w:pPr>
        <w:jc w:val="both"/>
        <w:rPr>
          <w:rFonts w:hAnsi="Times New Roman" w:ascii="Times New Roman"/>
          <w:b w:val="false"/>
        </w:rPr>
      </w:pPr>
      <w:r w:rsidRPr="00FF70E7">
        <w:rPr>
          <w:rFonts w:hAnsi="Times New Roman" w:ascii="Times New Roman"/>
          <w:b w:val="false"/>
        </w:rPr>
        <w:tab/>
      </w:r>
      <w:r w:rsidRPr="00FF70E7">
        <w:rPr>
          <w:rFonts w:hAnsi="Times New Roman" w:ascii="Times New Roman"/>
          <w:b w:val="false"/>
        </w:rPr>
        <w:tab/>
      </w:r>
      <w:r w:rsidRPr="00FF70E7">
        <w:rPr>
          <w:rFonts w:hAnsi="Times New Roman" w:ascii="Times New Roman"/>
          <w:b w:val="false"/>
        </w:rPr>
        <w:tab/>
        <w:t xml:space="preserve">                                </w:t>
      </w:r>
      <w:r w:rsidRPr="00FF70E7">
        <w:rPr>
          <w:rFonts w:hAnsi="Times New Roman" w:ascii="Times New Roman"/>
          <w:b w:val="false"/>
        </w:rPr>
        <w:tab/>
      </w:r>
      <w:r w:rsidRPr="00FF70E7">
        <w:rPr>
          <w:rFonts w:hAnsi="Times New Roman" w:ascii="Times New Roman"/>
          <w:b w:val="false"/>
        </w:rPr>
        <w:tab/>
      </w:r>
      <w:r w:rsidRPr="00FF70E7">
        <w:rPr>
          <w:rFonts w:hAnsi="Times New Roman" w:ascii="Times New Roman"/>
          <w:b w:val="false"/>
        </w:rPr>
        <w:tab/>
      </w:r>
      <w:r w:rsidRPr="00FF70E7">
        <w:rPr>
          <w:rFonts w:hAnsi="Times New Roman" w:ascii="Times New Roman"/>
          <w:b w:val="false"/>
        </w:rPr>
        <w:tab/>
        <w:t xml:space="preserve">       Sudac</w:t>
      </w:r>
    </w:p>
    <w:p w:rsidRDefault="00FF70E7" w:rsidP="00FF70E7" w:rsidR="00FF70E7" w:rsidRPr="00FF70E7">
      <w:pPr>
        <w:jc w:val="both"/>
        <w:rPr>
          <w:rFonts w:hAnsi="Times New Roman" w:ascii="Times New Roman"/>
          <w:b w:val="false"/>
        </w:rPr>
      </w:pPr>
      <w:r w:rsidRPr="00FF70E7">
        <w:rPr>
          <w:rFonts w:hAnsi="Times New Roman" w:ascii="Times New Roman"/>
          <w:b w:val="false"/>
        </w:rPr>
        <w:tab/>
      </w:r>
      <w:r w:rsidRPr="00FF70E7">
        <w:rPr>
          <w:rFonts w:hAnsi="Times New Roman" w:ascii="Times New Roman"/>
          <w:b w:val="false"/>
        </w:rPr>
        <w:tab/>
      </w:r>
      <w:r w:rsidRPr="00FF70E7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                   </w:t>
      </w:r>
      <w:r w:rsidRPr="00FF70E7">
        <w:rPr>
          <w:rFonts w:hAnsi="Times New Roman" w:ascii="Times New Roman"/>
          <w:b w:val="false"/>
        </w:rPr>
        <w:tab/>
      </w:r>
      <w:r w:rsidRPr="00FF70E7">
        <w:rPr>
          <w:rFonts w:hAnsi="Times New Roman" w:ascii="Times New Roman"/>
          <w:b w:val="false"/>
        </w:rPr>
        <w:tab/>
      </w:r>
      <w:r w:rsidRPr="00FF70E7">
        <w:rPr>
          <w:rFonts w:hAnsi="Times New Roman" w:ascii="Times New Roman"/>
          <w:b w:val="false"/>
        </w:rPr>
        <w:tab/>
      </w:r>
      <w:r w:rsidRPr="00FF70E7">
        <w:rPr>
          <w:rFonts w:hAnsi="Times New Roman" w:ascii="Times New Roman"/>
          <w:b w:val="false"/>
        </w:rPr>
        <w:tab/>
        <w:t xml:space="preserve">            Vera Jelenović </w:t>
      </w:r>
    </w:p>
    <w:p w:rsidRDefault="00FF70E7" w:rsidP="00FF70E7" w:rsidR="00FF70E7" w:rsidRPr="00FF70E7">
      <w:pPr>
        <w:jc w:val="both"/>
        <w:rPr>
          <w:rFonts w:hAnsi="Times New Roman" w:ascii="Times New Roman"/>
          <w:b w:val="false"/>
        </w:rPr>
      </w:pPr>
      <w:r w:rsidRPr="00FF70E7">
        <w:rPr>
          <w:rFonts w:hAnsi="Times New Roman" w:ascii="Times New Roman"/>
          <w:b w:val="false"/>
        </w:rPr>
        <w:t>UPUTA O PRAVNOM LIJEKU:</w:t>
      </w:r>
    </w:p>
    <w:p w:rsidRDefault="00FF70E7" w:rsidP="00FF70E7" w:rsidR="005C1840" w:rsidRPr="00FF70E7">
      <w:pPr>
        <w:jc w:val="both"/>
        <w:rPr>
          <w:rFonts w:hAnsi="Times New Roman" w:ascii="Times New Roman"/>
          <w:b w:val="false"/>
        </w:rPr>
      </w:pPr>
      <w:r w:rsidRPr="00FF70E7">
        <w:rPr>
          <w:rFonts w:hAnsi="Times New Roman" w:ascii="Times New Roman"/>
          <w:b w:val="false"/>
        </w:rPr>
        <w:t>Protiv zaključka nije dopušten pravni lijek.</w:t>
      </w:r>
    </w:p>
    <w:sectPr w:rsidSect="00E77EC8" w:rsidR="005C1840" w:rsidRPr="00FF70E7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6E7" w:rsidP="00C75245" w:rsidR="003D06E7">
      <w:r>
        <w:separator/>
      </w:r>
    </w:p>
  </w:endnote>
  <w:endnote w:id="0" w:type="continuationSeparator">
    <w:p w:rsidRDefault="003D06E7" w:rsidP="00C75245" w:rsidR="003D0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4A8A">
          <w:rPr>
            <w:noProof/>
          </w:rPr>
          <w:t>1</w:t>
        </w:r>
        <w:r>
          <w:fldChar w:fldCharType="end"/>
        </w:r>
      </w:p>
    </w:sdtContent>
  </w:sdt>
  <w:p w:rsidRDefault="00184A8A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6E7" w:rsidP="00C75245" w:rsidR="003D06E7">
      <w:r>
        <w:separator/>
      </w:r>
    </w:p>
  </w:footnote>
  <w:footnote w:id="0" w:type="continuationSeparator">
    <w:p w:rsidRDefault="003D06E7" w:rsidP="00C75245" w:rsidR="003D06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FF70E7">
      <w:rPr>
        <w:rFonts w:hAnsi="Times New Roman" w:ascii="Times New Roman"/>
        <w:b w:val="false"/>
      </w:rPr>
      <w:t>315</w:t>
    </w:r>
    <w:r w:rsidRPr="001F0BC0">
      <w:rPr>
        <w:rFonts w:hAnsi="Times New Roman" w:ascii="Times New Roman"/>
        <w:b w:val="false"/>
      </w:rPr>
      <w:t>/201</w:t>
    </w:r>
    <w:r w:rsidR="00FF70E7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FF70E7">
      <w:rPr>
        <w:rFonts w:hAnsi="Times New Roman" w:ascii="Times New Roman"/>
        <w:b w:val="false"/>
      </w:rPr>
      <w:t>32</w:t>
    </w:r>
  </w:p>
  <w:p w:rsidRDefault="00184A8A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4C70B6"/>
    <w:multiLevelType w:val="hybridMultilevel"/>
    <w:tmpl w:val="86087E00"/>
    <w:lvl w:tplc="041A000F" w:ilvl="0">
      <w:start w:val="22"/>
      <w:numFmt w:val="decimal"/>
      <w:lvlText w:val="%1."/>
      <w:lvlJc w:val="left"/>
      <w:pPr>
        <w:ind w:hanging="360" w:left="3621"/>
      </w:pPr>
    </w:lvl>
    <w:lvl w:tplc="041A0019" w:ilvl="1">
      <w:start w:val="1"/>
      <w:numFmt w:val="lowerLetter"/>
      <w:lvlText w:val="%2."/>
      <w:lvlJc w:val="left"/>
      <w:pPr>
        <w:ind w:hanging="360" w:left="4341"/>
      </w:pPr>
    </w:lvl>
    <w:lvl w:tplc="041A001B" w:ilvl="2">
      <w:start w:val="1"/>
      <w:numFmt w:val="lowerRoman"/>
      <w:lvlText w:val="%3."/>
      <w:lvlJc w:val="right"/>
      <w:pPr>
        <w:ind w:hanging="180" w:left="5061"/>
      </w:pPr>
    </w:lvl>
    <w:lvl w:tplc="041A000F" w:ilvl="3">
      <w:start w:val="1"/>
      <w:numFmt w:val="decimal"/>
      <w:lvlText w:val="%4."/>
      <w:lvlJc w:val="left"/>
      <w:pPr>
        <w:ind w:hanging="360" w:left="5781"/>
      </w:pPr>
    </w:lvl>
    <w:lvl w:tplc="041A0019" w:ilvl="4">
      <w:start w:val="1"/>
      <w:numFmt w:val="lowerLetter"/>
      <w:lvlText w:val="%5."/>
      <w:lvlJc w:val="left"/>
      <w:pPr>
        <w:ind w:hanging="360" w:left="6501"/>
      </w:pPr>
    </w:lvl>
    <w:lvl w:tplc="041A001B" w:ilvl="5">
      <w:start w:val="1"/>
      <w:numFmt w:val="lowerRoman"/>
      <w:lvlText w:val="%6."/>
      <w:lvlJc w:val="right"/>
      <w:pPr>
        <w:ind w:hanging="180" w:left="7221"/>
      </w:pPr>
    </w:lvl>
    <w:lvl w:tplc="041A000F" w:ilvl="6">
      <w:start w:val="1"/>
      <w:numFmt w:val="decimal"/>
      <w:lvlText w:val="%7."/>
      <w:lvlJc w:val="left"/>
      <w:pPr>
        <w:ind w:hanging="360" w:left="7941"/>
      </w:pPr>
    </w:lvl>
    <w:lvl w:tplc="041A0019" w:ilvl="7">
      <w:start w:val="1"/>
      <w:numFmt w:val="lowerLetter"/>
      <w:lvlText w:val="%8."/>
      <w:lvlJc w:val="left"/>
      <w:pPr>
        <w:ind w:hanging="360" w:left="8661"/>
      </w:pPr>
    </w:lvl>
    <w:lvl w:tplc="041A001B" w:ilvl="8">
      <w:start w:val="1"/>
      <w:numFmt w:val="lowerRoman"/>
      <w:lvlText w:val="%9."/>
      <w:lvlJc w:val="right"/>
      <w:pPr>
        <w:ind w:hanging="180" w:left="9381"/>
      </w:pPr>
    </w:lvl>
  </w:abstractNum>
  <w:abstractNum w:abstractNumId="2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7"/>
  </w:num>
  <w:num w:numId="11">
    <w:abstractNumId w:val="0"/>
  </w:num>
  <w:num w:numId="12">
    <w:abstractNumId w:val="1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84A8A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C5655"/>
    <w:rsid w:val="003D06E7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  <w:rsid w:val="00FF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184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A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A8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A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A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184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A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A8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A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A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12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GRADNJA d.o.o.</izvorni_sadrzaj>
    <derivirana_varijabla naziv="DomainObject.Predmet.ProtustrankaFormated_1">  PRO GRADNJA d.o.o.</derivirana_varijabla>
  </DomainObject.Predmet.ProtustrankaFormated>
  <DomainObject.Predmet.ProtustrankaFormatedOIB>
    <izvorni_sadrzaj>  PRO GRADNJA d.o.o., OIB 14628488963</izvorni_sadrzaj>
    <derivirana_varijabla naziv="DomainObject.Predmet.ProtustrankaFormatedOIB_1">  PRO GRADNJA d.o.o., OIB 14628488963</derivirana_varijabla>
  </DomainObject.Predmet.ProtustrankaFormatedOIB>
  <DomainObject.Predmet.ProtustrankaFormatedWithAdress>
    <izvorni_sadrzaj> PRO GRADNJA d.o.o., Vidikovac 2, 51000 Rijeka</izvorni_sadrzaj>
    <derivirana_varijabla naziv="DomainObject.Predmet.ProtustrankaFormatedWithAdress_1"> PRO GRADNJA d.o.o., Vidikovac 2, 51000 Rijeka</derivirana_varijabla>
  </DomainObject.Predmet.ProtustrankaFormatedWithAdress>
  <DomainObject.Predmet.ProtustrankaFormatedWithAdressOIB>
    <izvorni_sadrzaj> PRO GRADNJA d.o.o., OIB 14628488963, Vidikovac 2, 51000 Rijeka</izvorni_sadrzaj>
    <derivirana_varijabla naziv="DomainObject.Predmet.ProtustrankaFormatedWithAdressOIB_1"> PRO GRADNJA d.o.o., OIB 14628488963, Vidikovac 2, 51000 Rijeka</derivirana_varijabla>
  </DomainObject.Predmet.ProtustrankaFormatedWithAdressOIB>
  <DomainObject.Predmet.ProtustrankaWithAdress>
    <izvorni_sadrzaj>PRO GRADNJA d.o.o. Vidikovac 2, 51000 Rijeka</izvorni_sadrzaj>
    <derivirana_varijabla naziv="DomainObject.Predmet.ProtustrankaWithAdress_1">PRO GRADNJA d.o.o. Vidikovac 2, 51000 Rijeka</derivirana_varijabla>
  </DomainObject.Predmet.ProtustrankaWithAdress>
  <DomainObject.Predmet.ProtustrankaWithAdressOIB>
    <izvorni_sadrzaj>PRO GRADNJA d.o.o., OIB 14628488963, Vidikovac 2, 51000 Rijeka</izvorni_sadrzaj>
    <derivirana_varijabla naziv="DomainObject.Predmet.ProtustrankaWithAdressOIB_1">PRO GRADNJA d.o.o., OIB 14628488963, Vidikovac 2, 51000 Rijeka</derivirana_varijabla>
  </DomainObject.Predmet.ProtustrankaWithAdressOIB>
  <DomainObject.Predmet.ProtustrankaNazivFormated>
    <izvorni_sadrzaj>PRO GRADNJA d.o.o.</izvorni_sadrzaj>
    <derivirana_varijabla naziv="DomainObject.Predmet.ProtustrankaNazivFormated_1">PRO GRADNJA d.o.o.</derivirana_varijabla>
  </DomainObject.Predmet.ProtustrankaNazivFormated>
  <DomainObject.Predmet.ProtustrankaNazivFormatedOIB>
    <izvorni_sadrzaj>PRO GRADNJA d.o.o., OIB 14628488963</izvorni_sadrzaj>
    <derivirana_varijabla naziv="DomainObject.Predmet.ProtustrankaNazivFormatedOIB_1">PRO GRADNJA d.o.o., OIB 14628488963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 GRADNJA d.o.o.</item>
    </izvorni_sadrzaj>
    <derivirana_varijabla naziv="DomainObject.Predmet.ProtuStrankaListFormated_1">
      <item>PRO GRADNJA d.o.o.</item>
    </derivirana_varijabla>
  </DomainObject.Predmet.ProtuStrankaListFormated>
  <DomainObject.Predmet.ProtuStrankaListFormatedOIB>
    <izvorni_sadrzaj>
      <item>PRO GRADNJA d.o.o., OIB 14628488963</item>
    </izvorni_sadrzaj>
    <derivirana_varijabla naziv="DomainObject.Predmet.ProtuStrankaListFormatedOIB_1">
      <item>PRO GRADNJA d.o.o., OIB 14628488963</item>
    </derivirana_varijabla>
  </DomainObject.Predmet.ProtuStrankaListFormatedOIB>
  <DomainObject.Predmet.ProtuStrankaListFormatedWithAdress>
    <izvorni_sadrzaj>
      <item>PRO GRADNJA d.o.o., Vidikovac 2, 51000 Rijeka</item>
    </izvorni_sadrzaj>
    <derivirana_varijabla naziv="DomainObject.Predmet.ProtuStrankaListFormatedWithAdress_1">
      <item>PRO GRADNJA d.o.o., Vidikovac 2, 51000 Rijeka</item>
    </derivirana_varijabla>
  </DomainObject.Predmet.ProtuStrankaListFormatedWithAdress>
  <DomainObject.Predmet.ProtuStrankaListFormatedWithAdressOIB>
    <izvorni_sadrzaj>
      <item>PRO GRADNJA d.o.o., OIB 14628488963, Vidikovac 2, 51000 Rijeka</item>
    </izvorni_sadrzaj>
    <derivirana_varijabla naziv="DomainObject.Predmet.ProtuStrankaListFormatedWithAdressOIB_1">
      <item>PRO GRADNJA d.o.o., OIB 14628488963, Vidikovac 2, 51000 Rijeka</item>
    </derivirana_varijabla>
  </DomainObject.Predmet.ProtuStrankaListFormatedWithAdressOIB>
  <DomainObject.Predmet.ProtuStrankaListNazivFormated>
    <izvorni_sadrzaj>
      <item>PRO GRADNJA d.o.o.</item>
    </izvorni_sadrzaj>
    <derivirana_varijabla naziv="DomainObject.Predmet.ProtuStrankaListNazivFormated_1">
      <item>PRO GRADNJA d.o.o.</item>
    </derivirana_varijabla>
  </DomainObject.Predmet.ProtuStrankaListNazivFormated>
  <DomainObject.Predmet.ProtuStrankaListNazivFormatedOIB>
    <izvorni_sadrzaj>
      <item>PRO GRADNJA d.o.o., OIB 14628488963</item>
    </izvorni_sadrzaj>
    <derivirana_varijabla naziv="DomainObject.Predmet.ProtuStrankaListNazivFormatedOIB_1">
      <item>PRO GRADNJA d.o.o., OIB 14628488963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 GRADNJA d.o.o.</izvorni_sadrzaj>
    <derivirana_varijabla naziv="DomainObject.Predmet.ProtustrankaIDrugi_1">PRO GRADNJA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 GRADNJA d.o.o., OIB 14628488963, Vidikovac 2, 51000 Rijeka</izvorni_sadrzaj>
    <derivirana_varijabla naziv="DomainObject.Predmet.ProtustrankaIDrugiAdressOIB_1">PRO GRADNJA d.o.o., OIB 14628488963, Vidikovac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 GRADNJA d.o.o.</item>
    </izvorni_sadrzaj>
    <derivirana_varijabla naziv="DomainObject.Predmet.SudioniciListNaziv_1">
      <item>FINA Rijeka</item>
      <item>PRO GRADNJA d.o.o.</item>
    </derivirana_varijabla>
  </DomainObject.Predmet.SudioniciListNaziv>
  <DomainObject.Predmet.SudioniciListAdressOIB>
    <izvorni_sadrzaj>
      <item>FINA Rijeka, OIB 85821130368, Frana Kurelca 8,51000 Rijeka</item>
      <item>PRO GRADNJA d.o.o., OIB 14628488963, Vidikovac 2,51000 Rijeka</item>
    </izvorni_sadrzaj>
    <derivirana_varijabla naziv="DomainObject.Predmet.SudioniciListAdressOIB_1">
      <item>FINA Rijeka, OIB 85821130368, Frana Kurelca 8,51000 Rijeka</item>
      <item>PRO GRADNJA d.o.o., OIB 14628488963, Vidikovac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14628488963</item>
    </izvorni_sadrzaj>
    <derivirana_varijabla naziv="DomainObject.Predmet.SudioniciListNazivOIB_1">
      <item>, OIB 85821130368</item>
      <item>, OIB 14628488963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EA91AF-87FF-4434-83DD-1A5B59A013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1932</properties:Characters>
  <properties:Lines>48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2018-09-18T09:36:00Z</dcterms:created>
  <dc:creator>Danijela Fumić</dc:creator>
  <cp:lastModifiedBy>Danijela Fumić</cp:lastModifiedBy>
  <dcterms:modified xmlns:xsi="http://www.w3.org/2001/XMLSchema-instance" xsi:type="dcterms:W3CDTF">2018-09-18T09:38:00Z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(315 17  zaključak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