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ff95" w14:paraId="bdcff95" w:rsidRDefault="00AB4602" w:rsidP="0008733F" w:rsidR="0008733F">
      <w:pPr>
        <w:pStyle w:val="NormaleSPIS"/>
        <w:ind w:firstLine="0"/>
        <w15:collapsed w:val="false"/>
        <w:rPr>
          <w:b/>
          <w:lang w:val="pl-PL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733F">
        <w:rPr>
          <w:b/>
          <w:lang w:val="pl-PL"/>
        </w:rPr>
        <w:t>WERKOS d.o.o. u stečaju</w:t>
      </w:r>
    </w:p>
    <w:p w:rsidRDefault="0008733F" w:rsidP="0008733F" w:rsidR="0008733F">
      <w:pPr>
        <w:pStyle w:val="NormaleSPIS"/>
        <w:ind w:firstLine="0"/>
        <w:rPr>
          <w:b/>
          <w:lang w:val="pl-PL"/>
        </w:rPr>
      </w:pPr>
      <w:bookmarkStart w:name="_GoBack" w:id="0"/>
      <w:bookmarkEnd w:id="0"/>
      <w:r>
        <w:rPr>
          <w:b/>
          <w:lang w:val="pl-PL"/>
        </w:rPr>
        <w:t>Ulica borova 6</w:t>
      </w:r>
    </w:p>
    <w:p w:rsidRDefault="0008733F" w:rsidP="0008733F" w:rsidR="0008733F">
      <w:pPr>
        <w:spacing w:after="0"/>
        <w:rPr>
          <w:b/>
          <w:lang w:val="pl-PL"/>
        </w:rPr>
      </w:pPr>
      <w:r>
        <w:rPr>
          <w:b/>
          <w:lang w:val="pl-PL"/>
        </w:rPr>
        <w:t xml:space="preserve">Osijek </w:t>
      </w:r>
    </w:p>
    <w:p w:rsidRDefault="0008733F" w:rsidP="0008733F" w:rsidR="0008733F">
      <w:pPr>
        <w:spacing w:after="0"/>
        <w:rPr>
          <w:b/>
          <w:lang w:val="pl-PL"/>
        </w:rPr>
      </w:pPr>
      <w:r>
        <w:rPr>
          <w:b/>
          <w:lang w:val="pl-PL"/>
        </w:rPr>
        <w:t>OIB: 84820806875</w:t>
      </w:r>
    </w:p>
    <w:p w:rsidRDefault="0008733F" w:rsidP="0008733F" w:rsidR="0008733F">
      <w:pPr>
        <w:spacing w:after="0"/>
        <w:rPr>
          <w:b/>
          <w:lang w:val="pl-PL"/>
        </w:rPr>
      </w:pPr>
      <w:r>
        <w:rPr>
          <w:b/>
          <w:lang w:val="pl-PL"/>
        </w:rPr>
        <w:t>7 St-269/2017</w:t>
      </w:r>
    </w:p>
    <w:p w:rsidRDefault="0008733F" w:rsidP="0008733F" w:rsidR="0008733F">
      <w:pPr>
        <w:rPr>
          <w:b/>
        </w:rPr>
      </w:pPr>
    </w:p>
    <w:p w:rsidRDefault="0008733F" w:rsidP="0008733F" w:rsidR="0008733F">
      <w:pPr>
        <w:rPr>
          <w:color w:val="FF0000"/>
          <w:lang w:val="pl-PL"/>
        </w:rPr>
      </w:pPr>
      <w:r>
        <w:rPr>
          <w:b/>
          <w:bCs/>
          <w:color w:val="FF0000"/>
        </w:rPr>
        <w:tab/>
      </w:r>
    </w:p>
    <w:p w:rsidRDefault="0008733F" w:rsidP="0008733F" w:rsidR="0008733F">
      <w:pPr>
        <w:rPr>
          <w:lang w:val="pl-PL"/>
        </w:rPr>
      </w:pPr>
    </w:p>
    <w:p w:rsidRDefault="0008733F" w:rsidP="0008733F" w:rsidR="0008733F">
      <w:pPr>
        <w:jc w:val="center"/>
        <w:rPr>
          <w:b/>
          <w:lang w:val="pl-PL"/>
        </w:rPr>
      </w:pPr>
      <w:r>
        <w:rPr>
          <w:b/>
          <w:lang w:val="pl-PL"/>
        </w:rPr>
        <w:t>PREGLED IMOVINE I OBVEZA</w:t>
      </w:r>
    </w:p>
    <w:p w:rsidRDefault="0008733F" w:rsidP="0008733F" w:rsidR="0008733F">
      <w:pPr>
        <w:jc w:val="center"/>
        <w:rPr>
          <w:b/>
          <w:lang w:val="pl-PL"/>
        </w:rPr>
      </w:pPr>
      <w:r>
        <w:rPr>
          <w:b/>
          <w:lang w:val="pl-PL"/>
        </w:rPr>
        <w:t>(Članak 223. Stečajnog zakona Narodne novine 71/15)</w:t>
      </w:r>
    </w:p>
    <w:p w:rsidRDefault="0008733F" w:rsidP="0008733F" w:rsidR="0008733F">
      <w:pPr>
        <w:rPr>
          <w:b/>
          <w:lang w:val="pl-PL"/>
        </w:rPr>
      </w:pPr>
    </w:p>
    <w:p w:rsidRDefault="0008733F" w:rsidP="0008733F" w:rsidR="0008733F">
      <w:pPr>
        <w:pStyle w:val="Odlomakpopisa"/>
        <w:numPr>
          <w:ilvl w:val="0"/>
          <w:numId w:val="47"/>
        </w:numPr>
        <w:tabs>
          <w:tab w:pos="851" w:val="clear"/>
        </w:tabs>
        <w:spacing w:after="80"/>
        <w:contextualSpacing/>
        <w:jc w:val="left"/>
        <w:rPr>
          <w:b/>
        </w:rPr>
      </w:pPr>
      <w:r>
        <w:rPr>
          <w:b/>
        </w:rPr>
        <w:t>Predmeti stečajne mase</w:t>
      </w:r>
    </w:p>
    <w:p w:rsidRDefault="0008733F" w:rsidP="0008733F" w:rsidR="0008733F">
      <w:pPr>
        <w:pStyle w:val="Odlomakpopisa"/>
        <w:rPr>
          <w:b/>
        </w:rPr>
      </w:pPr>
    </w:p>
    <w:tbl>
      <w:tblPr>
        <w:tblStyle w:val="Reetkatablice"/>
        <w:tblW w:type="dxa" w:w="9504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3120"/>
        <w:gridCol w:w="142"/>
        <w:gridCol w:w="2837"/>
        <w:gridCol w:w="2412"/>
      </w:tblGrid>
      <w:tr w:rsidTr="0008733F" w:rsidR="0008733F">
        <w:tc>
          <w:tcPr>
            <w:tcW w:type="dxa" w:w="993"/>
            <w:tcBorders>
              <w:top w:space="0" w:sz="4" w:color="auto" w:val="double"/>
              <w:left w:space="0" w:sz="4" w:color="auto" w:val="double"/>
              <w:bottom w:space="0" w:sz="4" w:color="auto" w:val="doub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rPr>
                <w:rFonts w:cs="Times New Roman" w:eastAsia="SimSun"/>
                <w:sz w:val="22"/>
                <w:szCs w:val="22"/>
              </w:rPr>
            </w:pPr>
            <w:r>
              <w:t>Red.br.</w:t>
            </w:r>
          </w:p>
        </w:tc>
        <w:tc>
          <w:tcPr>
            <w:tcW w:type="dxa" w:w="3118"/>
            <w:tcBorders>
              <w:top w:space="0" w:sz="4" w:color="auto" w:val="double"/>
              <w:left w:space="0" w:sz="6" w:color="auto" w:val="single"/>
              <w:bottom w:space="0" w:sz="4" w:color="auto" w:val="doub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Opis</w:t>
            </w:r>
          </w:p>
        </w:tc>
        <w:tc>
          <w:tcPr>
            <w:tcW w:type="dxa" w:w="5387"/>
            <w:gridSpan w:val="3"/>
            <w:tcBorders>
              <w:top w:space="0" w:sz="4" w:color="auto" w:val="double"/>
              <w:left w:space="0" w:sz="6" w:color="auto" w:val="single"/>
              <w:bottom w:space="0" w:sz="4" w:color="auto" w:val="doub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Iznos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double"/>
              <w:left w:space="0" w:sz="4" w:color="auto" w:val="doub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I.</w:t>
            </w:r>
          </w:p>
        </w:tc>
        <w:tc>
          <w:tcPr>
            <w:tcW w:type="dxa" w:w="3118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Dugotrajna imovina</w:t>
            </w:r>
          </w:p>
        </w:tc>
        <w:tc>
          <w:tcPr>
            <w:tcW w:type="dxa" w:w="2977"/>
            <w:gridSpan w:val="2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Knjigovodstvena vrijednost</w:t>
            </w:r>
          </w:p>
        </w:tc>
        <w:tc>
          <w:tcPr>
            <w:tcW w:type="dxa" w:w="2410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Procijenjena vrijednost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1.</w:t>
            </w:r>
          </w:p>
        </w:tc>
        <w:tc>
          <w:tcPr>
            <w:tcW w:type="dxa" w:w="6095"/>
            <w:gridSpan w:val="3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tabs>
                <w:tab w:pos="5646" w:val="right"/>
              </w:tabs>
              <w:spacing w:after="80"/>
              <w:ind w:right="91"/>
              <w:jc w:val="right"/>
              <w:rPr>
                <w:rFonts w:cs="Times New Roman" w:eastAsia="SimSun"/>
                <w:sz w:val="22"/>
                <w:szCs w:val="22"/>
              </w:rPr>
            </w:pPr>
            <w:r>
              <w:t xml:space="preserve">Pokretnine                               </w:t>
            </w:r>
            <w:r>
              <w:tab/>
              <w:t xml:space="preserve"> 5.995.743,54 kn</w:t>
            </w:r>
          </w:p>
        </w:tc>
        <w:tc>
          <w:tcPr>
            <w:tcW w:type="dxa" w:w="2410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ind w:right="91"/>
              <w:jc w:val="right"/>
              <w:rPr>
                <w:rFonts w:cs="Times New Roman" w:eastAsia="SimSun"/>
                <w:sz w:val="22"/>
                <w:szCs w:val="22"/>
              </w:rPr>
            </w:pPr>
            <w:r>
              <w:t>6.674.788,13 kn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2.</w:t>
            </w:r>
          </w:p>
        </w:tc>
        <w:tc>
          <w:tcPr>
            <w:tcW w:type="dxa" w:w="60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tabs>
                <w:tab w:pos="5646" w:val="right"/>
              </w:tabs>
              <w:spacing w:after="80"/>
              <w:ind w:right="91"/>
              <w:jc w:val="right"/>
              <w:rPr>
                <w:rFonts w:cs="Times New Roman" w:eastAsia="SimSun"/>
                <w:sz w:val="22"/>
                <w:szCs w:val="22"/>
              </w:rPr>
            </w:pPr>
            <w:r>
              <w:t>Nekretnine</w:t>
            </w:r>
            <w:r>
              <w:tab/>
              <w:t xml:space="preserve">  36.202.239,03 kn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ind w:right="91"/>
              <w:jc w:val="right"/>
              <w:rPr>
                <w:rFonts w:cs="Times New Roman" w:eastAsia="SimSun"/>
                <w:b/>
                <w:sz w:val="22"/>
                <w:szCs w:val="22"/>
              </w:rPr>
            </w:pPr>
            <w:r>
              <w:t>40.997.300,00 kn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3.</w:t>
            </w:r>
          </w:p>
        </w:tc>
        <w:tc>
          <w:tcPr>
            <w:tcW w:type="dxa" w:w="60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0"/>
              <w:rPr>
                <w:rFonts w:cs="Times New Roman" w:eastAsia="Times New Roman"/>
                <w:b/>
                <w:sz w:val="22"/>
                <w:szCs w:val="22"/>
              </w:rPr>
            </w:pPr>
            <w:r>
              <w:t xml:space="preserve">   Financijska imovina</w:t>
            </w:r>
            <w:r>
              <w:rPr>
                <w:rFonts w:eastAsia="Times New Roman"/>
                <w:b/>
              </w:rPr>
              <w:t xml:space="preserve">                                             </w:t>
            </w:r>
            <w:r>
              <w:rPr>
                <w:rFonts w:eastAsia="Times New Roman"/>
              </w:rPr>
              <w:t xml:space="preserve">1.580.391,80 kn </w:t>
            </w:r>
            <w:r>
              <w:rPr>
                <w:rFonts w:eastAsia="Times New Roman"/>
                <w:b/>
              </w:rPr>
              <w:t xml:space="preserve">                                          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ind w:right="91"/>
              <w:jc w:val="right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rFonts w:eastAsia="Times New Roman"/>
              </w:rPr>
              <w:t>1.580.391,80 kn</w:t>
            </w:r>
            <w:r>
              <w:rPr>
                <w:rFonts w:eastAsia="Times New Roman"/>
                <w:b/>
              </w:rPr>
              <w:t xml:space="preserve">                                                     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</w:p>
        </w:tc>
        <w:tc>
          <w:tcPr>
            <w:tcW w:type="dxa" w:w="32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Ukupno dugotrajna imovina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0"/>
              <w:jc w:val="right"/>
              <w:rPr>
                <w:rFonts w:cs="Times New Roman" w:eastAsia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</w:rPr>
              <w:fldChar w:fldCharType="begin"/>
            </w:r>
            <w:r>
              <w:rPr>
                <w:rFonts w:eastAsia="Times New Roman"/>
                <w:b/>
                <w:color w:val="000000"/>
              </w:rPr>
              <w:instrText xml:space="preserve"> =SUM(ABOVE) </w:instrText>
            </w:r>
            <w:r>
              <w:rPr>
                <w:rFonts w:eastAsia="Times New Roman"/>
                <w:b/>
                <w:color w:val="000000"/>
              </w:rPr>
              <w:fldChar w:fldCharType="separate"/>
            </w:r>
            <w:r>
              <w:rPr>
                <w:rFonts w:eastAsia="Times New Roman"/>
                <w:b/>
                <w:noProof/>
                <w:color w:val="000000"/>
              </w:rPr>
              <w:t>43.778.374,37 kn</w:t>
            </w:r>
            <w:r>
              <w:rPr>
                <w:rFonts w:eastAsia="Times New Roman"/>
                <w:b/>
                <w:color w:val="000000"/>
              </w:rPr>
              <w:fldChar w:fldCharType="end"/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ind w:right="91"/>
              <w:jc w:val="right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49.252.479,93 kn</w:t>
            </w:r>
            <w:r>
              <w:rPr>
                <w:b/>
              </w:rPr>
              <w:fldChar w:fldCharType="end"/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double"/>
              <w:left w:space="0" w:sz="4" w:color="auto" w:val="double"/>
              <w:bottom w:space="0" w:sz="6" w:color="auto" w:val="sing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II.</w:t>
            </w:r>
          </w:p>
        </w:tc>
        <w:tc>
          <w:tcPr>
            <w:tcW w:type="dxa" w:w="3260"/>
            <w:gridSpan w:val="2"/>
            <w:tcBorders>
              <w:top w:space="0" w:sz="4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Kratkotrajna imovina</w:t>
            </w:r>
          </w:p>
        </w:tc>
        <w:tc>
          <w:tcPr>
            <w:tcW w:type="dxa" w:w="2835"/>
            <w:tcBorders>
              <w:top w:space="0" w:sz="4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right"/>
              <w:rPr>
                <w:rFonts w:cs="Times New Roman" w:eastAsia="SimSun"/>
                <w:b/>
                <w:sz w:val="22"/>
                <w:szCs w:val="22"/>
              </w:rPr>
            </w:pPr>
            <w:r>
              <w:t>Knjigovodstvena vrijednost</w:t>
            </w:r>
          </w:p>
        </w:tc>
        <w:tc>
          <w:tcPr>
            <w:tcW w:type="dxa" w:w="2410"/>
            <w:tcBorders>
              <w:top w:space="0" w:sz="4" w:color="auto" w:val="double"/>
              <w:left w:space="0" w:sz="6" w:color="auto" w:val="single"/>
              <w:bottom w:space="0" w:sz="6" w:color="auto" w:val="sing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ind w:right="91"/>
              <w:rPr>
                <w:rFonts w:cs="Times New Roman" w:eastAsia="SimSun"/>
                <w:b/>
                <w:sz w:val="22"/>
                <w:szCs w:val="22"/>
              </w:rPr>
            </w:pPr>
            <w:r>
              <w:t>Procijenjena vrijednost</w:t>
            </w:r>
          </w:p>
        </w:tc>
      </w:tr>
      <w:tr w:rsidTr="0008733F" w:rsidR="0008733F">
        <w:tc>
          <w:tcPr>
            <w:tcW w:type="dxa" w:w="993"/>
            <w:tcBorders>
              <w:top w:space="0" w:sz="6" w:color="auto" w:val="single"/>
              <w:left w:space="0" w:sz="4" w:color="auto" w:val="double"/>
              <w:bottom w:space="0" w:sz="6" w:color="auto" w:val="sing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1.</w:t>
            </w:r>
          </w:p>
        </w:tc>
        <w:tc>
          <w:tcPr>
            <w:tcW w:type="dxa" w:w="3260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rPr>
                <w:rFonts w:cs="Times New Roman" w:eastAsia="SimSun"/>
                <w:sz w:val="22"/>
                <w:szCs w:val="22"/>
              </w:rPr>
            </w:pPr>
            <w:r>
              <w:t>Potraživanja od kupaca</w:t>
            </w:r>
          </w:p>
        </w:tc>
        <w:tc>
          <w:tcPr>
            <w:tcW w:type="dxa" w:w="28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08733F" w:rsidR="0008733F">
            <w:pPr>
              <w:spacing w:after="0"/>
              <w:ind w:right="34"/>
              <w:jc w:val="right"/>
              <w:rPr>
                <w:rFonts w:cs="Times New Roman" w:eastAsia="Times New Roman"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</w:rPr>
              <w:t xml:space="preserve">20.153.680,94 kn  </w:t>
            </w:r>
          </w:p>
        </w:tc>
        <w:tc>
          <w:tcPr>
            <w:tcW w:type="dxa" w:w="24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08733F" w:rsidR="0008733F">
            <w:pPr>
              <w:spacing w:after="0"/>
              <w:ind w:right="34"/>
              <w:jc w:val="right"/>
              <w:rPr>
                <w:rFonts w:cs="Times New Roman" w:eastAsia="Times New Roman"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</w:rPr>
              <w:t xml:space="preserve">20.153.680,94 kn  </w:t>
            </w:r>
          </w:p>
        </w:tc>
      </w:tr>
      <w:tr w:rsidTr="0008733F" w:rsidR="0008733F">
        <w:tc>
          <w:tcPr>
            <w:tcW w:type="dxa" w:w="993"/>
            <w:tcBorders>
              <w:top w:space="0" w:sz="6" w:color="auto" w:val="single"/>
              <w:left w:space="0" w:sz="4" w:color="auto" w:val="double"/>
              <w:bottom w:space="0" w:sz="4" w:color="auto" w:val="double"/>
              <w:right w:space="0" w:sz="6" w:color="auto" w:val="single"/>
            </w:tcBorders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sz w:val="22"/>
                <w:szCs w:val="22"/>
              </w:rPr>
            </w:pPr>
          </w:p>
        </w:tc>
        <w:tc>
          <w:tcPr>
            <w:tcW w:type="dxa" w:w="3260"/>
            <w:gridSpan w:val="2"/>
            <w:tcBorders>
              <w:top w:space="0" w:sz="6" w:color="auto" w:val="single"/>
              <w:left w:space="0" w:sz="6" w:color="auto" w:val="single"/>
              <w:bottom w:space="0" w:sz="4" w:color="auto" w:val="doub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Ukupna kratkotrajna imovina</w:t>
            </w:r>
          </w:p>
        </w:tc>
        <w:tc>
          <w:tcPr>
            <w:tcW w:type="dxa" w:w="2835"/>
            <w:tcBorders>
              <w:top w:space="0" w:sz="6" w:color="auto" w:val="single"/>
              <w:left w:space="0" w:sz="6" w:color="auto" w:val="single"/>
              <w:bottom w:space="0" w:sz="4" w:color="auto" w:val="doub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34"/>
              <w:jc w:val="right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   20.153.680,94 kn</w:t>
            </w:r>
          </w:p>
        </w:tc>
        <w:tc>
          <w:tcPr>
            <w:tcW w:type="dxa" w:w="2410"/>
            <w:tcBorders>
              <w:top w:space="0" w:sz="6" w:color="auto" w:val="single"/>
              <w:left w:space="0" w:sz="6" w:color="auto" w:val="single"/>
              <w:bottom w:space="0" w:sz="4" w:color="auto" w:val="double"/>
              <w:right w:space="0" w:sz="6" w:color="auto" w:val="single"/>
            </w:tcBorders>
            <w:hideMark/>
          </w:tcPr>
          <w:p w:rsidRDefault="0008733F" w:rsidR="0008733F">
            <w:pPr>
              <w:spacing w:after="80"/>
              <w:ind w:right="34"/>
              <w:jc w:val="right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   20.153.680,94 kn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double"/>
              <w:left w:space="0" w:sz="4" w:color="auto" w:val="doub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jc w:val="center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III.</w:t>
            </w:r>
          </w:p>
        </w:tc>
        <w:tc>
          <w:tcPr>
            <w:tcW w:type="dxa" w:w="3260"/>
            <w:gridSpan w:val="2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ind w:right="91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UKUPNA IMOVINA (I+II)</w:t>
            </w:r>
          </w:p>
        </w:tc>
        <w:tc>
          <w:tcPr>
            <w:tcW w:type="dxa" w:w="2835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0"/>
              <w:jc w:val="right"/>
              <w:rPr>
                <w:rFonts w:cs="Times New Roman" w:eastAsia="Times New Roman"/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63.932.055,31 kn</w:t>
            </w:r>
          </w:p>
        </w:tc>
        <w:tc>
          <w:tcPr>
            <w:tcW w:type="dxa" w:w="2410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double"/>
            </w:tcBorders>
            <w:hideMark/>
          </w:tcPr>
          <w:p w:rsidRDefault="0008733F" w:rsidR="0008733F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          69.406.160,87 kn</w:t>
            </w:r>
          </w:p>
        </w:tc>
      </w:tr>
    </w:tbl>
    <w:p w:rsidRDefault="0008733F" w:rsidP="0008733F" w:rsidR="0008733F">
      <w:pPr>
        <w:ind w:right="91"/>
        <w:rPr>
          <w:rFonts w:eastAsia="SimSun"/>
          <w:b/>
          <w:sz w:val="22"/>
          <w:szCs w:val="22"/>
        </w:rPr>
      </w:pPr>
    </w:p>
    <w:p w:rsidRDefault="0008733F" w:rsidP="0008733F" w:rsidR="0008733F">
      <w:pPr>
        <w:pStyle w:val="Odlomakpopisa"/>
        <w:numPr>
          <w:ilvl w:val="0"/>
          <w:numId w:val="47"/>
        </w:numPr>
        <w:tabs>
          <w:tab w:pos="851" w:val="clear"/>
        </w:tabs>
        <w:spacing w:after="80"/>
        <w:contextualSpacing/>
        <w:jc w:val="left"/>
        <w:rPr>
          <w:b/>
        </w:rPr>
      </w:pPr>
      <w:r>
        <w:rPr>
          <w:b/>
        </w:rPr>
        <w:t>Obveze</w:t>
      </w:r>
    </w:p>
    <w:p w:rsidRDefault="0008733F" w:rsidP="0008733F" w:rsidR="0008733F">
      <w:pPr>
        <w:rPr>
          <w:b/>
        </w:rPr>
      </w:pPr>
    </w:p>
    <w:tbl>
      <w:tblPr>
        <w:tblStyle w:val="Reetkatablice"/>
        <w:tblW w:type="dxa" w:w="9498"/>
        <w:tblInd w:type="dxa" w:w="-459"/>
        <w:tblLook w:val="04A0" w:noVBand="1" w:noHBand="0" w:lastColumn="0" w:firstColumn="1" w:lastRow="0" w:firstRow="1"/>
      </w:tblPr>
      <w:tblGrid>
        <w:gridCol w:w="993"/>
        <w:gridCol w:w="5953"/>
        <w:gridCol w:w="2552"/>
      </w:tblGrid>
      <w:tr w:rsidTr="0008733F" w:rsidR="0008733F">
        <w:tc>
          <w:tcPr>
            <w:tcW w:type="dxa" w:w="993"/>
            <w:tcBorders>
              <w:top w:space="0" w:sz="4" w:color="auto" w:val="double"/>
              <w:left w:space="0" w:sz="4" w:color="auto" w:val="doub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Red.br.</w:t>
            </w:r>
          </w:p>
        </w:tc>
        <w:tc>
          <w:tcPr>
            <w:tcW w:type="dxa" w:w="5953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Opis</w:t>
            </w:r>
          </w:p>
        </w:tc>
        <w:tc>
          <w:tcPr>
            <w:tcW w:type="dxa" w:w="2552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Iznos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1.</w:t>
            </w:r>
          </w:p>
        </w:tc>
        <w:tc>
          <w:tcPr>
            <w:tcW w:type="dxa" w:w="5953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rPr>
                <w:rFonts w:cs="Times New Roman" w:eastAsia="SimSun"/>
                <w:sz w:val="22"/>
                <w:szCs w:val="22"/>
              </w:rPr>
            </w:pPr>
            <w:r>
              <w:t>Troškovi stečajnog postupka</w:t>
            </w:r>
          </w:p>
        </w:tc>
        <w:tc>
          <w:tcPr>
            <w:tcW w:type="dxa" w:w="255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jc w:val="right"/>
              <w:rPr>
                <w:rFonts w:cs="Times New Roman" w:eastAsia="SimSun"/>
                <w:sz w:val="22"/>
                <w:szCs w:val="22"/>
              </w:rPr>
            </w:pPr>
            <w:r>
              <w:t>650.000,00 kn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lastRenderedPageBreak/>
              <w:t>2.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rPr>
                <w:rFonts w:cs="Times New Roman" w:eastAsia="SimSun"/>
                <w:sz w:val="22"/>
                <w:szCs w:val="22"/>
              </w:rPr>
            </w:pPr>
            <w:r>
              <w:t>Ostale obveze stečajne mase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jc w:val="right"/>
              <w:rPr>
                <w:rFonts w:cs="Times New Roman" w:eastAsia="SimSun"/>
                <w:sz w:val="22"/>
                <w:szCs w:val="22"/>
              </w:rPr>
            </w:pPr>
            <w:r>
              <w:t>100.000,00 kn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3.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rPr>
                <w:rFonts w:cs="Times New Roman" w:eastAsia="SimSun"/>
                <w:sz w:val="22"/>
                <w:szCs w:val="22"/>
              </w:rPr>
            </w:pPr>
            <w:r>
              <w:t>Tražbine I. isplatnog reda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jc w:val="right"/>
              <w:rPr>
                <w:rFonts w:cs="Times New Roman" w:eastAsia="Times New Roman"/>
                <w:noProof/>
                <w:color w:val="000000"/>
                <w:sz w:val="22"/>
                <w:szCs w:val="22"/>
              </w:rPr>
            </w:pPr>
            <w:r>
              <w:rPr>
                <w:rFonts w:eastAsia="Times New Roman"/>
                <w:noProof/>
                <w:color w:val="000000"/>
              </w:rPr>
              <w:t>126.747,45 kn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4.</w:t>
            </w:r>
          </w:p>
        </w:tc>
        <w:tc>
          <w:tcPr>
            <w:tcW w:type="dxa" w:w="5953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rPr>
                <w:rFonts w:cs="Times New Roman" w:eastAsia="SimSun"/>
                <w:sz w:val="22"/>
                <w:szCs w:val="22"/>
              </w:rPr>
            </w:pPr>
            <w:r>
              <w:t>Tražbine II. isplatnog reda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jc w:val="right"/>
              <w:rPr>
                <w:rFonts w:cs="Times New Roman" w:eastAsia="Times New Roman"/>
                <w:noProof/>
                <w:color w:val="000000"/>
                <w:sz w:val="22"/>
                <w:szCs w:val="22"/>
              </w:rPr>
            </w:pPr>
            <w:r>
              <w:rPr>
                <w:rFonts w:eastAsia="Times New Roman"/>
                <w:noProof/>
                <w:color w:val="000000"/>
              </w:rPr>
              <w:t>89.957.992,97 kn</w:t>
            </w:r>
          </w:p>
        </w:tc>
      </w:tr>
      <w:tr w:rsidTr="0008733F" w:rsidR="0008733F">
        <w:tc>
          <w:tcPr>
            <w:tcW w:type="dxa" w:w="993"/>
            <w:tcBorders>
              <w:top w:space="0" w:sz="4" w:color="auto" w:val="double"/>
              <w:left w:space="0" w:sz="4" w:color="auto" w:val="doub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jc w:val="center"/>
              <w:rPr>
                <w:rFonts w:cs="Times New Roman" w:eastAsia="SimSun"/>
                <w:sz w:val="22"/>
                <w:szCs w:val="22"/>
              </w:rPr>
            </w:pPr>
            <w:r>
              <w:t>5.</w:t>
            </w:r>
          </w:p>
        </w:tc>
        <w:tc>
          <w:tcPr>
            <w:tcW w:type="dxa" w:w="5953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08733F" w:rsidR="0008733F">
            <w:pPr>
              <w:spacing w:after="80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t>UKUPNE OBVEZE (1+2+3+4)</w:t>
            </w:r>
          </w:p>
        </w:tc>
        <w:tc>
          <w:tcPr>
            <w:tcW w:type="dxa" w:w="2552"/>
            <w:tcBorders>
              <w:top w:space="0" w:sz="4" w:color="auto" w:val="double"/>
              <w:left w:space="0" w:sz="4" w:color="auto" w:val="single"/>
              <w:bottom w:space="0" w:sz="4" w:color="auto" w:val="double"/>
              <w:right w:space="0" w:sz="4" w:color="auto" w:val="double"/>
            </w:tcBorders>
            <w:hideMark/>
          </w:tcPr>
          <w:p w:rsidRDefault="0008733F" w:rsidR="0008733F">
            <w:pPr>
              <w:spacing w:after="80"/>
              <w:jc w:val="right"/>
              <w:rPr>
                <w:rFonts w:cs="Times New Roman" w:eastAsia="SimSun"/>
                <w:b/>
                <w:sz w:val="22"/>
                <w:szCs w:val="22"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90.834.740,42 kn</w:t>
            </w:r>
            <w:r>
              <w:rPr>
                <w:b/>
              </w:rPr>
              <w:fldChar w:fldCharType="end"/>
            </w:r>
          </w:p>
        </w:tc>
      </w:tr>
    </w:tbl>
    <w:p w:rsidRDefault="0008733F" w:rsidP="0008733F" w:rsidR="0008733F">
      <w:pPr>
        <w:rPr>
          <w:rFonts w:eastAsia="SimSun"/>
          <w:b/>
          <w:sz w:val="22"/>
          <w:szCs w:val="22"/>
        </w:rPr>
      </w:pPr>
    </w:p>
    <w:p w:rsidRDefault="0008733F" w:rsidP="0008733F" w:rsidR="0008733F">
      <w:pPr>
        <w:rPr>
          <w:b/>
        </w:rPr>
      </w:pPr>
    </w:p>
    <w:p w:rsidRDefault="0008733F" w:rsidP="0008733F" w:rsidR="0008733F">
      <w:r>
        <w:t>U Osijeku, 22.09.2017. godine</w:t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08733F" w:rsidP="0008733F" w:rsidR="000873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Snježana Sudarević dipl. iur.</w:t>
      </w:r>
    </w:p>
    <w:p w:rsidRDefault="0008733F" w:rsidP="0008733F" w:rsidR="0008733F">
      <w:pPr>
        <w:ind w:right="91"/>
        <w:rPr>
          <w:b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55437F"/>
    <w:multiLevelType w:val="hybridMultilevel"/>
    <w:tmpl w:val="231C3E6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33F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1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St-269/2017-32</izvorni_sadrzaj>
    <derivirana_varijabla naziv="DomainObject.Oznaka_1">St-269/2017-32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FormatedOIB_1">
      <item>Snježana Sudarević, OIB 83030278680</item>
      <item>Petar Velicki</item>
      <item>SUDSKI REGISTAR</item>
      <item>Antun Schmidt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OIB_1">
      <item>Snježana Sudarević, OIB 83030278680,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NazivFormatedOIB_1">
      <item>Snježana Sudarević, OIB 83030278680</item>
      <item>Petar Velicki</item>
      <item>SUDSKI REGISTAR</item>
      <item>Antun Schmidt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St-269/2017-32</izvorni_sadrzaj>
    <derivirana_varijabla naziv="DomainObject.PoslovniBrojDokumenta_1">St-269/2017-32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2F9ED-EAD4-4130-9322-CAB2B9995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934</properties:Characters>
  <properties:Lines>82</properties:Lines>
  <properties:Paragraphs>63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2017-09-27T10:26:00Z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