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95215" w14:paraId="9c95215" w:rsidRDefault="004B0DC2" w:rsidP="004B0DC2" w:rsidR="004B0DC2" w:rsidRPr="0074140E">
      <w:pPr>
        <w15:collapsed w:val="false"/>
      </w:pPr>
      <w:bookmarkStart w:name="_GoBack" w:id="0"/>
      <w:bookmarkEnd w:id="0"/>
      <w:r w:rsidRPr="0074140E">
        <w:t xml:space="preserve">      REPUBLIKA HRVATSKA</w:t>
      </w:r>
    </w:p>
    <w:p w:rsidRDefault="004B0DC2" w:rsidP="004B0DC2" w:rsidR="004B0DC2">
      <w:r w:rsidRPr="0074140E">
        <w:t xml:space="preserve">TRGOVAČKI SUD U VARAŽDINU                      </w:t>
      </w:r>
      <w:r w:rsidR="00143105" w:rsidRPr="0074140E">
        <w:t xml:space="preserve">   </w:t>
      </w:r>
      <w:r w:rsidR="00176F92">
        <w:t xml:space="preserve">           </w:t>
      </w:r>
      <w:r w:rsidR="00176F92">
        <w:tab/>
      </w:r>
      <w:r w:rsidR="00E31307">
        <w:t xml:space="preserve">         </w:t>
      </w:r>
    </w:p>
    <w:p w:rsidRDefault="00870F4E" w:rsidP="004B0DC2" w:rsidR="00870F4E" w:rsidRPr="0074140E"/>
    <w:p w:rsidRDefault="004B0DC2" w:rsidP="00870F4E" w:rsidR="00870F4E">
      <w:pPr>
        <w:jc w:val="center"/>
      </w:pPr>
      <w:r w:rsidRPr="00BC6D4E">
        <w:t>Z A P I S N I K</w:t>
      </w:r>
    </w:p>
    <w:p w:rsidRDefault="00946ECD" w:rsidP="008E23AE" w:rsidR="00B205C1">
      <w:pPr>
        <w:jc w:val="center"/>
      </w:pPr>
      <w:r w:rsidRPr="00BB0001">
        <w:t xml:space="preserve">o </w:t>
      </w:r>
      <w:r w:rsidR="00472763">
        <w:t xml:space="preserve">održanoj skupštini vjerovnika </w:t>
      </w:r>
      <w:r w:rsidR="008E23AE">
        <w:t>u stečajnom postupku</w:t>
      </w:r>
      <w:r w:rsidRPr="0063330E">
        <w:t xml:space="preserve"> </w:t>
      </w:r>
    </w:p>
    <w:p w:rsidRDefault="00946ECD" w:rsidP="00DA7C43" w:rsidR="00DA7C43">
      <w:pPr>
        <w:jc w:val="center"/>
        <w:rPr>
          <w:snapToGrid w:val="false"/>
        </w:rPr>
      </w:pPr>
      <w:r w:rsidRPr="0063330E">
        <w:t xml:space="preserve">nad </w:t>
      </w:r>
      <w:r w:rsidR="008E23AE">
        <w:t xml:space="preserve">stečajnim </w:t>
      </w:r>
      <w:r w:rsidRPr="0063330E">
        <w:t>dužnikom</w:t>
      </w:r>
      <w:r w:rsidR="00DA7C43" w:rsidRPr="00DA7C43">
        <w:rPr>
          <w:snapToGrid w:val="false"/>
        </w:rPr>
        <w:t xml:space="preserve"> </w:t>
      </w:r>
      <w:r w:rsidR="00DA7C43">
        <w:rPr>
          <w:snapToGrid w:val="false"/>
        </w:rPr>
        <w:t xml:space="preserve">TAKA d.o.o. u stečaju, Varaždin, Gospodarska 16, </w:t>
      </w:r>
    </w:p>
    <w:p w:rsidRDefault="00DA7C43" w:rsidP="00DA7C43" w:rsidR="00946ECD" w:rsidRPr="0067432C">
      <w:pPr>
        <w:jc w:val="center"/>
        <w:rPr>
          <w:snapToGrid w:val="false"/>
        </w:rPr>
      </w:pPr>
      <w:r>
        <w:rPr>
          <w:snapToGrid w:val="false"/>
        </w:rPr>
        <w:t>OIB: 82081668178,</w:t>
      </w:r>
      <w:r w:rsidR="0067432C">
        <w:rPr>
          <w:snapToGrid w:val="false"/>
        </w:rPr>
        <w:t xml:space="preserve"> </w:t>
      </w:r>
      <w:r>
        <w:t>26.</w:t>
      </w:r>
      <w:r w:rsidR="00416F1D">
        <w:t xml:space="preserve"> rujna</w:t>
      </w:r>
      <w:r w:rsidR="00DF105B">
        <w:t xml:space="preserve"> 2017.</w:t>
      </w:r>
    </w:p>
    <w:p w:rsidRDefault="00946ECD" w:rsidP="004B0DC2" w:rsidR="00946ECD" w:rsidRPr="00BC6D4E">
      <w:pPr>
        <w:jc w:val="center"/>
      </w:pPr>
    </w:p>
    <w:p w:rsidRDefault="0048343E" w:rsidP="008118D8" w:rsidR="0048343E" w:rsidRPr="0074140E"/>
    <w:p w:rsidRDefault="004B0DC2" w:rsidP="004B0DC2" w:rsidR="00870F4E" w:rsidRPr="0074140E">
      <w:pPr>
        <w:jc w:val="both"/>
      </w:pPr>
      <w:r w:rsidRPr="0074140E">
        <w:t>NAZOČNI OD STRANE SUDA:</w:t>
      </w:r>
    </w:p>
    <w:p w:rsidRDefault="004B0DC2" w:rsidP="004B0DC2" w:rsidR="004B0DC2" w:rsidRPr="0074140E">
      <w:pPr>
        <w:jc w:val="both"/>
      </w:pPr>
      <w:r w:rsidRPr="0074140E">
        <w:t xml:space="preserve">STEČAJNI SUDAC: </w:t>
      </w:r>
      <w:r w:rsidR="005820DB">
        <w:t>Ksenija Flack-Makitan</w:t>
      </w:r>
    </w:p>
    <w:p w:rsidRDefault="004B0DC2" w:rsidP="004B0DC2" w:rsidR="004B0DC2" w:rsidRPr="0074140E">
      <w:pPr>
        <w:jc w:val="both"/>
      </w:pPr>
      <w:r w:rsidRPr="0074140E">
        <w:t xml:space="preserve">ZAPISNIČAR: </w:t>
      </w:r>
      <w:r w:rsidR="005B3C45">
        <w:t>Lea Rogina</w:t>
      </w:r>
    </w:p>
    <w:p w:rsidRDefault="00143105" w:rsidP="004B0DC2" w:rsidR="00143105" w:rsidRPr="0074140E">
      <w:pPr>
        <w:jc w:val="both"/>
      </w:pPr>
    </w:p>
    <w:p w:rsidRDefault="004B0DC2" w:rsidP="004B0DC2" w:rsidR="004B0DC2">
      <w:pPr>
        <w:jc w:val="both"/>
      </w:pPr>
      <w:r w:rsidRPr="0074140E">
        <w:t>Početak u</w:t>
      </w:r>
      <w:r w:rsidR="0067432C">
        <w:t xml:space="preserve"> </w:t>
      </w:r>
      <w:r w:rsidR="00DA7C43">
        <w:t xml:space="preserve">12,00 </w:t>
      </w:r>
      <w:r w:rsidR="0058108C">
        <w:t>sati.</w:t>
      </w:r>
    </w:p>
    <w:p w:rsidRDefault="00946ECD" w:rsidP="00946ECD" w:rsidR="00946ECD"/>
    <w:p w:rsidRDefault="00946ECD" w:rsidP="00946ECD" w:rsidR="0005791B">
      <w:pPr>
        <w:rPr>
          <w:u w:val="single"/>
        </w:rPr>
      </w:pPr>
      <w:r w:rsidRPr="00946ECD">
        <w:rPr>
          <w:u w:val="single"/>
        </w:rPr>
        <w:t>PRISUTNI:</w:t>
      </w:r>
    </w:p>
    <w:p w:rsidRDefault="00A72161" w:rsidP="00946ECD" w:rsidR="00BD712F">
      <w:r>
        <w:t>-S</w:t>
      </w:r>
      <w:r w:rsidR="00DA7C43">
        <w:t>tečajni</w:t>
      </w:r>
      <w:r w:rsidR="00481080">
        <w:t xml:space="preserve"> upravitelj</w:t>
      </w:r>
      <w:r w:rsidR="00DA7C43">
        <w:t xml:space="preserve"> Daniel Deković</w:t>
      </w:r>
    </w:p>
    <w:p w:rsidRDefault="00493624" w:rsidP="00946ECD" w:rsidR="00493624">
      <w:r>
        <w:t>-Marijana Brlenić, stečajna vjerovnica</w:t>
      </w:r>
    </w:p>
    <w:p w:rsidRDefault="00732526" w:rsidP="00946ECD" w:rsidR="00732526" w:rsidRPr="005B3C45">
      <w:r>
        <w:t>-Mirjana Rinkovec, stečajna vjerovnica</w:t>
      </w:r>
    </w:p>
    <w:p w:rsidRDefault="00C17487" w:rsidP="00946ECD" w:rsidR="00C17487">
      <w:pPr>
        <w:jc w:val="both"/>
      </w:pPr>
      <w:r w:rsidRPr="006C0AF7">
        <w:t>-</w:t>
      </w:r>
      <w:r w:rsidR="00493624">
        <w:t>zastupnik Republike Hrvatske, zamjenik</w:t>
      </w:r>
      <w:r w:rsidR="008B4196" w:rsidRPr="006C0AF7">
        <w:t xml:space="preserve"> Županijskog državnog odvjetnika u Varaždinu, Građansko-upravni odjel, </w:t>
      </w:r>
      <w:r w:rsidR="00493624">
        <w:t>Tomo Božić</w:t>
      </w:r>
    </w:p>
    <w:p w:rsidRDefault="0067432C" w:rsidP="002A26EC" w:rsidR="0067432C">
      <w:pPr>
        <w:jc w:val="both"/>
      </w:pPr>
    </w:p>
    <w:p w:rsidRDefault="00DA7C43" w:rsidP="002A26EC" w:rsidR="00DA7C43">
      <w:pPr>
        <w:jc w:val="both"/>
      </w:pPr>
    </w:p>
    <w:p w:rsidRDefault="000C4851" w:rsidP="002A26EC" w:rsidR="000C4851">
      <w:pPr>
        <w:jc w:val="both"/>
      </w:pPr>
    </w:p>
    <w:p w:rsidRDefault="008A776A" w:rsidP="002A26EC" w:rsidR="00472763">
      <w:pPr>
        <w:jc w:val="both"/>
      </w:pPr>
      <w:r>
        <w:t xml:space="preserve"> </w:t>
      </w:r>
      <w:r w:rsidR="00803610">
        <w:tab/>
      </w:r>
      <w:r w:rsidR="00472763">
        <w:t>Današnja skupština vjerovnika sazvana je</w:t>
      </w:r>
      <w:r w:rsidR="00023822">
        <w:t xml:space="preserve"> raspravnim</w:t>
      </w:r>
      <w:r w:rsidR="00472763">
        <w:t xml:space="preserve"> rješenjem ovoga suda od</w:t>
      </w:r>
      <w:r w:rsidR="00DA7C43">
        <w:t xml:space="preserve"> 14. lipnja 2017</w:t>
      </w:r>
      <w:r w:rsidR="00DF105B">
        <w:t xml:space="preserve">., </w:t>
      </w:r>
      <w:r w:rsidR="00472763">
        <w:t>poslovni broj St-</w:t>
      </w:r>
      <w:r w:rsidR="00DA7C43">
        <w:t xml:space="preserve">1194/15-28 </w:t>
      </w:r>
      <w:r w:rsidR="00472763">
        <w:t>te objavljena na e-Oglasnoj ploči suda od</w:t>
      </w:r>
      <w:r w:rsidR="006C67BB">
        <w:t xml:space="preserve"> </w:t>
      </w:r>
      <w:r w:rsidR="00DA7C43">
        <w:t xml:space="preserve">14. lipnja </w:t>
      </w:r>
      <w:r w:rsidR="006D0F0A">
        <w:t>2</w:t>
      </w:r>
      <w:r w:rsidR="00023822">
        <w:t>017.</w:t>
      </w:r>
      <w:r w:rsidR="000F64CC">
        <w:t xml:space="preserve"> </w:t>
      </w:r>
      <w:r w:rsidR="00472763">
        <w:t xml:space="preserve">do </w:t>
      </w:r>
      <w:r w:rsidR="00DA7C43">
        <w:t xml:space="preserve">25. rujna </w:t>
      </w:r>
      <w:r w:rsidR="006C67BB">
        <w:t>2017</w:t>
      </w:r>
      <w:r w:rsidR="00472763">
        <w:t>., sa sljedećim dnevnim redom</w:t>
      </w:r>
      <w:r w:rsidR="00803610">
        <w:t>:</w:t>
      </w:r>
    </w:p>
    <w:p w:rsidRDefault="00DA7C43" w:rsidP="00DF105B" w:rsidR="00DA7C43">
      <w:pPr>
        <w:jc w:val="both"/>
      </w:pPr>
    </w:p>
    <w:p w:rsidRDefault="00DA7C43" w:rsidP="00DA7C43" w:rsidR="00DA7C43">
      <w:pPr>
        <w:widowControl w:val="false"/>
        <w:numPr>
          <w:ilvl w:val="0"/>
          <w:numId w:val="39"/>
        </w:numPr>
        <w:jc w:val="both"/>
      </w:pPr>
      <w:r>
        <w:t>Upoznavanje stečajnih vjerovnika sa mogućnošću sačinjenja stečajnog plana,</w:t>
      </w:r>
    </w:p>
    <w:p w:rsidRDefault="00DA7C43" w:rsidP="00DA7C43" w:rsidR="00DA7C43" w:rsidRPr="00E41922"/>
    <w:p w:rsidRDefault="00DA7C43" w:rsidP="00DA7C43" w:rsidR="00DA7C43" w:rsidRPr="003956F1">
      <w:pPr>
        <w:widowControl w:val="false"/>
        <w:numPr>
          <w:ilvl w:val="0"/>
          <w:numId w:val="39"/>
        </w:numPr>
        <w:jc w:val="both"/>
      </w:pPr>
      <w:r>
        <w:t>Razno.</w:t>
      </w:r>
    </w:p>
    <w:p w:rsidRDefault="00416F1D" w:rsidP="00DF105B" w:rsidR="00416F1D">
      <w:pPr>
        <w:jc w:val="both"/>
      </w:pPr>
    </w:p>
    <w:p w:rsidRDefault="00493624" w:rsidP="00DF105B" w:rsidR="00493624">
      <w:pPr>
        <w:jc w:val="both"/>
      </w:pPr>
    </w:p>
    <w:p w:rsidRDefault="00493624" w:rsidP="00493624" w:rsidR="00493624">
      <w:pPr>
        <w:ind w:firstLine="708"/>
        <w:jc w:val="both"/>
      </w:pPr>
      <w:r>
        <w:t>Konstatira se da je kompletna dokumentacija s lista 120-155 spisa koja se odnosi na prijedlog stečajnog plana oglašena na e-Oglasnoj ploči suda 13. rujna 2017. radi upoznavanja vjerovnika sa istim.</w:t>
      </w:r>
    </w:p>
    <w:p w:rsidRDefault="00493624" w:rsidP="00493624" w:rsidR="00493624">
      <w:pPr>
        <w:ind w:firstLine="708"/>
        <w:jc w:val="both"/>
      </w:pPr>
    </w:p>
    <w:p w:rsidRDefault="00493624" w:rsidP="00DF105B" w:rsidR="00493624">
      <w:pPr>
        <w:jc w:val="both"/>
      </w:pPr>
      <w:r>
        <w:tab/>
        <w:t>Uručuje se primjerak tih isprava zastupniku Republike Hrvatske, na njegovo traženje.</w:t>
      </w:r>
    </w:p>
    <w:p w:rsidRDefault="00493624" w:rsidP="00DF105B" w:rsidR="00493624">
      <w:pPr>
        <w:jc w:val="both"/>
      </w:pPr>
    </w:p>
    <w:p w:rsidRDefault="00DA7C43" w:rsidP="00DA7C43" w:rsidR="00DA7C43">
      <w:pPr>
        <w:jc w:val="both"/>
      </w:pPr>
    </w:p>
    <w:p w:rsidRDefault="00DA7C43" w:rsidP="00DA7C43" w:rsidR="00DA7C43">
      <w:pPr>
        <w:widowControl w:val="false"/>
        <w:ind w:firstLine="708"/>
        <w:jc w:val="both"/>
      </w:pPr>
      <w:r>
        <w:t>Pod točkom I. dnevnog reda - Upoznavanje stečajnih vjerovnika sa mogućnošću sačinjenja stečajnog plana, stečajni upravitelj izjavljuje: "</w:t>
      </w:r>
    </w:p>
    <w:p w:rsidRDefault="00DA7C43" w:rsidP="00DA7C43" w:rsidR="00DA7C43">
      <w:pPr>
        <w:jc w:val="both"/>
      </w:pPr>
    </w:p>
    <w:p w:rsidRDefault="00162E23" w:rsidP="00162E23" w:rsidR="00162E23">
      <w:pPr>
        <w:ind w:left="709"/>
        <w:jc w:val="both"/>
        <w:rPr>
          <w:b/>
          <w:bCs/>
        </w:rPr>
      </w:pPr>
      <w:r>
        <w:rPr>
          <w:b/>
          <w:bCs/>
        </w:rPr>
        <w:t>Podaci o pravnim odnosima stečajnog dužnika</w:t>
      </w:r>
    </w:p>
    <w:p w:rsidRDefault="00162E23" w:rsidP="00162E23" w:rsidR="00162E23">
      <w:pPr>
        <w:jc w:val="both"/>
        <w:rPr>
          <w:b/>
          <w:bCs/>
        </w:rPr>
      </w:pPr>
    </w:p>
    <w:p w:rsidRDefault="00162E23" w:rsidP="00162E23" w:rsidR="00162E23">
      <w:pPr>
        <w:numPr>
          <w:ilvl w:val="0"/>
          <w:numId w:val="41"/>
        </w:numPr>
        <w:jc w:val="both"/>
        <w:rPr>
          <w:i/>
          <w:iCs/>
        </w:rPr>
      </w:pPr>
      <w:r>
        <w:rPr>
          <w:i/>
          <w:iCs/>
        </w:rPr>
        <w:t>Nekretnine</w:t>
      </w:r>
    </w:p>
    <w:p w:rsidRDefault="00162E23" w:rsidP="00162E23" w:rsidR="00162E23">
      <w:pPr>
        <w:jc w:val="both"/>
        <w:rPr>
          <w:i/>
          <w:iCs/>
        </w:rPr>
      </w:pPr>
    </w:p>
    <w:p w:rsidRDefault="00162E23" w:rsidP="00162E23" w:rsidR="00162E23">
      <w:pPr>
        <w:jc w:val="both"/>
      </w:pPr>
      <w:r>
        <w:t>Dužnik u trenutku otvaranja stečajnog postupka nije bio vlasnik nekretnina niti je iste stekao u tijeku trajanja stečajnog postupka.</w:t>
      </w:r>
    </w:p>
    <w:p w:rsidRDefault="00162E23" w:rsidP="00162E23" w:rsidR="00162E23">
      <w:pPr>
        <w:jc w:val="both"/>
      </w:pPr>
    </w:p>
    <w:p w:rsidRDefault="00493624" w:rsidP="00162E23" w:rsidR="00493624">
      <w:pPr>
        <w:jc w:val="both"/>
      </w:pPr>
    </w:p>
    <w:p w:rsidRDefault="00162E23" w:rsidP="00162E23" w:rsidR="00162E23">
      <w:pPr>
        <w:numPr>
          <w:ilvl w:val="0"/>
          <w:numId w:val="41"/>
        </w:numPr>
        <w:jc w:val="both"/>
        <w:rPr>
          <w:i/>
          <w:iCs/>
        </w:rPr>
      </w:pPr>
      <w:r>
        <w:rPr>
          <w:i/>
          <w:iCs/>
        </w:rPr>
        <w:lastRenderedPageBreak/>
        <w:t>Pokretnine</w:t>
      </w:r>
    </w:p>
    <w:p w:rsidRDefault="00162E23" w:rsidP="00162E23" w:rsidR="00162E23">
      <w:pPr>
        <w:jc w:val="both"/>
        <w:rPr>
          <w:i/>
          <w:iCs/>
        </w:rPr>
      </w:pPr>
    </w:p>
    <w:p w:rsidRDefault="00162E23" w:rsidP="00162E23" w:rsidR="00162E23">
      <w:pPr>
        <w:jc w:val="both"/>
      </w:pPr>
      <w:r>
        <w:t xml:space="preserve">U trenutku preuzimanja dužnosti stečajnog upravitelja društvo je, po prethodnom stečajnom upravitelju, unovčilo pokretnu imovinu koja je u naravi predstavljala zalihu dužnika i ostvarilo ukupan prihod od 6.086,25. kn. Nakon što je dužnost preuzeo stečajni upravitelj Daniel Deković društvo nije unovčavalo svoju pokretnu imovinu. Pokretna imovina društva se sastoji od uredske opreme nabavne knjigovodstvene vrijednosti 14.719,20 kn. koja je djelomično amortizirana i zalihe trgovačke robe </w:t>
      </w:r>
    </w:p>
    <w:p w:rsidRDefault="00162E23" w:rsidP="00162E23" w:rsidR="00162E23">
      <w:pPr>
        <w:jc w:val="both"/>
      </w:pPr>
      <w:r>
        <w:t>Zaliha trgovačke robe je u bilanci društva izražena pod kontom 6. Ukupna knjigovodstvena vrijednost zalihe iznosi 69.004,79 kn. S obzirom da knjigovodstvenu vrijednost zalihe u pretežitom dijelu čini roba proizvedena za poznatog naručitelja istu je vrlo teško unovčiti u stečajnom postupku odnosno zaliha robe bi se mogla unovčiti po simboličnim cijenama.</w:t>
      </w:r>
    </w:p>
    <w:p w:rsidRDefault="00162E23" w:rsidP="00162E23" w:rsidR="00162E23">
      <w:pPr>
        <w:jc w:val="both"/>
      </w:pPr>
      <w:r>
        <w:t xml:space="preserve">Nakon otvaranja stečajnog postupka naručitelj, Hrvatske željeznice, je istu robu naručio od drugog dobavljača tako da društvo više nije moglo unovčiti robu. Za očekivati je da bi unovčenje ove robe bilo neznatno u odnosu na knjigovodstvenu vrijednost jer je naručitelj robe obveznik javne nabave, a društvo, koje se još uvijek nalazi u stečaju ne može sudjelovati u postupku javne nabave. Stoga je za očekivati da, ukoliko bi vjerovnici prihvatili stečajni plan, društvo unovči ovu robu po tržišnim cijenama putem nekog novog natječaja koje naručitelj barem jednom godišnje raspisuje. Unovčenje trgovačke robe bi bilo puno povoljnije za dužnikove vjerovnike ukoliko bi se ista unovčavala nakon   prihvaćanja stečajnog plana nego ako bi se unovčenje izvršilo za vrijeme trajanja stečajnog postupka. </w:t>
      </w:r>
    </w:p>
    <w:p w:rsidRDefault="00162E23" w:rsidP="00162E23" w:rsidR="00162E23">
      <w:pPr>
        <w:jc w:val="both"/>
      </w:pPr>
    </w:p>
    <w:p w:rsidRDefault="00162E23" w:rsidP="00162E23" w:rsidR="00162E23">
      <w:pPr>
        <w:numPr>
          <w:ilvl w:val="0"/>
          <w:numId w:val="41"/>
        </w:numPr>
        <w:jc w:val="both"/>
        <w:rPr>
          <w:i/>
          <w:iCs/>
        </w:rPr>
      </w:pPr>
      <w:r>
        <w:rPr>
          <w:i/>
          <w:iCs/>
        </w:rPr>
        <w:t>Tražbine i druga prava</w:t>
      </w:r>
    </w:p>
    <w:p w:rsidRDefault="00162E23" w:rsidP="00162E23" w:rsidR="00162E23">
      <w:pPr>
        <w:jc w:val="both"/>
        <w:rPr>
          <w:i/>
          <w:iCs/>
        </w:rPr>
      </w:pPr>
    </w:p>
    <w:p w:rsidRDefault="00162E23" w:rsidP="00162E23" w:rsidR="00162E23">
      <w:pPr>
        <w:jc w:val="both"/>
      </w:pPr>
      <w:r>
        <w:t>Dužnik ima utvrđenu tražbinu u stečajnom postupku koji se vodi pred Trgovačkim sudom u Varaždinu pod posl. br. St – 935/2016 prema trgovačkom društvu Element d.o.o. u stečaju u iznosu od 336.817,31 kn.</w:t>
      </w:r>
    </w:p>
    <w:p w:rsidRDefault="00162E23" w:rsidP="00162E23" w:rsidR="00162E23">
      <w:pPr>
        <w:jc w:val="both"/>
      </w:pPr>
    </w:p>
    <w:p w:rsidRDefault="00162E23" w:rsidP="00162E23" w:rsidR="00162E23">
      <w:pPr>
        <w:numPr>
          <w:ilvl w:val="0"/>
          <w:numId w:val="41"/>
        </w:numPr>
        <w:jc w:val="both"/>
        <w:rPr>
          <w:i/>
          <w:iCs/>
        </w:rPr>
      </w:pPr>
      <w:r>
        <w:rPr>
          <w:i/>
          <w:iCs/>
        </w:rPr>
        <w:t>Osobna i stvarno pravna sredstva osiguranja tražbina čiji je obveznik dužnikom</w:t>
      </w:r>
    </w:p>
    <w:p w:rsidRDefault="00162E23" w:rsidP="00162E23" w:rsidR="00162E23">
      <w:pPr>
        <w:jc w:val="both"/>
        <w:rPr>
          <w:i/>
          <w:iCs/>
        </w:rPr>
      </w:pPr>
    </w:p>
    <w:p w:rsidRDefault="00162E23" w:rsidP="00162E23" w:rsidR="00162E23">
      <w:pPr>
        <w:jc w:val="both"/>
      </w:pPr>
      <w:r>
        <w:t>Stečajni dužnik nije jamac za tuđe obveze niti na imovini dužnika postoje stvarno pravna osiguranja tražbina vjerovnika.</w:t>
      </w:r>
    </w:p>
    <w:p w:rsidRDefault="00162E23" w:rsidP="00162E23" w:rsidR="00162E23">
      <w:pPr>
        <w:jc w:val="both"/>
      </w:pPr>
    </w:p>
    <w:p w:rsidRDefault="00162E23" w:rsidP="00162E23" w:rsidR="00162E23">
      <w:pPr>
        <w:numPr>
          <w:ilvl w:val="0"/>
          <w:numId w:val="41"/>
        </w:numPr>
        <w:jc w:val="both"/>
        <w:rPr>
          <w:i/>
          <w:iCs/>
        </w:rPr>
      </w:pPr>
      <w:r>
        <w:rPr>
          <w:i/>
          <w:iCs/>
        </w:rPr>
        <w:t>Postojeći ugovori stečajnog dužnika koje je on sklopio prije otvaranja stečajnog postupka</w:t>
      </w:r>
    </w:p>
    <w:p w:rsidRDefault="00162E23" w:rsidP="00162E23" w:rsidR="00162E23">
      <w:pPr>
        <w:jc w:val="both"/>
        <w:rPr>
          <w:i/>
          <w:iCs/>
        </w:rPr>
      </w:pPr>
    </w:p>
    <w:p w:rsidRDefault="00162E23" w:rsidP="00162E23" w:rsidR="00162E23">
      <w:pPr>
        <w:ind w:left="709"/>
        <w:jc w:val="both"/>
        <w:rPr>
          <w:i/>
          <w:iCs/>
        </w:rPr>
      </w:pPr>
      <w:r>
        <w:rPr>
          <w:i/>
          <w:iCs/>
        </w:rPr>
        <w:t>a) Ugovor o zakupu</w:t>
      </w:r>
    </w:p>
    <w:p w:rsidRDefault="00162E23" w:rsidP="00162E23" w:rsidR="00162E23">
      <w:pPr>
        <w:jc w:val="both"/>
        <w:rPr>
          <w:i/>
          <w:iCs/>
        </w:rPr>
      </w:pPr>
    </w:p>
    <w:p w:rsidRDefault="00162E23" w:rsidP="00162E23" w:rsidR="00162E23">
      <w:pPr>
        <w:jc w:val="both"/>
      </w:pPr>
      <w:r>
        <w:t>Stečajni dužnik je u trenutku otvaranja stečajnog postupka imao sklopljen ugovor o zakupu poslovnog prostora na adresi Gospodarska 16., Varaždin. Visina zakupnine je bila ugovorena u iznosu od 1.500,00 kn. sa trgovačkim društvom Element d.o.o.. Stečajni upravitelj je nakon općeg ispitnog ročišta raskinuo predmetni ugovor o zakupu i sklopio novi sa istim zakupodavcem. Ugovor je sklopljen na rok od 6. mjeseci pri čemu je dužnik plaćao zakupninu u iznosu od 100,00 kn. mjesečno. U slučaju prihvata ovoga stečajnog plana, sklopio bi se ugovor o zakupu sa društvom CAD Studio j.d.o.o.</w:t>
      </w:r>
    </w:p>
    <w:p w:rsidRDefault="00493624" w:rsidP="00162E23" w:rsidR="00493624">
      <w:pPr>
        <w:jc w:val="both"/>
      </w:pPr>
    </w:p>
    <w:p w:rsidRDefault="00162E23" w:rsidP="00162E23" w:rsidR="00162E23">
      <w:pPr>
        <w:ind w:left="709"/>
        <w:jc w:val="both"/>
        <w:rPr>
          <w:i/>
          <w:iCs/>
        </w:rPr>
      </w:pPr>
      <w:r>
        <w:rPr>
          <w:i/>
          <w:iCs/>
        </w:rPr>
        <w:t>b) Ugovori o radu</w:t>
      </w:r>
    </w:p>
    <w:p w:rsidRDefault="00162E23" w:rsidP="00162E23" w:rsidR="00162E23">
      <w:pPr>
        <w:ind w:left="709"/>
        <w:jc w:val="both"/>
        <w:rPr>
          <w:i/>
          <w:iCs/>
        </w:rPr>
      </w:pPr>
    </w:p>
    <w:p w:rsidRDefault="00162E23" w:rsidP="00162E23" w:rsidR="00162E23">
      <w:pPr>
        <w:jc w:val="both"/>
      </w:pPr>
      <w:r>
        <w:t xml:space="preserve">U trenutku otvaranja stečajnog postupka u društvu je bilo zaposleno četvero radnika. Prethodni stečajni upravitelj je otkazao ugovore o radu zaposleniku Darku Plukavcu, Mirjani </w:t>
      </w:r>
      <w:r>
        <w:lastRenderedPageBreak/>
        <w:t xml:space="preserve">Rinkovec i Jasmini Surjak. Radnici su odradili otkazni rok te je društvo podmirilo njihove plaće tijekom otkaznog roka. U društvu je ostala zaposlena gđa. Marjana Brlenić u nepunom radnom vremenu. Ukoliko bi bio prihvaćen stečajni plan u društvu bi i nadalje ostala zaposlena gđa. Brlenić. Društvo je u dosadašnjem tijeku stečajnog postupka podmirilo jednu minimalnu plaću radnicima iz ostvarenih prihoda. </w:t>
      </w:r>
    </w:p>
    <w:p w:rsidRDefault="00162E23" w:rsidP="00162E23" w:rsidR="00162E23">
      <w:pPr>
        <w:jc w:val="both"/>
        <w:rPr>
          <w:i/>
          <w:iCs/>
        </w:rPr>
      </w:pPr>
    </w:p>
    <w:p w:rsidRDefault="00162E23" w:rsidP="00162E23" w:rsidR="00162E23">
      <w:pPr>
        <w:numPr>
          <w:ilvl w:val="0"/>
          <w:numId w:val="41"/>
        </w:numPr>
        <w:rPr>
          <w:i/>
          <w:iCs/>
        </w:rPr>
      </w:pPr>
      <w:r>
        <w:rPr>
          <w:i/>
          <w:iCs/>
        </w:rPr>
        <w:t>Pravne radnje stečajnog upravitelja na osnovi kojih je nastala obveza za stečajnu masu</w:t>
      </w:r>
    </w:p>
    <w:p w:rsidRDefault="00162E23" w:rsidP="00162E23" w:rsidR="00162E23">
      <w:pPr>
        <w:rPr>
          <w:i/>
          <w:iCs/>
        </w:rPr>
      </w:pPr>
    </w:p>
    <w:p w:rsidRDefault="00162E23" w:rsidP="00162E23" w:rsidR="00162E23">
      <w:pPr>
        <w:jc w:val="both"/>
      </w:pPr>
      <w:r>
        <w:t>Stečajni upravitelj donio odluku da društvo sklopi ugovor o radu na određeno vrijeme sa gđom. Suzana Štrlek – Miladinović. Ugovor o radu je sklopljen na određeno vrijeme, na rok od šest mjeseci, a radnik započeo sa radom 01. studenog 2016. godine. Po isteku roka od šest mjeseci ugovor o radu je produžen na daljnji rok od šest mjeseci. Ukoliko bi se prihvatio stečajni plan društvo bi gđi. Štrlek – Miladinović ponudilo ugovor o radu na neodređeno vrijeme. Ugovorena visina plaće iznosi u brutu 6.155,68 kn. mjesečno. Društvo nema nepodmirenih obveza prema gđi. Štrlek – Miladinović.</w:t>
      </w:r>
    </w:p>
    <w:p w:rsidRDefault="00162E23" w:rsidP="00162E23" w:rsidR="00162E23">
      <w:pPr>
        <w:jc w:val="both"/>
      </w:pPr>
      <w:r>
        <w:t>U radnom odnosu u društvu se nalazi i gđa. Marjana Brlenić koja ima sklopljen ugovor o radu u nepunom radnom vremenu te joj društvo podmiruje mjesečni iznos plaće u iznosu od 3.085,94 kn. bruto.</w:t>
      </w:r>
    </w:p>
    <w:p w:rsidRDefault="00162E23" w:rsidP="00162E23" w:rsidR="00162E23">
      <w:pPr>
        <w:jc w:val="both"/>
      </w:pPr>
      <w:r>
        <w:t xml:space="preserve">Društvo također podmiruje zaposlenicima putne troškove u iznosu od 385,00 kn. mjesečno </w:t>
      </w:r>
    </w:p>
    <w:p w:rsidRDefault="00162E23" w:rsidP="00162E23" w:rsidR="00162E23">
      <w:pPr>
        <w:jc w:val="both"/>
      </w:pPr>
      <w:r>
        <w:t>Sklopljen je novi ugovor o zakupu poslovnog prostora sa društvom Element d.o.o. na rok od šest mjeseci za visinu mjesečne zakupnine u iznosu od 100,00 kn. Zakupnina je podmirena.</w:t>
      </w:r>
    </w:p>
    <w:p w:rsidRDefault="00162E23" w:rsidP="00162E23" w:rsidR="00162E23">
      <w:pPr>
        <w:rPr>
          <w:i/>
          <w:iCs/>
        </w:rPr>
      </w:pPr>
    </w:p>
    <w:p w:rsidRDefault="00162E23" w:rsidP="00162E23" w:rsidR="00162E23">
      <w:pPr>
        <w:numPr>
          <w:ilvl w:val="0"/>
          <w:numId w:val="41"/>
        </w:numPr>
        <w:rPr>
          <w:i/>
          <w:iCs/>
        </w:rPr>
      </w:pPr>
      <w:r>
        <w:rPr>
          <w:i/>
          <w:iCs/>
        </w:rPr>
        <w:t>Opis poreznih odnosa stečajnog dužnika</w:t>
      </w:r>
    </w:p>
    <w:p w:rsidRDefault="00162E23" w:rsidP="00162E23" w:rsidR="00162E23">
      <w:pPr>
        <w:rPr>
          <w:i/>
          <w:iCs/>
        </w:rPr>
      </w:pPr>
    </w:p>
    <w:p w:rsidRDefault="00162E23" w:rsidP="00162E23" w:rsidR="00162E23">
      <w:pPr>
        <w:jc w:val="both"/>
      </w:pPr>
      <w:r>
        <w:t>Dužnik ima utvrđenu tražbinu u iznosu od 336.817,31 kn. u stečajnom postupku koji se provodi nad društvom Element d.o.o. u stečaju. S obzirom da je imovina društva Element d.o.o. u stečaju pod zalogom, ne očekuje se naplata u ovom stečajnom postupku. Ukoliko bi stečajni plan bio prihvaćen društvo planira utvrđenu tražbinu koristiti kao porezno priznati rashod. Ukupan iznos utvrđenih tražbina društva TAKA d.o.o. u stečaju iznosi 295.358,94 kn., a od čega je društvo tijekom stečajnog postupka podmirilo dio svojih obveza prema radnicima.</w:t>
      </w:r>
    </w:p>
    <w:p w:rsidRDefault="00162E23" w:rsidP="00162E23" w:rsidR="00162E23"/>
    <w:p w:rsidRDefault="00162E23" w:rsidP="00162E23" w:rsidR="00162E23">
      <w:pPr>
        <w:numPr>
          <w:ilvl w:val="0"/>
          <w:numId w:val="41"/>
        </w:numPr>
        <w:rPr>
          <w:i/>
          <w:iCs/>
        </w:rPr>
      </w:pPr>
      <w:r>
        <w:rPr>
          <w:i/>
          <w:iCs/>
        </w:rPr>
        <w:t>Postupci pred sudovima odnosno drugim organima koji se odnose na stečajnu masu</w:t>
      </w:r>
    </w:p>
    <w:p w:rsidRDefault="00162E23" w:rsidP="00162E23" w:rsidR="00162E23">
      <w:pPr>
        <w:rPr>
          <w:i/>
          <w:iCs/>
        </w:rPr>
      </w:pPr>
    </w:p>
    <w:p w:rsidRDefault="00162E23" w:rsidP="00162E23" w:rsidR="00162E23">
      <w:pPr>
        <w:jc w:val="both"/>
      </w:pPr>
      <w:r>
        <w:t>Nakon općeg ispitnog ročišta stečajni upravitelj je pozvan na preuzimanje parnice koja se vodi pred Trgovačkim sudom u Varaždinu pod posl. br. Povr – 173/2014 tužitelja Inkaso d.o.o., L. Jagera 5., 31 000 Osijek OIB: 82925459345. Stečajni upravitelj se je očitovao na primljeni podnesak suda, obavijestio sud da tužitelj ima utvrđenu tražbinu u ovome stečajnom postupku koja mu je priznata u cijelosti, te predložio sudu da odbaci tužbu jer vjerovnik može jedino u stečajnom postupku ostvarivati imovinsko – pravni zahtjev prema dužniku. Stečajni upravitelj nije zaprimio daljnju odluku Trgovačkog suda u Varaždinu.</w:t>
      </w:r>
    </w:p>
    <w:p w:rsidRDefault="00162E23" w:rsidP="00162E23" w:rsidR="00162E23">
      <w:pPr>
        <w:jc w:val="both"/>
      </w:pPr>
      <w:r>
        <w:t xml:space="preserve">Protiv prednika stečajnog dužnika u trenutku otvaranja stečajnog postupka je bio u tijeku prekršajni postupak radi povrede tuđeg autorskog prava. Prekršajni sud u Varaždinu je donio presudu pod posl. br. G – 1992/2013 kojom je stečajni dužnik osuđen radi povrede tuđeg autorskog prava te oslobođen od kazne. </w:t>
      </w:r>
    </w:p>
    <w:p w:rsidRDefault="00162E23" w:rsidP="00162E23" w:rsidR="00162E23">
      <w:pPr>
        <w:jc w:val="both"/>
      </w:pPr>
      <w:r>
        <w:t>Daljnjih postupaka pred sudovima ili drugim nadležnim tijelima koji bi mogli stvoriti obveze stečajne mase nema.</w:t>
      </w:r>
    </w:p>
    <w:p w:rsidRDefault="00162E23" w:rsidP="00162E23" w:rsidR="00162E23">
      <w:pPr>
        <w:jc w:val="both"/>
      </w:pPr>
    </w:p>
    <w:p w:rsidRDefault="00493624" w:rsidP="00162E23" w:rsidR="00493624">
      <w:pPr>
        <w:jc w:val="both"/>
      </w:pPr>
    </w:p>
    <w:p w:rsidRDefault="00162E23" w:rsidP="00162E23" w:rsidR="00162E23">
      <w:pPr>
        <w:ind w:left="709"/>
        <w:jc w:val="both"/>
        <w:rPr>
          <w:b/>
          <w:bCs/>
        </w:rPr>
      </w:pPr>
      <w:r>
        <w:rPr>
          <w:b/>
          <w:bCs/>
        </w:rPr>
        <w:lastRenderedPageBreak/>
        <w:t>Podaci o gospodarskim i ekonomskim odnosima.</w:t>
      </w:r>
    </w:p>
    <w:p w:rsidRDefault="00162E23" w:rsidP="00162E23" w:rsidR="00162E23">
      <w:pPr>
        <w:rPr>
          <w:i/>
          <w:iCs/>
        </w:rPr>
      </w:pPr>
    </w:p>
    <w:p w:rsidRDefault="00162E23" w:rsidP="00162E23" w:rsidR="00162E23">
      <w:pPr>
        <w:numPr>
          <w:ilvl w:val="0"/>
          <w:numId w:val="45"/>
        </w:numPr>
        <w:rPr>
          <w:i/>
          <w:iCs/>
        </w:rPr>
      </w:pPr>
      <w:r>
        <w:rPr>
          <w:i/>
          <w:iCs/>
        </w:rPr>
        <w:t>Položaj dužnika do otvaranja stečaja, konkurencija, razlozi insolventnosti i krize</w:t>
      </w:r>
    </w:p>
    <w:p w:rsidRDefault="00162E23" w:rsidP="00162E23" w:rsidR="00162E23">
      <w:pPr>
        <w:rPr>
          <w:i/>
          <w:iCs/>
        </w:rPr>
      </w:pPr>
    </w:p>
    <w:p w:rsidRDefault="00162E23" w:rsidP="00162E23" w:rsidR="00162E23">
      <w:pPr>
        <w:jc w:val="both"/>
      </w:pPr>
      <w:r>
        <w:t>Taka d.o.o. je tvrtka koja je bila preuzeta od prethodnog vlasnika, s vizijom da se na njoj razvije specifična vrsta usluga u tekstilnom i odjevnom biznisu, a prije svega:</w:t>
      </w:r>
    </w:p>
    <w:p w:rsidRDefault="00162E23" w:rsidP="00162E23" w:rsidR="00162E23">
      <w:pPr>
        <w:jc w:val="both"/>
      </w:pPr>
      <w:r>
        <w:t>dizajn proizvoda, istraživanje materijala i dobavljača (sourcing), razvoj proizvoda te priprema za proizvodnju. (u nekim slučajevima sve do proizvodnje i varijante „ključ u ruke“)</w:t>
      </w:r>
    </w:p>
    <w:p w:rsidRDefault="00162E23" w:rsidP="00162E23" w:rsidR="00162E23">
      <w:pPr>
        <w:jc w:val="both"/>
      </w:pPr>
      <w:r>
        <w:t>Kasnije su, radi pojačane svijesti o nedostatku elementarnih znanja kod klijenata, dodane i konzultantske usluge, kojima se zapravo klijentima nudi razumijevanje razvojnih i pripremnih procesa u kontekstu stvaranja odjevnih brendova i kolekcija odjeće, što se pokazalo dobrim pristupom za čuvanje klijenata „na životu“.</w:t>
      </w:r>
    </w:p>
    <w:p w:rsidRDefault="00162E23" w:rsidP="00162E23" w:rsidR="00162E23">
      <w:pPr>
        <w:jc w:val="both"/>
      </w:pPr>
      <w:r>
        <w:t>Sve te usluge su bazirane na kreativnoj i inženjerskoj (tehničko-tehnološkoj odnosno CAD/CAM) ekspertizi sa ugrađenim velikim znanjem i iskustvom (know-how).</w:t>
      </w:r>
    </w:p>
    <w:p w:rsidRDefault="00162E23" w:rsidP="00162E23" w:rsidR="00162E23">
      <w:pPr>
        <w:jc w:val="both"/>
      </w:pPr>
      <w:r>
        <w:t>Glavni razlog za takvo usmjerenje bile su globalne promjene u branši, koje su nagovještale veliki povratak europskom proizvodu i proizvodnji, nasuprot desetljećima globalizirane jeftine proizvodnje na dalekom i bliskom Istoku. Na području Europske Unije gotovo i da nema znanja o proizvodnji (samo Rumunjska, Bugarska), a uopće nema znanja o razvoju proizvoda i brendova, Taka je istražila i pojačala tu tržišnu nišu za razvoj svog poslovanja, računajući i na ulazak Hrvatske u EU, kao stratešku odrednicu tog poslovnog modela.</w:t>
      </w:r>
    </w:p>
    <w:p w:rsidRDefault="00162E23" w:rsidP="00162E23" w:rsidR="00162E23">
      <w:pPr>
        <w:jc w:val="both"/>
      </w:pPr>
      <w:r>
        <w:t>Tako pozicionirana, tvrtka je organizirala svoje poslovanje i započela s radom, u prvo vrijeme bez ikakvih problema, ali s dosta napora da se prepozna njena vrijednost na EU tržištu.</w:t>
      </w:r>
    </w:p>
    <w:p w:rsidRDefault="00162E23" w:rsidP="00162E23" w:rsidR="00162E23">
      <w:pPr>
        <w:jc w:val="both"/>
      </w:pPr>
      <w:r>
        <w:t xml:space="preserve">Domaće tržište nije funkcioniralo jer se je uslijed velike ekonomske krize 2008/09 potpuno urušilo, a inozemno tržište nije odmah reagiralo na ulazak  Hrvatske u EU. Društvo je ulasko Hrvastek u EU   odrađivalo jako puno ulaznih/probnih poslova da bi dokazalo da tvrtka zadovoljava visoke standarde europskih naručitelja u ovom segmentu. </w:t>
      </w:r>
    </w:p>
    <w:p w:rsidRDefault="00162E23" w:rsidP="00162E23" w:rsidR="00162E23">
      <w:pPr>
        <w:jc w:val="both"/>
      </w:pPr>
      <w:r>
        <w:t>Društvo je pionir ovakvog poslovnog modela u Hrvatskoj, pa čak i u regiji, jasno je da se je mukotrpno utirao put, jer se nisu imala odakle pokupiti gotova znanja.</w:t>
      </w:r>
    </w:p>
    <w:p w:rsidRDefault="00162E23" w:rsidP="00162E23" w:rsidR="00162E23">
      <w:pPr>
        <w:jc w:val="both"/>
      </w:pPr>
      <w:r>
        <w:t>Tako su potrošene 2 godine, u nastojanju da se uhvati pravi ritam poslovanja i postigne toliko tražena stabilnost, ali to je tvrtku dodatno iscrpilo, budući da  nikad nije imala niti elementarnu podršku banaka. ( jer se općenito na tekstilnu branšu gleda kao negativnu, iako razvoj proizvoda to zasigurno nije).</w:t>
      </w:r>
    </w:p>
    <w:p w:rsidRDefault="00162E23" w:rsidP="00162E23" w:rsidR="00162E23">
      <w:pPr>
        <w:jc w:val="both"/>
      </w:pPr>
      <w:r>
        <w:t>Kroz cijelo to vrijeme tvrtka je nastojala ugovoriti snažnije poslove i dokazati svoju vrijednost, a u prilog tome, pokrenute su i web-stranice tvrtke (</w:t>
      </w:r>
      <w:hyperlink r:id="rId10">
        <w:r>
          <w:rPr>
            <w:rStyle w:val="InternetLink"/>
          </w:rPr>
          <w:t>www.taka.hr</w:t>
        </w:r>
      </w:hyperlink>
      <w:r>
        <w:t>), na kojima su kompletno objašnjene usluge koje se nude, što je danas jedan od najvažnijih kanala preko kojih tvrtka dobiva nove klijente.</w:t>
      </w:r>
    </w:p>
    <w:p w:rsidRDefault="00162E23" w:rsidP="00162E23" w:rsidR="00162E23">
      <w:pPr>
        <w:jc w:val="both"/>
      </w:pPr>
      <w:r>
        <w:t>Zatim su sredinom 2014. zamrznuti i neki projekti koji su bili najavljivani od strane tadašnjih klijenata, te je propao pokušaj stvaranja zajedničkog poslovanja sa Finesa Credos bankom kao ulagačem u rizične portfelje, stoga je Taka – nažalost – izgubila bitku s likvidnošću te je blokirana u ranu jesen, od čega se je u dva navrata gotovo i uspjela izvući.</w:t>
      </w:r>
    </w:p>
    <w:p w:rsidRDefault="00162E23" w:rsidP="00162E23" w:rsidR="00162E23">
      <w:pPr>
        <w:jc w:val="both"/>
      </w:pPr>
      <w:r>
        <w:t>Paradoks leži i u činjenici da je do trenutka blokade tvrtka bila pred ugovaranjem trajnih i vrlo vrijednih poslova s naručiteljima tipa Kaufland i Konzum, u smislu plasiranja isključivo za njih dizajniranih i razvijenih proizvoda, te sa tvrtkom Aqua Maritime, za koju bi radila čistu uslugu dizajna i razvoja mornarske odjeće.</w:t>
      </w:r>
    </w:p>
    <w:p w:rsidRDefault="00162E23" w:rsidP="00162E23" w:rsidR="00162E23">
      <w:pPr>
        <w:jc w:val="both"/>
      </w:pPr>
      <w:r>
        <w:t>Radi blokade, tvrtka nije uspjela završiti niti ugovoreni posao s Hrvatskim željeznicama, koje su bile jako zadovoljne uslugom i proizvodom, te je Taka mogla i trebala aplicirati i za novi ugovor na javnom natječaju za predmetnu državnu tvrtku već krajem 2014. godine.</w:t>
      </w:r>
    </w:p>
    <w:p w:rsidRDefault="00162E23" w:rsidP="00493624" w:rsidR="00162E23">
      <w:pPr>
        <w:jc w:val="both"/>
      </w:pPr>
      <w:r>
        <w:t>Sama činjenica da je tvrtka blokirana oduzela je bilo kakvu mogućnost stabilnog poslovanja i davanja jamstava koje su naručitelji takvog formata nužno tražili.</w:t>
      </w:r>
    </w:p>
    <w:p w:rsidRDefault="00162E23" w:rsidP="00493624" w:rsidR="00162E23">
      <w:pPr>
        <w:jc w:val="both"/>
      </w:pPr>
      <w:r>
        <w:lastRenderedPageBreak/>
        <w:t>Pokretanjem stečaja s krajem 2015.godine tvrtka jer izgubila i postojeće klijente i kupce kao i kredibilitet, te ja puno do tada  dobivenih klijenata naprosto odustalo od suradnje.</w:t>
      </w:r>
    </w:p>
    <w:p w:rsidRDefault="00162E23" w:rsidP="00493624" w:rsidR="00162E23">
      <w:pPr>
        <w:jc w:val="both"/>
      </w:pPr>
      <w:r>
        <w:t>Ipak, kroz stečajni postupak i kroz sve što se je događalo u poslovanju u stečaju, tvrtka je uspjela vratiti dio klijenata, pa čak i pronaći potencijalnog strateškog partnera, što je omogućilo postupno poboljšanje poslovanja i planiranje restrukturiranja.</w:t>
      </w:r>
    </w:p>
    <w:p w:rsidRDefault="00162E23" w:rsidP="00493624" w:rsidR="00162E23">
      <w:pPr>
        <w:jc w:val="both"/>
      </w:pPr>
      <w:r>
        <w:t>Kako se je i općenito poslovno raspoloženje podiglo i u HR i u EU, sada postaje više nego jasno da je Taka tvrtka koja se nalazi na pravom mjestu u pravo vrijeme, te da je prilika da razvije svoje poslovanje dok se konkurencija ( koje još nema, ali neće tako dugo ostati) ne razvije.</w:t>
      </w:r>
    </w:p>
    <w:p w:rsidRDefault="00162E23" w:rsidP="00493624" w:rsidR="00162E23">
      <w:pPr>
        <w:jc w:val="both"/>
      </w:pPr>
      <w:r>
        <w:t>Sudeći po brojnim novim upitima - gotovo isključivo iz inozemstva- gdje su tekstilna i odjevna branša još uvijek vrlo uređene i kotiraju kao jedna od najprihodovnijih gospodarskih grana.</w:t>
      </w:r>
    </w:p>
    <w:p w:rsidRDefault="00162E23" w:rsidP="00162E23" w:rsidR="00162E23">
      <w:pPr>
        <w:rPr>
          <w:i/>
          <w:iCs/>
        </w:rPr>
      </w:pPr>
    </w:p>
    <w:p w:rsidRDefault="00162E23" w:rsidP="00162E23" w:rsidR="00162E23">
      <w:pPr>
        <w:ind w:left="709"/>
        <w:rPr>
          <w:b/>
          <w:bCs/>
        </w:rPr>
      </w:pPr>
      <w:r>
        <w:rPr>
          <w:b/>
          <w:bCs/>
        </w:rPr>
        <w:t>Mjere koje su poduzete u svrhu ostvarivanja cilja predviđenog stečajnim planom</w:t>
      </w:r>
    </w:p>
    <w:p w:rsidRDefault="00162E23" w:rsidP="00162E23" w:rsidR="00162E23">
      <w:pPr>
        <w:ind w:left="709"/>
        <w:rPr>
          <w:b/>
          <w:bCs/>
        </w:rPr>
      </w:pPr>
    </w:p>
    <w:p w:rsidRDefault="00162E23" w:rsidP="00162E23" w:rsidR="00162E23">
      <w:pPr>
        <w:numPr>
          <w:ilvl w:val="0"/>
          <w:numId w:val="43"/>
        </w:numPr>
        <w:rPr>
          <w:i/>
          <w:iCs/>
        </w:rPr>
      </w:pPr>
      <w:r>
        <w:rPr>
          <w:i/>
          <w:iCs/>
        </w:rPr>
        <w:t>Mjere koje su poduzete nakon otvaranja stečajnog postupka</w:t>
      </w:r>
    </w:p>
    <w:p w:rsidRDefault="00162E23" w:rsidP="00162E23" w:rsidR="00162E23">
      <w:pPr>
        <w:rPr>
          <w:i/>
          <w:iCs/>
        </w:rPr>
      </w:pPr>
    </w:p>
    <w:p w:rsidRDefault="00162E23" w:rsidP="00162E23" w:rsidR="00162E23">
      <w:r>
        <w:t>Nakon preuzimanja stečajnog postupka stečajni upravitelj je, a u suradnji sa bivšom direktoricom stečajnog dužnika, usmjerio svoje aktivnosti i aktivnosti društva na:</w:t>
      </w:r>
    </w:p>
    <w:p w:rsidRDefault="00162E23" w:rsidP="00162E23" w:rsidR="00162E23">
      <w:pPr>
        <w:numPr>
          <w:ilvl w:val="0"/>
          <w:numId w:val="42"/>
        </w:numPr>
      </w:pPr>
      <w:r>
        <w:t>Ponovno pokretanje poslovnih aktivnosti prekinutih pokretanjem stečaja</w:t>
      </w:r>
    </w:p>
    <w:p w:rsidRDefault="00162E23" w:rsidP="00162E23" w:rsidR="00162E23">
      <w:pPr>
        <w:numPr>
          <w:ilvl w:val="0"/>
          <w:numId w:val="42"/>
        </w:numPr>
      </w:pPr>
      <w:r>
        <w:t>Preustroj i organiziranje rada i aktivnosti u uvjetima izgubljenih klijenata i zaposlenika, s ciljem:</w:t>
      </w:r>
    </w:p>
    <w:p w:rsidRDefault="00162E23" w:rsidP="00162E23" w:rsidR="00162E23">
      <w:pPr>
        <w:ind w:left="709"/>
      </w:pPr>
      <w:r>
        <w:t>usmjerenja na usluge više i visoke dodane vrijednosti, od čega najviše</w:t>
      </w:r>
    </w:p>
    <w:p w:rsidRDefault="00162E23" w:rsidP="00162E23" w:rsidR="00162E23">
      <w:pPr>
        <w:ind w:left="709"/>
      </w:pPr>
      <w:r>
        <w:t>usluge dizajna i razvoja proizvoda u tekstilnom biznisu bazirano na CAD/CAM tehnologiji, a po potrebi</w:t>
      </w:r>
    </w:p>
    <w:p w:rsidRDefault="00162E23" w:rsidP="00162E23" w:rsidR="00162E23">
      <w:pPr>
        <w:ind w:left="709"/>
      </w:pPr>
      <w:r>
        <w:t>na usluge organizacije, vođenja i kontrole proizvodnje odjeće u kooperaciji (outsourcing, po princip „ključ u ruke“)</w:t>
      </w:r>
    </w:p>
    <w:p w:rsidRDefault="00162E23" w:rsidP="00162E23" w:rsidR="00162E23">
      <w:pPr>
        <w:ind w:left="709"/>
      </w:pPr>
      <w:r>
        <w:t>te na konzultantske usluge iz područja tekstilnog biznisa kao preduvjet osvajanja nove generacije klijenata</w:t>
      </w:r>
    </w:p>
    <w:p w:rsidRDefault="00162E23" w:rsidP="00162E23" w:rsidR="00162E23">
      <w:pPr>
        <w:jc w:val="both"/>
      </w:pPr>
      <w:r>
        <w:t>Sve aktivnosti okrenute su prema klijentima iz EU, budući da na tim tržištima know-how i iskustvo tvrtke TAKA d.o.o. u stečaju imaju vrijednost te se samim time postižu više vrijednosti poslovnih ugovora i osigurava novi i brži rast tvrtke.</w:t>
      </w:r>
    </w:p>
    <w:p w:rsidRDefault="00162E23" w:rsidP="00162E23" w:rsidR="00162E23">
      <w:pPr>
        <w:jc w:val="both"/>
      </w:pPr>
      <w:r>
        <w:t>Tvrtka je tijekom stečajnog postupka vršila istraživanje tržišta EU i pregovarala sa potencijalnim novim klijentima, izrađivala personalizirane ponuda za usluge i proizvodnju, a sve u cilju traženja i u konačnici pronalaženja strateškog partnera s EU područja (Work &amp; Clothes Sweden Ag; u daljnjem tekstu W&amp;C). Također su vođeni pregovori sa strateškim partnerom tvrtkom W&amp;C i izvršeno je vrijednosno usklađivanje planova poslovanja, te je kao posljedice poduzetih aktivnosti i ishođeno pismo namjere za naredno petogodišnje razdoblje poslovanja. Društvo i nadalje vodi pregovore oko mogućnosti daljnjeg zajedničkog ulaganja švedske tvrtke W&amp;C i tvrtke TAKA d.o.o. u stečaju s ciljem pokretanja manje proizvodnje i zapošljavanje 5 - 6 ljudi što bitno povećava prihode ali i stabilnost tvrtke TAKA d.o.o. u stečaju u narednom razdoblju.</w:t>
      </w:r>
    </w:p>
    <w:p w:rsidRDefault="00493624" w:rsidP="00162E23" w:rsidR="00493624"/>
    <w:p w:rsidRDefault="00162E23" w:rsidP="00162E23" w:rsidR="00162E23">
      <w:pPr>
        <w:ind w:left="709"/>
        <w:rPr>
          <w:b/>
          <w:bCs/>
        </w:rPr>
      </w:pPr>
      <w:r>
        <w:rPr>
          <w:b/>
          <w:bCs/>
        </w:rPr>
        <w:t xml:space="preserve">Prikaz unovčenja prema stečaju sa likvidacijom i unovčenja imovine prema stečajnom planu </w:t>
      </w:r>
    </w:p>
    <w:p w:rsidRDefault="00162E23" w:rsidP="00162E23" w:rsidR="00162E23"/>
    <w:p w:rsidRDefault="00162E23" w:rsidP="00162E23" w:rsidR="00162E23">
      <w:pPr>
        <w:numPr>
          <w:ilvl w:val="0"/>
          <w:numId w:val="44"/>
        </w:numPr>
        <w:rPr>
          <w:i/>
          <w:iCs/>
        </w:rPr>
      </w:pPr>
      <w:r>
        <w:rPr>
          <w:i/>
          <w:iCs/>
        </w:rPr>
        <w:t>Unovčenje imovine i namirenje vjerovnika u slučaju provedbe stečaja sa likvidacijom</w:t>
      </w:r>
    </w:p>
    <w:p w:rsidRDefault="00162E23" w:rsidP="00162E23" w:rsidR="00162E23">
      <w:pPr>
        <w:rPr>
          <w:i/>
          <w:iCs/>
        </w:rPr>
      </w:pPr>
    </w:p>
    <w:p w:rsidRDefault="00162E23" w:rsidP="00162E23" w:rsidR="00162E23">
      <w:pPr>
        <w:jc w:val="both"/>
      </w:pPr>
      <w:r>
        <w:t xml:space="preserve">Ukupna nabavna knjigovodstvena vrijednost pokretne materijalne imovine dužnika iznosi 83.723,99 kn. Ukoliko bi se proveo stečaj sa likvidacijom može se očekivati da će ova </w:t>
      </w:r>
      <w:r>
        <w:lastRenderedPageBreak/>
        <w:t>materijalna imovina biti unovčena u neznatnom iznosu. Visina unovčenja izravno ovisi o strukturi materijalne imovine i potrebi tržišta za takvom imovinom. Materijalna imovina društva se sastoji od računala i pripadajućih programa koji su društvu nužni za obavljanje djelatnosti i zalihe trgovačke robe. Materijalna imovina dužnika je teško unovčiva jer ne postoji interes kupaca za ovom robom. Niti prijašnji stečajni upravitelj nije uspio unovčiti niti preostalu zalihu niti računala jer za njih nije bilo interesa na tržištu. Zaliha trgovačke robe koja se sastoji od kišnih kabanica proizvedenih za poznatog naručitelja, prema njegovim specifikacijama, se razumski mogu jedino prodati onome tko je takvu robu naručio. Teško je očekivati da bi, u slučaju provođenja stečaja sa likvidacijom, se cjelokupna materijalna imovina dužnika mogla unovčiti za više od 20% do 30% nabavne knjigovodstvene vrijednosti. Pri tome treba imati u vidu da bi društvo moralo otkazati ugovore o radu, otkazati sve poslove koji su tijeku te da bi iz ostvarenog prihoda unovčenjem materijalne imovine trebalo podmiriti obveze stečajne mase prema trenutno zaposlenim radnicima. Društvo bi moralo iz ostvarene kupovnine podmiriti minimalne plaće i otpremnine radnicima kojima je otkazan ugovor o radu nakon otvaranja stečajnog postupka kao trošak stečajnog postupka, podmiriti nagradu stečajnom upravitelju i dio sredstava uplatiti u Fond za pokriće troškova stečajnog postupka. Imajući sve to u vidu, sasvim je razvidno da bi se unovčenjem cjelokupne materijalne imovine ostvarili prihodi koji bi možda bili dostatni za podmirivanje obveza stečajne mase. Iz ostvarenih prihoda unovčenjem imovine se ne bi mogli namiriti stečajni vjerovnici.</w:t>
      </w:r>
    </w:p>
    <w:p w:rsidRDefault="00162E23" w:rsidP="00162E23" w:rsidR="00162E23">
      <w:pPr>
        <w:jc w:val="both"/>
      </w:pPr>
    </w:p>
    <w:p w:rsidRDefault="00162E23" w:rsidP="00162E23" w:rsidR="00162E23">
      <w:pPr>
        <w:numPr>
          <w:ilvl w:val="0"/>
          <w:numId w:val="44"/>
        </w:numPr>
        <w:rPr>
          <w:i/>
          <w:iCs/>
        </w:rPr>
      </w:pPr>
      <w:r>
        <w:rPr>
          <w:i/>
          <w:iCs/>
        </w:rPr>
        <w:t>Unovčenje imovine i namirenje vjerovnika u slučaju prihvaćanja stečajnog plana</w:t>
      </w:r>
    </w:p>
    <w:p w:rsidRDefault="00162E23" w:rsidP="00162E23" w:rsidR="00162E23">
      <w:pPr>
        <w:rPr>
          <w:i/>
          <w:iCs/>
        </w:rPr>
      </w:pPr>
    </w:p>
    <w:p w:rsidRDefault="00162E23" w:rsidP="00162E23" w:rsidR="00162E23">
      <w:pPr>
        <w:jc w:val="both"/>
      </w:pPr>
      <w:r>
        <w:t>Iz same strukture imovine dužnika kao i poslovnih rezultata koje je društvo ostvarilo tijekom stečajnog postupka je sasvim razvidno da bi društvo trebalo nastaviti sa poslovnim aktivnostima. Ukoliko bi se prihvatio stečajni plan društvo planira podmirivati svoje obveze prema vjerovnicima prvenstveno iz ostvarenih prihoda sa osnova obavljanja djelatnosti, a ne sa osnova unovčenja imovine. Društvo će unovčiti zalihu trgovačke robe, ali onda kada se stvore tržišni uvjeti kako bi se zaliha trgovačke robe unovčila po što povoljnijim cijenama.</w:t>
      </w:r>
    </w:p>
    <w:p w:rsidRDefault="00162E23" w:rsidP="00162E23" w:rsidR="00162E23">
      <w:pPr>
        <w:jc w:val="both"/>
      </w:pPr>
      <w:r>
        <w:t>Kako bi se umanjio rizik od poremećaja u likvidnosti društvo u svome dosadašnjem poslovanju je počelo surađivati sa društvima koja imaju sjedište unutar Europske unije. Društvo također planira ažurirati web-stranica tvrtke Taka d.o.o. s ciljem predstavljanja potencijala tvrtke budućim klijentima. S tim u svezi društvo bi trebalo sklopiti novi ugovor s dobavljačem za održavanje web-stranica www.taka.hr. Preko web stranica društva ujedno dolazi i najviše upita za poslovnu suradnju iz EU, a i strateški cilj društva je usmjeravanje poslovanja prema društvima koja posluju unutar EU.</w:t>
      </w:r>
    </w:p>
    <w:p w:rsidRDefault="00162E23" w:rsidP="00162E23" w:rsidR="00162E23">
      <w:pPr>
        <w:jc w:val="both"/>
      </w:pPr>
      <w:r>
        <w:t xml:space="preserve">U tijeku su pregovori i odrađivanje probnih poslova s još jednim novim klijentom iz Švicarske (SlowFashionFast GmbH) te jednom klijenticom iz Njemačke (Narcisa GmbH). Ova društva  očekuju dugoročnu i kontinuiranu suradnju, a to bi imalo za posljedicu redovan, siguran prihod i stabilizaciju tekuće likvidnosti. </w:t>
      </w:r>
    </w:p>
    <w:p w:rsidRDefault="00162E23" w:rsidP="00162E23" w:rsidR="00162E23">
      <w:pPr>
        <w:rPr>
          <w:i/>
          <w:iCs/>
        </w:rPr>
      </w:pPr>
    </w:p>
    <w:p w:rsidRDefault="00162E23" w:rsidP="00162E23" w:rsidR="00162E23">
      <w:pPr>
        <w:ind w:left="709"/>
        <w:rPr>
          <w:b/>
          <w:bCs/>
        </w:rPr>
      </w:pPr>
      <w:r>
        <w:rPr>
          <w:b/>
          <w:bCs/>
        </w:rPr>
        <w:t>Usporedba i ocjena unovčenja i raspodjele stečajne mase u slučaju provedbe stečaja sa likvidacijom i u slučaju prihvaćanja stečajnog plana</w:t>
      </w:r>
    </w:p>
    <w:p w:rsidRDefault="00162E23" w:rsidP="00162E23" w:rsidR="00162E23">
      <w:pPr>
        <w:ind w:left="709"/>
        <w:rPr>
          <w:b/>
          <w:bCs/>
        </w:rPr>
      </w:pPr>
    </w:p>
    <w:p w:rsidRDefault="00162E23" w:rsidP="00162E23" w:rsidR="00162E23">
      <w:pPr>
        <w:jc w:val="both"/>
      </w:pPr>
      <w:r>
        <w:t xml:space="preserve">Projekcija podmirivanja obveza prema stečajnim vjerovnicima je napravljena na osnovi unovčenja cjelokupne materijalne imovine u visini od 30% knjigovodstvene vrijednosti koja iznosi 83.723,99 kn. Ukoliko bi se cjelokupna materijalna imovina unovčila za 30% od knjigovodstvene vrijednosti ostvario bi se prihod u iznosu od 25.117,20 kn. uvečano za pdv. Stečajni upravitelj bi morao otkazati ugovore o radu zaposlenicama društva. Iz ostvarenog prihoda bi se morale podmiriti troškovi stečajnog postupka i obveze stečajne mase koje se </w:t>
      </w:r>
      <w:r>
        <w:lastRenderedPageBreak/>
        <w:t>sastoje od plaće za gđu. Brlenić i gđu. Štrlek – Miladinović za vrijeme trajanja otkaznog roka koje iznose u brutu 9.241,62 kn. mjesečno. Preostalim iznosom bi se podmirili troškovi stečajnog postupka koji se sastoje od dvije neisplaćene minimalne plaće radnika  ukupnom bruto iznosu od 9.360,00 kn. Iz ostvarenog prihoda bi se morala i podmiriti nagrada stečajnom upravitelju sukladno Uredbi o kriterijima i načinu obračuna i plaćanja nagrade stečajnim upraviteljima u iznosu od 4.018,75 kn. bruto. Preostalim iznos od 2.496,83 kn. bi se trebao uplatiti u Fond za pokriće troškova stečajnog postupka. Dakle iz projekcije prihoda i rashoda u slučaju provođenja stečaja sa likvidacijom i provođenja stečaja sa sanakcijskim planom, proizlazi da bi se unovčenjem materijalne imovine dužnika vjerojatno ostvario prihod koji bi bio dovoljan za namirenje najnužnijih troškova stečajnog postupka. Preostali vjerovnici se ne bi mogli namiriti niti u dijelu svojih utvrđenih tražbina.</w:t>
      </w:r>
    </w:p>
    <w:p w:rsidRDefault="00162E23" w:rsidP="00DA7C43" w:rsidR="00162E23">
      <w:pPr>
        <w:jc w:val="both"/>
      </w:pPr>
    </w:p>
    <w:tbl>
      <w:tblPr>
        <w:tblW w:type="dxa" w:w="9638"/>
        <w:tblInd w:type="dxa" w:w="53"/>
        <w:tblBorders>
          <w:top w:space="0" w:sz="2" w:color="000001" w:val="single"/>
          <w:left w:space="0" w:sz="2" w:color="000001" w:val="single"/>
          <w:bottom w:space="0" w:sz="2" w:color="000001" w:val="single"/>
          <w:right w:space="0" w:sz="2" w:color="000001" w:val="single"/>
          <w:insideH w:space="0" w:sz="2" w:color="000001" w:val="single"/>
          <w:insideV w:space="0" w:sz="2" w:color="000001" w:val="single"/>
        </w:tblBorders>
        <w:tblCellMar>
          <w:top w:type="dxa" w:w="55"/>
          <w:left w:type="dxa" w:w="51"/>
          <w:bottom w:type="dxa" w:w="55"/>
          <w:right w:type="dxa" w:w="55"/>
        </w:tblCellMar>
        <w:tblLook w:val="0000" w:noVBand="0" w:noHBand="0" w:lastColumn="0" w:firstColumn="0" w:lastRow="0" w:firstRow="0"/>
      </w:tblPr>
      <w:tblGrid>
        <w:gridCol w:w="1606"/>
        <w:gridCol w:w="1606"/>
        <w:gridCol w:w="1607"/>
        <w:gridCol w:w="1604"/>
        <w:gridCol w:w="1606"/>
        <w:gridCol w:w="1609"/>
      </w:tblGrid>
      <w:tr w:rsidTr="005E074B" w:rsidR="00162E23">
        <w:tc>
          <w:tcPr>
            <w:tcW w:type="dxa" w:w="4819"/>
            <w:gridSpan w:val="3"/>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Stečaj sa likvidacijom</w:t>
            </w:r>
          </w:p>
        </w:tc>
        <w:tc>
          <w:tcPr>
            <w:tcW w:type="dxa" w:w="4819"/>
            <w:gridSpan w:val="3"/>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Stečajni plan</w:t>
            </w:r>
          </w:p>
        </w:tc>
      </w:tr>
      <w:tr w:rsidTr="005E074B" w:rsidR="00162E23">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Vjerovnik</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Utvrđena tražbina</w:t>
            </w:r>
          </w:p>
        </w:tc>
        <w:tc>
          <w:tcPr>
            <w:tcW w:type="dxa" w:w="1607"/>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Postotak namirenja</w:t>
            </w:r>
          </w:p>
        </w:tc>
        <w:tc>
          <w:tcPr>
            <w:tcW w:type="dxa" w:w="1604"/>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Vjerovnik</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Utvrđena tražbina</w:t>
            </w:r>
          </w:p>
        </w:tc>
        <w:tc>
          <w:tcPr>
            <w:tcW w:type="dxa" w:w="1609"/>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Postotak namirenja</w:t>
            </w:r>
          </w:p>
        </w:tc>
      </w:tr>
      <w:tr w:rsidTr="005E074B" w:rsidR="00162E23">
        <w:tc>
          <w:tcPr>
            <w:tcW w:type="dxa" w:w="9638"/>
            <w:gridSpan w:val="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I. VIŠI ISPLATNI RED</w:t>
            </w:r>
          </w:p>
        </w:tc>
      </w:tr>
      <w:tr w:rsidTr="005E074B" w:rsidR="00162E23">
        <w:tc>
          <w:tcPr>
            <w:tcW w:type="dxa" w:w="1606"/>
            <w:tcBorders>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Marjana</w:t>
            </w:r>
          </w:p>
          <w:p w:rsidRDefault="00162E23" w:rsidP="005E074B" w:rsidR="00162E23">
            <w:pPr>
              <w:pStyle w:val="TableContents"/>
              <w:rPr>
                <w:sz w:val="21"/>
                <w:szCs w:val="21"/>
              </w:rPr>
            </w:pPr>
            <w:r>
              <w:rPr>
                <w:sz w:val="21"/>
                <w:szCs w:val="21"/>
              </w:rPr>
              <w:t>Brlenić</w:t>
            </w:r>
          </w:p>
        </w:tc>
        <w:tc>
          <w:tcPr>
            <w:tcW w:type="dxa" w:w="1606"/>
            <w:tcBorders>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7.117,53 *</w:t>
            </w:r>
          </w:p>
        </w:tc>
        <w:tc>
          <w:tcPr>
            <w:tcW w:type="dxa" w:w="1607"/>
            <w:tcBorders>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100,00 %</w:t>
            </w:r>
          </w:p>
        </w:tc>
        <w:tc>
          <w:tcPr>
            <w:tcW w:type="dxa" w:w="1604"/>
            <w:tcBorders>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Marjana</w:t>
            </w:r>
          </w:p>
          <w:p w:rsidRDefault="00162E23" w:rsidP="005E074B" w:rsidR="00162E23">
            <w:pPr>
              <w:pStyle w:val="TableContents"/>
              <w:rPr>
                <w:sz w:val="21"/>
                <w:szCs w:val="21"/>
              </w:rPr>
            </w:pPr>
            <w:r>
              <w:rPr>
                <w:sz w:val="21"/>
                <w:szCs w:val="21"/>
              </w:rPr>
              <w:t>Brlenić</w:t>
            </w:r>
          </w:p>
        </w:tc>
        <w:tc>
          <w:tcPr>
            <w:tcW w:type="dxa" w:w="1606"/>
            <w:tcBorders>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7.117,53</w:t>
            </w:r>
          </w:p>
        </w:tc>
        <w:tc>
          <w:tcPr>
            <w:tcW w:type="dxa" w:w="1609"/>
            <w:tcBorders>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100,00 %</w:t>
            </w:r>
          </w:p>
        </w:tc>
      </w:tr>
      <w:tr w:rsidTr="005E074B" w:rsidR="00162E23">
        <w:tc>
          <w:tcPr>
            <w:tcW w:type="dxa" w:w="1606"/>
            <w:tcBorders>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Darko</w:t>
            </w:r>
          </w:p>
          <w:p w:rsidRDefault="00162E23" w:rsidP="005E074B" w:rsidR="00162E23">
            <w:pPr>
              <w:pStyle w:val="TableContents"/>
              <w:rPr>
                <w:sz w:val="21"/>
                <w:szCs w:val="21"/>
              </w:rPr>
            </w:pPr>
            <w:r>
              <w:rPr>
                <w:sz w:val="21"/>
                <w:szCs w:val="21"/>
              </w:rPr>
              <w:t>Plukavec</w:t>
            </w:r>
          </w:p>
        </w:tc>
        <w:tc>
          <w:tcPr>
            <w:tcW w:type="dxa" w:w="1606"/>
            <w:tcBorders>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15.540,85 *</w:t>
            </w:r>
          </w:p>
        </w:tc>
        <w:tc>
          <w:tcPr>
            <w:tcW w:type="dxa" w:w="1607"/>
            <w:tcBorders>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48,18 %</w:t>
            </w:r>
          </w:p>
        </w:tc>
        <w:tc>
          <w:tcPr>
            <w:tcW w:type="dxa" w:w="1604"/>
            <w:tcBorders>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Darko</w:t>
            </w:r>
          </w:p>
          <w:p w:rsidRDefault="00162E23" w:rsidP="005E074B" w:rsidR="00162E23">
            <w:pPr>
              <w:pStyle w:val="TableContents"/>
              <w:rPr>
                <w:sz w:val="21"/>
                <w:szCs w:val="21"/>
              </w:rPr>
            </w:pPr>
            <w:r>
              <w:rPr>
                <w:sz w:val="21"/>
                <w:szCs w:val="21"/>
              </w:rPr>
              <w:t>Plukavec</w:t>
            </w:r>
          </w:p>
        </w:tc>
        <w:tc>
          <w:tcPr>
            <w:tcW w:type="dxa" w:w="1606"/>
            <w:tcBorders>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15.540,85</w:t>
            </w:r>
          </w:p>
        </w:tc>
        <w:tc>
          <w:tcPr>
            <w:tcW w:type="dxa" w:w="1609"/>
            <w:tcBorders>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100,00 %</w:t>
            </w:r>
          </w:p>
        </w:tc>
      </w:tr>
      <w:tr w:rsidTr="005E074B" w:rsidR="00162E23">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Vjerovnik</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Utvrđena tražbina</w:t>
            </w:r>
          </w:p>
        </w:tc>
        <w:tc>
          <w:tcPr>
            <w:tcW w:type="dxa" w:w="1607"/>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Postotak namirenja</w:t>
            </w:r>
          </w:p>
        </w:tc>
        <w:tc>
          <w:tcPr>
            <w:tcW w:type="dxa" w:w="1604"/>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Vjerovnik</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Utvrđena tražbina</w:t>
            </w:r>
          </w:p>
        </w:tc>
        <w:tc>
          <w:tcPr>
            <w:tcW w:type="dxa" w:w="1609"/>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Postotak namirenja</w:t>
            </w:r>
          </w:p>
        </w:tc>
      </w:tr>
      <w:tr w:rsidTr="005E074B" w:rsidR="00162E23">
        <w:tc>
          <w:tcPr>
            <w:tcW w:type="dxa" w:w="1606"/>
            <w:tcBorders>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Mirjana</w:t>
            </w:r>
          </w:p>
          <w:p w:rsidRDefault="00162E23" w:rsidP="005E074B" w:rsidR="00162E23">
            <w:pPr>
              <w:pStyle w:val="TableContents"/>
              <w:rPr>
                <w:sz w:val="21"/>
                <w:szCs w:val="21"/>
              </w:rPr>
            </w:pPr>
            <w:r>
              <w:rPr>
                <w:sz w:val="21"/>
                <w:szCs w:val="21"/>
              </w:rPr>
              <w:t>Rinkovec</w:t>
            </w:r>
          </w:p>
        </w:tc>
        <w:tc>
          <w:tcPr>
            <w:tcW w:type="dxa" w:w="1606"/>
            <w:tcBorders>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52.538,10</w:t>
            </w:r>
          </w:p>
        </w:tc>
        <w:tc>
          <w:tcPr>
            <w:tcW w:type="dxa" w:w="1607"/>
            <w:tcBorders>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0,00 %</w:t>
            </w:r>
          </w:p>
        </w:tc>
        <w:tc>
          <w:tcPr>
            <w:tcW w:type="dxa" w:w="1604"/>
            <w:tcBorders>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Mirjana</w:t>
            </w:r>
          </w:p>
          <w:p w:rsidRDefault="00162E23" w:rsidP="005E074B" w:rsidR="00162E23">
            <w:pPr>
              <w:pStyle w:val="TableContents"/>
              <w:rPr>
                <w:sz w:val="21"/>
                <w:szCs w:val="21"/>
              </w:rPr>
            </w:pPr>
            <w:r>
              <w:rPr>
                <w:sz w:val="21"/>
                <w:szCs w:val="21"/>
              </w:rPr>
              <w:t>Rinkovec</w:t>
            </w:r>
          </w:p>
        </w:tc>
        <w:tc>
          <w:tcPr>
            <w:tcW w:type="dxa" w:w="1606"/>
            <w:tcBorders>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52.538,10</w:t>
            </w:r>
          </w:p>
        </w:tc>
        <w:tc>
          <w:tcPr>
            <w:tcW w:type="dxa" w:w="1609"/>
            <w:tcBorders>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100,00 %</w:t>
            </w:r>
          </w:p>
        </w:tc>
      </w:tr>
      <w:tr w:rsidTr="005E074B" w:rsidR="00162E23">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Jasmina</w:t>
            </w:r>
          </w:p>
          <w:p w:rsidRDefault="00162E23" w:rsidP="005E074B" w:rsidR="00162E23">
            <w:pPr>
              <w:pStyle w:val="TableContents"/>
              <w:rPr>
                <w:sz w:val="21"/>
                <w:szCs w:val="21"/>
              </w:rPr>
            </w:pPr>
            <w:r>
              <w:rPr>
                <w:sz w:val="21"/>
                <w:szCs w:val="21"/>
              </w:rPr>
              <w:t>Surjak</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14.157,95 *</w:t>
            </w:r>
          </w:p>
        </w:tc>
        <w:tc>
          <w:tcPr>
            <w:tcW w:type="dxa" w:w="1607"/>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52,88 %</w:t>
            </w:r>
          </w:p>
        </w:tc>
        <w:tc>
          <w:tcPr>
            <w:tcW w:type="dxa" w:w="1604"/>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Jasmina</w:t>
            </w:r>
          </w:p>
          <w:p w:rsidRDefault="00162E23" w:rsidP="005E074B" w:rsidR="00162E23">
            <w:pPr>
              <w:pStyle w:val="TableContents"/>
              <w:rPr>
                <w:sz w:val="21"/>
                <w:szCs w:val="21"/>
              </w:rPr>
            </w:pPr>
            <w:r>
              <w:rPr>
                <w:sz w:val="21"/>
                <w:szCs w:val="21"/>
              </w:rPr>
              <w:t>Surjak</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14.157,95</w:t>
            </w:r>
          </w:p>
        </w:tc>
        <w:tc>
          <w:tcPr>
            <w:tcW w:type="dxa" w:w="1609"/>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100,00 %</w:t>
            </w:r>
          </w:p>
        </w:tc>
      </w:tr>
      <w:tr w:rsidTr="005E074B" w:rsidR="00162E23">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Ministarstvo</w:t>
            </w:r>
          </w:p>
          <w:p w:rsidRDefault="00162E23" w:rsidP="005E074B" w:rsidR="00162E23">
            <w:pPr>
              <w:pStyle w:val="TableContents"/>
              <w:rPr>
                <w:sz w:val="21"/>
                <w:szCs w:val="21"/>
              </w:rPr>
            </w:pPr>
            <w:r>
              <w:rPr>
                <w:sz w:val="21"/>
                <w:szCs w:val="21"/>
              </w:rPr>
              <w:t>financija RH</w:t>
            </w:r>
          </w:p>
          <w:p w:rsidRDefault="00162E23" w:rsidP="005E074B" w:rsidR="00162E23">
            <w:pPr>
              <w:pStyle w:val="TableContents"/>
              <w:rPr>
                <w:sz w:val="21"/>
                <w:szCs w:val="21"/>
              </w:rPr>
            </w:pPr>
            <w:r>
              <w:rPr>
                <w:sz w:val="21"/>
                <w:szCs w:val="21"/>
              </w:rPr>
              <w:t>Porezna</w:t>
            </w:r>
          </w:p>
          <w:p w:rsidRDefault="00162E23" w:rsidP="005E074B" w:rsidR="00162E23">
            <w:pPr>
              <w:pStyle w:val="TableContents"/>
              <w:rPr>
                <w:sz w:val="21"/>
                <w:szCs w:val="21"/>
              </w:rPr>
            </w:pPr>
            <w:r>
              <w:rPr>
                <w:sz w:val="21"/>
                <w:szCs w:val="21"/>
              </w:rPr>
              <w:t>uprava</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50.136,10</w:t>
            </w:r>
          </w:p>
        </w:tc>
        <w:tc>
          <w:tcPr>
            <w:tcW w:type="dxa" w:w="1607"/>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11,20 %</w:t>
            </w:r>
          </w:p>
        </w:tc>
        <w:tc>
          <w:tcPr>
            <w:tcW w:type="dxa" w:w="1604"/>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Ministarstvo</w:t>
            </w:r>
          </w:p>
          <w:p w:rsidRDefault="00162E23" w:rsidP="005E074B" w:rsidR="00162E23">
            <w:pPr>
              <w:pStyle w:val="TableContents"/>
              <w:rPr>
                <w:sz w:val="21"/>
                <w:szCs w:val="21"/>
              </w:rPr>
            </w:pPr>
            <w:r>
              <w:rPr>
                <w:sz w:val="21"/>
                <w:szCs w:val="21"/>
              </w:rPr>
              <w:t>financija RH</w:t>
            </w:r>
          </w:p>
          <w:p w:rsidRDefault="00162E23" w:rsidP="005E074B" w:rsidR="00162E23">
            <w:pPr>
              <w:pStyle w:val="TableContents"/>
              <w:rPr>
                <w:sz w:val="21"/>
                <w:szCs w:val="21"/>
              </w:rPr>
            </w:pPr>
            <w:r>
              <w:rPr>
                <w:sz w:val="21"/>
                <w:szCs w:val="21"/>
              </w:rPr>
              <w:t>Porezna</w:t>
            </w:r>
          </w:p>
          <w:p w:rsidRDefault="00162E23" w:rsidP="005E074B" w:rsidR="00162E23">
            <w:pPr>
              <w:pStyle w:val="TableContents"/>
              <w:rPr>
                <w:sz w:val="21"/>
                <w:szCs w:val="21"/>
              </w:rPr>
            </w:pPr>
            <w:r>
              <w:rPr>
                <w:sz w:val="21"/>
                <w:szCs w:val="21"/>
              </w:rPr>
              <w:t>uprava</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50.136,10</w:t>
            </w:r>
          </w:p>
        </w:tc>
        <w:tc>
          <w:tcPr>
            <w:tcW w:type="dxa" w:w="1609"/>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100,00 %</w:t>
            </w:r>
          </w:p>
        </w:tc>
      </w:tr>
      <w:tr w:rsidTr="005E074B" w:rsidR="00162E23">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Agencija za</w:t>
            </w:r>
          </w:p>
          <w:p w:rsidRDefault="00162E23" w:rsidP="005E074B" w:rsidR="00162E23">
            <w:pPr>
              <w:pStyle w:val="TableContents"/>
              <w:rPr>
                <w:sz w:val="21"/>
                <w:szCs w:val="21"/>
              </w:rPr>
            </w:pPr>
            <w:r>
              <w:rPr>
                <w:sz w:val="21"/>
                <w:szCs w:val="21"/>
              </w:rPr>
              <w:t>ostvarivanje</w:t>
            </w:r>
          </w:p>
          <w:p w:rsidRDefault="00162E23" w:rsidP="005E074B" w:rsidR="00162E23">
            <w:pPr>
              <w:pStyle w:val="TableContents"/>
              <w:rPr>
                <w:sz w:val="21"/>
                <w:szCs w:val="21"/>
              </w:rPr>
            </w:pPr>
            <w:r>
              <w:rPr>
                <w:sz w:val="21"/>
                <w:szCs w:val="21"/>
              </w:rPr>
              <w:t>radničkih</w:t>
            </w:r>
          </w:p>
          <w:p w:rsidRDefault="00162E23" w:rsidP="005E074B" w:rsidR="00162E23">
            <w:pPr>
              <w:pStyle w:val="TableContents"/>
              <w:rPr>
                <w:sz w:val="21"/>
                <w:szCs w:val="21"/>
              </w:rPr>
            </w:pPr>
            <w:r>
              <w:rPr>
                <w:sz w:val="21"/>
                <w:szCs w:val="21"/>
              </w:rPr>
              <w:t>potraživanja</w:t>
            </w:r>
          </w:p>
          <w:p w:rsidRDefault="00162E23" w:rsidP="005E074B" w:rsidR="00162E23">
            <w:pPr>
              <w:pStyle w:val="TableContents"/>
              <w:rPr>
                <w:sz w:val="21"/>
                <w:szCs w:val="21"/>
              </w:rPr>
            </w:pPr>
            <w:r>
              <w:rPr>
                <w:sz w:val="21"/>
                <w:szCs w:val="21"/>
              </w:rPr>
              <w:t>u slučaju</w:t>
            </w:r>
          </w:p>
          <w:p w:rsidRDefault="00162E23" w:rsidP="005E074B" w:rsidR="00162E23">
            <w:pPr>
              <w:pStyle w:val="TableContents"/>
              <w:rPr>
                <w:sz w:val="21"/>
                <w:szCs w:val="21"/>
              </w:rPr>
            </w:pPr>
            <w:r>
              <w:rPr>
                <w:sz w:val="21"/>
                <w:szCs w:val="21"/>
              </w:rPr>
              <w:t>stečaja</w:t>
            </w:r>
          </w:p>
          <w:p w:rsidRDefault="00162E23" w:rsidP="005E074B" w:rsidR="00162E23">
            <w:pPr>
              <w:pStyle w:val="TableContents"/>
              <w:rPr>
                <w:sz w:val="21"/>
                <w:szCs w:val="21"/>
              </w:rPr>
            </w:pPr>
            <w:r>
              <w:rPr>
                <w:sz w:val="21"/>
                <w:szCs w:val="21"/>
              </w:rPr>
              <w:t>poslodavca</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13.273,12</w:t>
            </w:r>
          </w:p>
        </w:tc>
        <w:tc>
          <w:tcPr>
            <w:tcW w:type="dxa" w:w="1607"/>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0,00 %</w:t>
            </w:r>
          </w:p>
        </w:tc>
        <w:tc>
          <w:tcPr>
            <w:tcW w:type="dxa" w:w="1604"/>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Agencija za</w:t>
            </w:r>
          </w:p>
          <w:p w:rsidRDefault="00162E23" w:rsidP="005E074B" w:rsidR="00162E23">
            <w:pPr>
              <w:pStyle w:val="TableContents"/>
              <w:rPr>
                <w:sz w:val="21"/>
                <w:szCs w:val="21"/>
              </w:rPr>
            </w:pPr>
            <w:r>
              <w:rPr>
                <w:sz w:val="21"/>
                <w:szCs w:val="21"/>
              </w:rPr>
              <w:t>ostvarivanje</w:t>
            </w:r>
          </w:p>
          <w:p w:rsidRDefault="00162E23" w:rsidP="005E074B" w:rsidR="00162E23">
            <w:pPr>
              <w:pStyle w:val="TableContents"/>
              <w:rPr>
                <w:sz w:val="21"/>
                <w:szCs w:val="21"/>
              </w:rPr>
            </w:pPr>
            <w:r>
              <w:rPr>
                <w:sz w:val="21"/>
                <w:szCs w:val="21"/>
              </w:rPr>
              <w:t>radničkih</w:t>
            </w:r>
          </w:p>
          <w:p w:rsidRDefault="00162E23" w:rsidP="005E074B" w:rsidR="00162E23">
            <w:pPr>
              <w:pStyle w:val="TableContents"/>
              <w:rPr>
                <w:sz w:val="21"/>
                <w:szCs w:val="21"/>
              </w:rPr>
            </w:pPr>
            <w:r>
              <w:rPr>
                <w:sz w:val="21"/>
                <w:szCs w:val="21"/>
              </w:rPr>
              <w:t>potraživanja</w:t>
            </w:r>
          </w:p>
          <w:p w:rsidRDefault="00162E23" w:rsidP="005E074B" w:rsidR="00162E23">
            <w:pPr>
              <w:pStyle w:val="TableContents"/>
              <w:rPr>
                <w:sz w:val="21"/>
                <w:szCs w:val="21"/>
              </w:rPr>
            </w:pPr>
            <w:r>
              <w:rPr>
                <w:sz w:val="21"/>
                <w:szCs w:val="21"/>
              </w:rPr>
              <w:t>u slučaju</w:t>
            </w:r>
          </w:p>
          <w:p w:rsidRDefault="00162E23" w:rsidP="005E074B" w:rsidR="00162E23">
            <w:pPr>
              <w:pStyle w:val="TableContents"/>
              <w:rPr>
                <w:sz w:val="21"/>
                <w:szCs w:val="21"/>
              </w:rPr>
            </w:pPr>
            <w:r>
              <w:rPr>
                <w:sz w:val="21"/>
                <w:szCs w:val="21"/>
              </w:rPr>
              <w:t>stečaja</w:t>
            </w:r>
          </w:p>
          <w:p w:rsidRDefault="00162E23" w:rsidP="005E074B" w:rsidR="00162E23">
            <w:pPr>
              <w:pStyle w:val="TableContents"/>
              <w:rPr>
                <w:sz w:val="21"/>
                <w:szCs w:val="21"/>
              </w:rPr>
            </w:pPr>
            <w:r>
              <w:rPr>
                <w:sz w:val="21"/>
                <w:szCs w:val="21"/>
              </w:rPr>
              <w:t>poslodavca</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13.273,12</w:t>
            </w:r>
          </w:p>
        </w:tc>
        <w:tc>
          <w:tcPr>
            <w:tcW w:type="dxa" w:w="1609"/>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100,00 %</w:t>
            </w:r>
          </w:p>
        </w:tc>
      </w:tr>
      <w:tr w:rsidTr="005E074B" w:rsidR="00162E23">
        <w:tc>
          <w:tcPr>
            <w:tcW w:type="dxa" w:w="9638"/>
            <w:gridSpan w:val="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II. VIŠI ISPLATNI RED</w:t>
            </w:r>
          </w:p>
        </w:tc>
      </w:tr>
      <w:tr w:rsidTr="005E074B" w:rsidR="00162E23">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INKASO</w:t>
            </w:r>
          </w:p>
          <w:p w:rsidRDefault="00162E23" w:rsidP="005E074B" w:rsidR="00162E23">
            <w:pPr>
              <w:pStyle w:val="TableContents"/>
              <w:rPr>
                <w:sz w:val="21"/>
                <w:szCs w:val="21"/>
              </w:rPr>
            </w:pPr>
            <w:r>
              <w:rPr>
                <w:sz w:val="21"/>
                <w:szCs w:val="21"/>
              </w:rPr>
              <w:t>HR d.o.o.,</w:t>
            </w:r>
          </w:p>
          <w:p w:rsidRDefault="00162E23" w:rsidP="005E074B" w:rsidR="00162E23">
            <w:pPr>
              <w:pStyle w:val="TableContents"/>
              <w:rPr>
                <w:sz w:val="21"/>
                <w:szCs w:val="21"/>
              </w:rPr>
            </w:pPr>
            <w:r>
              <w:rPr>
                <w:sz w:val="21"/>
                <w:szCs w:val="21"/>
              </w:rPr>
              <w:t>Osijek</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1.250,59</w:t>
            </w:r>
          </w:p>
        </w:tc>
        <w:tc>
          <w:tcPr>
            <w:tcW w:type="dxa" w:w="1607"/>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0,00 %</w:t>
            </w:r>
          </w:p>
        </w:tc>
        <w:tc>
          <w:tcPr>
            <w:tcW w:type="dxa" w:w="1604"/>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INKASO</w:t>
            </w:r>
          </w:p>
          <w:p w:rsidRDefault="00162E23" w:rsidP="005E074B" w:rsidR="00162E23">
            <w:pPr>
              <w:pStyle w:val="TableContents"/>
              <w:rPr>
                <w:sz w:val="21"/>
                <w:szCs w:val="21"/>
              </w:rPr>
            </w:pPr>
            <w:r>
              <w:rPr>
                <w:sz w:val="21"/>
                <w:szCs w:val="21"/>
              </w:rPr>
              <w:t>HR d.o.o.,</w:t>
            </w:r>
          </w:p>
          <w:p w:rsidRDefault="00162E23" w:rsidP="005E074B" w:rsidR="00162E23">
            <w:pPr>
              <w:pStyle w:val="TableContents"/>
              <w:rPr>
                <w:sz w:val="21"/>
                <w:szCs w:val="21"/>
              </w:rPr>
            </w:pPr>
            <w:r>
              <w:rPr>
                <w:sz w:val="21"/>
                <w:szCs w:val="21"/>
              </w:rPr>
              <w:t>Osijek</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1.250,59</w:t>
            </w:r>
          </w:p>
        </w:tc>
        <w:tc>
          <w:tcPr>
            <w:tcW w:type="dxa" w:w="1609"/>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100,00 %</w:t>
            </w:r>
          </w:p>
        </w:tc>
      </w:tr>
      <w:tr w:rsidTr="005E074B" w:rsidR="00162E23">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Odvjetnik</w:t>
            </w:r>
          </w:p>
          <w:p w:rsidRDefault="00162E23" w:rsidP="005E074B" w:rsidR="00162E23">
            <w:pPr>
              <w:pStyle w:val="TableContents"/>
              <w:rPr>
                <w:sz w:val="21"/>
                <w:szCs w:val="21"/>
              </w:rPr>
            </w:pPr>
            <w:r>
              <w:rPr>
                <w:sz w:val="21"/>
                <w:szCs w:val="21"/>
              </w:rPr>
              <w:t>Romana</w:t>
            </w:r>
          </w:p>
          <w:p w:rsidRDefault="00162E23" w:rsidP="005E074B" w:rsidR="00162E23">
            <w:pPr>
              <w:pStyle w:val="TableContents"/>
              <w:rPr>
                <w:sz w:val="21"/>
                <w:szCs w:val="21"/>
              </w:rPr>
            </w:pPr>
            <w:r>
              <w:rPr>
                <w:sz w:val="21"/>
                <w:szCs w:val="21"/>
              </w:rPr>
              <w:t>Malašić</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3.125,00</w:t>
            </w:r>
          </w:p>
        </w:tc>
        <w:tc>
          <w:tcPr>
            <w:tcW w:type="dxa" w:w="1607"/>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0,00 %</w:t>
            </w:r>
          </w:p>
        </w:tc>
        <w:tc>
          <w:tcPr>
            <w:tcW w:type="dxa" w:w="1604"/>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Odvjetnik</w:t>
            </w:r>
          </w:p>
          <w:p w:rsidRDefault="00162E23" w:rsidP="005E074B" w:rsidR="00162E23">
            <w:pPr>
              <w:pStyle w:val="TableContents"/>
              <w:rPr>
                <w:sz w:val="21"/>
                <w:szCs w:val="21"/>
              </w:rPr>
            </w:pPr>
            <w:r>
              <w:rPr>
                <w:sz w:val="21"/>
                <w:szCs w:val="21"/>
              </w:rPr>
              <w:t>Romana</w:t>
            </w:r>
          </w:p>
          <w:p w:rsidRDefault="00162E23" w:rsidP="005E074B" w:rsidR="00162E23">
            <w:pPr>
              <w:pStyle w:val="TableContents"/>
              <w:rPr>
                <w:sz w:val="21"/>
                <w:szCs w:val="21"/>
              </w:rPr>
            </w:pPr>
            <w:r>
              <w:rPr>
                <w:sz w:val="21"/>
                <w:szCs w:val="21"/>
              </w:rPr>
              <w:t>Malašić</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3.125,00</w:t>
            </w:r>
          </w:p>
        </w:tc>
        <w:tc>
          <w:tcPr>
            <w:tcW w:type="dxa" w:w="1609"/>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100,00 %</w:t>
            </w:r>
          </w:p>
        </w:tc>
      </w:tr>
      <w:tr w:rsidTr="005E074B" w:rsidR="00162E23">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Podravska</w:t>
            </w:r>
          </w:p>
          <w:p w:rsidRDefault="00162E23" w:rsidP="005E074B" w:rsidR="00162E23">
            <w:pPr>
              <w:pStyle w:val="TableContents"/>
              <w:rPr>
                <w:sz w:val="21"/>
                <w:szCs w:val="21"/>
              </w:rPr>
            </w:pPr>
            <w:r>
              <w:rPr>
                <w:sz w:val="21"/>
                <w:szCs w:val="21"/>
              </w:rPr>
              <w:t>banka d.d.</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359,75</w:t>
            </w:r>
          </w:p>
        </w:tc>
        <w:tc>
          <w:tcPr>
            <w:tcW w:type="dxa" w:w="1607"/>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0,00 %</w:t>
            </w:r>
          </w:p>
        </w:tc>
        <w:tc>
          <w:tcPr>
            <w:tcW w:type="dxa" w:w="1604"/>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Podravska</w:t>
            </w:r>
          </w:p>
          <w:p w:rsidRDefault="00162E23" w:rsidP="005E074B" w:rsidR="00162E23">
            <w:pPr>
              <w:pStyle w:val="TableContents"/>
              <w:rPr>
                <w:sz w:val="21"/>
                <w:szCs w:val="21"/>
              </w:rPr>
            </w:pPr>
            <w:r>
              <w:rPr>
                <w:sz w:val="21"/>
                <w:szCs w:val="21"/>
              </w:rPr>
              <w:t>banka d.d.</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359,75</w:t>
            </w:r>
          </w:p>
        </w:tc>
        <w:tc>
          <w:tcPr>
            <w:tcW w:type="dxa" w:w="1609"/>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100,00 %</w:t>
            </w:r>
          </w:p>
        </w:tc>
      </w:tr>
      <w:tr w:rsidTr="005E074B" w:rsidR="00162E23">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RH</w:t>
            </w:r>
          </w:p>
          <w:p w:rsidRDefault="00162E23" w:rsidP="005E074B" w:rsidR="00162E23">
            <w:pPr>
              <w:pStyle w:val="TableContents"/>
              <w:rPr>
                <w:sz w:val="21"/>
                <w:szCs w:val="21"/>
              </w:rPr>
            </w:pPr>
            <w:r>
              <w:rPr>
                <w:sz w:val="21"/>
                <w:szCs w:val="21"/>
              </w:rPr>
              <w:t>Ministarstv</w:t>
            </w:r>
          </w:p>
          <w:p w:rsidRDefault="00162E23" w:rsidP="005E074B" w:rsidR="00162E23">
            <w:pPr>
              <w:pStyle w:val="TableContents"/>
              <w:rPr>
                <w:sz w:val="21"/>
                <w:szCs w:val="21"/>
              </w:rPr>
            </w:pPr>
            <w:r>
              <w:rPr>
                <w:sz w:val="21"/>
                <w:szCs w:val="21"/>
              </w:rPr>
              <w:t>o financija</w:t>
            </w:r>
          </w:p>
          <w:p w:rsidRDefault="00162E23" w:rsidP="005E074B" w:rsidR="00162E23">
            <w:pPr>
              <w:pStyle w:val="TableContents"/>
              <w:rPr>
                <w:sz w:val="21"/>
                <w:szCs w:val="21"/>
              </w:rPr>
            </w:pPr>
            <w:r>
              <w:rPr>
                <w:sz w:val="21"/>
                <w:szCs w:val="21"/>
              </w:rPr>
              <w:lastRenderedPageBreak/>
              <w:t>-Por.uprava</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lastRenderedPageBreak/>
              <w:t>44.922,91</w:t>
            </w:r>
          </w:p>
        </w:tc>
        <w:tc>
          <w:tcPr>
            <w:tcW w:type="dxa" w:w="1607"/>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0,00 %</w:t>
            </w:r>
          </w:p>
        </w:tc>
        <w:tc>
          <w:tcPr>
            <w:tcW w:type="dxa" w:w="1604"/>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RH</w:t>
            </w:r>
          </w:p>
          <w:p w:rsidRDefault="00162E23" w:rsidP="005E074B" w:rsidR="00162E23">
            <w:pPr>
              <w:pStyle w:val="TableContents"/>
              <w:rPr>
                <w:sz w:val="21"/>
                <w:szCs w:val="21"/>
              </w:rPr>
            </w:pPr>
            <w:r>
              <w:rPr>
                <w:sz w:val="21"/>
                <w:szCs w:val="21"/>
              </w:rPr>
              <w:t>Ministarstv</w:t>
            </w:r>
          </w:p>
          <w:p w:rsidRDefault="00162E23" w:rsidP="005E074B" w:rsidR="00162E23">
            <w:pPr>
              <w:pStyle w:val="TableContents"/>
              <w:rPr>
                <w:sz w:val="21"/>
                <w:szCs w:val="21"/>
              </w:rPr>
            </w:pPr>
            <w:r>
              <w:rPr>
                <w:sz w:val="21"/>
                <w:szCs w:val="21"/>
              </w:rPr>
              <w:t>o financija</w:t>
            </w:r>
          </w:p>
          <w:p w:rsidRDefault="00162E23" w:rsidP="005E074B" w:rsidR="00162E23">
            <w:pPr>
              <w:pStyle w:val="TableContents"/>
              <w:rPr>
                <w:sz w:val="21"/>
                <w:szCs w:val="21"/>
              </w:rPr>
            </w:pPr>
            <w:r>
              <w:rPr>
                <w:sz w:val="21"/>
                <w:szCs w:val="21"/>
              </w:rPr>
              <w:lastRenderedPageBreak/>
              <w:t>-Por.uprava</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lastRenderedPageBreak/>
              <w:t>44.922,91</w:t>
            </w:r>
          </w:p>
        </w:tc>
        <w:tc>
          <w:tcPr>
            <w:tcW w:type="dxa" w:w="1609"/>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100,00 %</w:t>
            </w:r>
          </w:p>
        </w:tc>
      </w:tr>
      <w:tr w:rsidTr="005E074B" w:rsidR="00162E23">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lastRenderedPageBreak/>
              <w:t>Fina</w:t>
            </w:r>
          </w:p>
          <w:p w:rsidRDefault="00162E23" w:rsidP="005E074B" w:rsidR="00162E23">
            <w:pPr>
              <w:pStyle w:val="TableContents"/>
              <w:rPr>
                <w:sz w:val="21"/>
                <w:szCs w:val="21"/>
              </w:rPr>
            </w:pPr>
            <w:r>
              <w:rPr>
                <w:sz w:val="21"/>
                <w:szCs w:val="21"/>
              </w:rPr>
              <w:t>financijska</w:t>
            </w:r>
          </w:p>
          <w:p w:rsidRDefault="00162E23" w:rsidP="005E074B" w:rsidR="00162E23">
            <w:pPr>
              <w:pStyle w:val="TableContents"/>
              <w:rPr>
                <w:sz w:val="21"/>
                <w:szCs w:val="21"/>
              </w:rPr>
            </w:pPr>
            <w:r>
              <w:rPr>
                <w:sz w:val="21"/>
                <w:szCs w:val="21"/>
              </w:rPr>
              <w:t>agencija</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20.039,53</w:t>
            </w:r>
          </w:p>
        </w:tc>
        <w:tc>
          <w:tcPr>
            <w:tcW w:type="dxa" w:w="1607"/>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0,00 %</w:t>
            </w:r>
          </w:p>
        </w:tc>
        <w:tc>
          <w:tcPr>
            <w:tcW w:type="dxa" w:w="1604"/>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Fina</w:t>
            </w:r>
          </w:p>
          <w:p w:rsidRDefault="00162E23" w:rsidP="005E074B" w:rsidR="00162E23">
            <w:pPr>
              <w:pStyle w:val="TableContents"/>
              <w:rPr>
                <w:sz w:val="21"/>
                <w:szCs w:val="21"/>
              </w:rPr>
            </w:pPr>
            <w:r>
              <w:rPr>
                <w:sz w:val="21"/>
                <w:szCs w:val="21"/>
              </w:rPr>
              <w:t>financijska</w:t>
            </w:r>
          </w:p>
          <w:p w:rsidRDefault="00162E23" w:rsidP="005E074B" w:rsidR="00162E23">
            <w:pPr>
              <w:pStyle w:val="TableContents"/>
              <w:rPr>
                <w:sz w:val="21"/>
                <w:szCs w:val="21"/>
              </w:rPr>
            </w:pPr>
            <w:r>
              <w:rPr>
                <w:sz w:val="21"/>
                <w:szCs w:val="21"/>
              </w:rPr>
              <w:t>agencija</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20.039,53</w:t>
            </w:r>
          </w:p>
        </w:tc>
        <w:tc>
          <w:tcPr>
            <w:tcW w:type="dxa" w:w="1609"/>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100,00 %</w:t>
            </w:r>
          </w:p>
        </w:tc>
      </w:tr>
      <w:tr w:rsidTr="005E074B" w:rsidR="00162E23">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Hrvatski</w:t>
            </w:r>
          </w:p>
          <w:p w:rsidRDefault="00162E23" w:rsidP="005E074B" w:rsidR="00162E23">
            <w:pPr>
              <w:pStyle w:val="TableContents"/>
              <w:rPr>
                <w:sz w:val="21"/>
                <w:szCs w:val="21"/>
              </w:rPr>
            </w:pPr>
            <w:r>
              <w:rPr>
                <w:sz w:val="21"/>
                <w:szCs w:val="21"/>
              </w:rPr>
              <w:t>telekom</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5.526,89</w:t>
            </w:r>
          </w:p>
        </w:tc>
        <w:tc>
          <w:tcPr>
            <w:tcW w:type="dxa" w:w="1607"/>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0,00 %</w:t>
            </w:r>
          </w:p>
        </w:tc>
        <w:tc>
          <w:tcPr>
            <w:tcW w:type="dxa" w:w="1604"/>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Hrvatski</w:t>
            </w:r>
          </w:p>
          <w:p w:rsidRDefault="00162E23" w:rsidP="005E074B" w:rsidR="00162E23">
            <w:pPr>
              <w:pStyle w:val="TableContents"/>
              <w:rPr>
                <w:sz w:val="21"/>
                <w:szCs w:val="21"/>
              </w:rPr>
            </w:pPr>
            <w:r>
              <w:rPr>
                <w:sz w:val="21"/>
                <w:szCs w:val="21"/>
              </w:rPr>
              <w:t>telekom</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5.526,89</w:t>
            </w:r>
          </w:p>
        </w:tc>
        <w:tc>
          <w:tcPr>
            <w:tcW w:type="dxa" w:w="1609"/>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100,00 %</w:t>
            </w:r>
          </w:p>
        </w:tc>
      </w:tr>
      <w:tr w:rsidTr="005E074B" w:rsidR="00162E23">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Mirjana</w:t>
            </w:r>
          </w:p>
          <w:p w:rsidRDefault="00162E23" w:rsidP="005E074B" w:rsidR="00162E23">
            <w:pPr>
              <w:pStyle w:val="TableContents"/>
              <w:rPr>
                <w:sz w:val="21"/>
                <w:szCs w:val="21"/>
              </w:rPr>
            </w:pPr>
            <w:r>
              <w:rPr>
                <w:sz w:val="21"/>
                <w:szCs w:val="21"/>
              </w:rPr>
              <w:t>Rinkovec</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33.496,98</w:t>
            </w:r>
          </w:p>
        </w:tc>
        <w:tc>
          <w:tcPr>
            <w:tcW w:type="dxa" w:w="1607"/>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0,00 %</w:t>
            </w:r>
          </w:p>
        </w:tc>
        <w:tc>
          <w:tcPr>
            <w:tcW w:type="dxa" w:w="1604"/>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Mirjana</w:t>
            </w:r>
          </w:p>
          <w:p w:rsidRDefault="00162E23" w:rsidP="005E074B" w:rsidR="00162E23">
            <w:pPr>
              <w:pStyle w:val="TableContents"/>
              <w:rPr>
                <w:sz w:val="21"/>
                <w:szCs w:val="21"/>
              </w:rPr>
            </w:pPr>
            <w:r>
              <w:rPr>
                <w:sz w:val="21"/>
                <w:szCs w:val="21"/>
              </w:rPr>
              <w:t>Rinkovec</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33.496,98</w:t>
            </w:r>
          </w:p>
        </w:tc>
        <w:tc>
          <w:tcPr>
            <w:tcW w:type="dxa" w:w="1609"/>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100,00 %</w:t>
            </w:r>
          </w:p>
        </w:tc>
      </w:tr>
      <w:tr w:rsidTr="005E074B" w:rsidR="00162E23">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VIP NET</w:t>
            </w:r>
          </w:p>
          <w:p w:rsidRDefault="00162E23" w:rsidP="005E074B" w:rsidR="00162E23">
            <w:pPr>
              <w:pStyle w:val="TableContents"/>
              <w:rPr>
                <w:sz w:val="21"/>
                <w:szCs w:val="21"/>
              </w:rPr>
            </w:pPr>
            <w:r>
              <w:rPr>
                <w:sz w:val="21"/>
                <w:szCs w:val="21"/>
              </w:rPr>
              <w:t>d.o.o.</w:t>
            </w:r>
          </w:p>
          <w:p w:rsidRDefault="00162E23" w:rsidP="005E074B" w:rsidR="00162E23">
            <w:pPr>
              <w:pStyle w:val="TableContents"/>
              <w:rPr>
                <w:sz w:val="21"/>
                <w:szCs w:val="21"/>
              </w:rPr>
            </w:pPr>
            <w:r>
              <w:rPr>
                <w:sz w:val="21"/>
                <w:szCs w:val="21"/>
              </w:rPr>
              <w:t>Zagreb</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2.639,86</w:t>
            </w:r>
          </w:p>
        </w:tc>
        <w:tc>
          <w:tcPr>
            <w:tcW w:type="dxa" w:w="1607"/>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0,00 %</w:t>
            </w:r>
          </w:p>
        </w:tc>
        <w:tc>
          <w:tcPr>
            <w:tcW w:type="dxa" w:w="1604"/>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VIP NET</w:t>
            </w:r>
          </w:p>
          <w:p w:rsidRDefault="00162E23" w:rsidP="005E074B" w:rsidR="00162E23">
            <w:pPr>
              <w:pStyle w:val="TableContents"/>
              <w:rPr>
                <w:sz w:val="21"/>
                <w:szCs w:val="21"/>
              </w:rPr>
            </w:pPr>
            <w:r>
              <w:rPr>
                <w:sz w:val="21"/>
                <w:szCs w:val="21"/>
              </w:rPr>
              <w:t>d.o.o.</w:t>
            </w:r>
          </w:p>
          <w:p w:rsidRDefault="00162E23" w:rsidP="005E074B" w:rsidR="00162E23">
            <w:pPr>
              <w:pStyle w:val="TableContents"/>
              <w:rPr>
                <w:sz w:val="21"/>
                <w:szCs w:val="21"/>
              </w:rPr>
            </w:pPr>
            <w:r>
              <w:rPr>
                <w:sz w:val="21"/>
                <w:szCs w:val="21"/>
              </w:rPr>
              <w:t>Zagreb</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2.639,86</w:t>
            </w:r>
          </w:p>
        </w:tc>
        <w:tc>
          <w:tcPr>
            <w:tcW w:type="dxa" w:w="1609"/>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100,00 %</w:t>
            </w:r>
          </w:p>
        </w:tc>
      </w:tr>
      <w:tr w:rsidTr="005E074B" w:rsidR="00162E23">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KATEX</w:t>
            </w:r>
          </w:p>
          <w:p w:rsidRDefault="00162E23" w:rsidP="005E074B" w:rsidR="00162E23">
            <w:pPr>
              <w:pStyle w:val="TableContents"/>
              <w:rPr>
                <w:sz w:val="21"/>
                <w:szCs w:val="21"/>
              </w:rPr>
            </w:pPr>
            <w:r>
              <w:rPr>
                <w:sz w:val="21"/>
                <w:szCs w:val="21"/>
              </w:rPr>
              <w:t>d.o.o.</w:t>
            </w:r>
          </w:p>
          <w:p w:rsidRDefault="00162E23" w:rsidP="005E074B" w:rsidR="00162E23">
            <w:pPr>
              <w:pStyle w:val="TableContents"/>
              <w:rPr>
                <w:sz w:val="21"/>
                <w:szCs w:val="21"/>
              </w:rPr>
            </w:pPr>
            <w:r>
              <w:rPr>
                <w:sz w:val="21"/>
                <w:szCs w:val="21"/>
              </w:rPr>
              <w:t>Čakovec</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29.680,24</w:t>
            </w:r>
          </w:p>
        </w:tc>
        <w:tc>
          <w:tcPr>
            <w:tcW w:type="dxa" w:w="1607"/>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0,00 %</w:t>
            </w:r>
          </w:p>
        </w:tc>
        <w:tc>
          <w:tcPr>
            <w:tcW w:type="dxa" w:w="1604"/>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KATEX</w:t>
            </w:r>
          </w:p>
          <w:p w:rsidRDefault="00162E23" w:rsidP="005E074B" w:rsidR="00162E23">
            <w:pPr>
              <w:pStyle w:val="TableContents"/>
              <w:rPr>
                <w:sz w:val="21"/>
                <w:szCs w:val="21"/>
              </w:rPr>
            </w:pPr>
            <w:r>
              <w:rPr>
                <w:sz w:val="21"/>
                <w:szCs w:val="21"/>
              </w:rPr>
              <w:t>d.o.o.</w:t>
            </w:r>
          </w:p>
          <w:p w:rsidRDefault="00162E23" w:rsidP="005E074B" w:rsidR="00162E23">
            <w:pPr>
              <w:pStyle w:val="TableContents"/>
              <w:rPr>
                <w:sz w:val="21"/>
                <w:szCs w:val="21"/>
              </w:rPr>
            </w:pPr>
            <w:r>
              <w:rPr>
                <w:sz w:val="21"/>
                <w:szCs w:val="21"/>
              </w:rPr>
              <w:t>Čakovec</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29.680,24</w:t>
            </w:r>
          </w:p>
        </w:tc>
        <w:tc>
          <w:tcPr>
            <w:tcW w:type="dxa" w:w="1609"/>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100,00 %</w:t>
            </w:r>
          </w:p>
        </w:tc>
      </w:tr>
      <w:tr w:rsidTr="005E074B" w:rsidR="00162E23">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Odvjetnik</w:t>
            </w:r>
          </w:p>
          <w:p w:rsidRDefault="00162E23" w:rsidP="005E074B" w:rsidR="00162E23">
            <w:pPr>
              <w:pStyle w:val="TableContents"/>
              <w:rPr>
                <w:sz w:val="21"/>
                <w:szCs w:val="21"/>
              </w:rPr>
            </w:pPr>
            <w:r>
              <w:rPr>
                <w:sz w:val="21"/>
                <w:szCs w:val="21"/>
              </w:rPr>
              <w:t>Domagoj</w:t>
            </w:r>
          </w:p>
          <w:p w:rsidRDefault="00162E23" w:rsidP="005E074B" w:rsidR="00162E23">
            <w:pPr>
              <w:pStyle w:val="TableContents"/>
              <w:rPr>
                <w:sz w:val="21"/>
                <w:szCs w:val="21"/>
              </w:rPr>
            </w:pPr>
            <w:r>
              <w:rPr>
                <w:sz w:val="21"/>
                <w:szCs w:val="21"/>
              </w:rPr>
              <w:t>Štefan</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1.553,54</w:t>
            </w:r>
          </w:p>
        </w:tc>
        <w:tc>
          <w:tcPr>
            <w:tcW w:type="dxa" w:w="1607"/>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0,00 %</w:t>
            </w:r>
          </w:p>
        </w:tc>
        <w:tc>
          <w:tcPr>
            <w:tcW w:type="dxa" w:w="1604"/>
            <w:tcBorders>
              <w:top w:space="0" w:sz="2" w:color="000001" w:val="single"/>
              <w:left w:space="0" w:sz="2" w:color="000001" w:val="single"/>
              <w:bottom w:space="0" w:sz="2" w:color="000001" w:val="single"/>
              <w:right w:space="0" w:sz="2" w:color="000001" w:val="single"/>
            </w:tcBorders>
            <w:shd w:fill="FFFFFF" w:color="auto" w:val="clear"/>
            <w:tcMar>
              <w:left w:type="dxa" w:w="51"/>
            </w:tcMar>
          </w:tcPr>
          <w:p w:rsidRDefault="00162E23" w:rsidP="005E074B" w:rsidR="00162E23">
            <w:pPr>
              <w:pStyle w:val="TableContents"/>
              <w:rPr>
                <w:sz w:val="21"/>
                <w:szCs w:val="21"/>
              </w:rPr>
            </w:pPr>
            <w:r>
              <w:rPr>
                <w:sz w:val="21"/>
                <w:szCs w:val="21"/>
              </w:rPr>
              <w:t>Odvjetnik</w:t>
            </w:r>
          </w:p>
          <w:p w:rsidRDefault="00162E23" w:rsidP="005E074B" w:rsidR="00162E23">
            <w:pPr>
              <w:pStyle w:val="TableContents"/>
              <w:rPr>
                <w:sz w:val="21"/>
                <w:szCs w:val="21"/>
              </w:rPr>
            </w:pPr>
            <w:r>
              <w:rPr>
                <w:sz w:val="21"/>
                <w:szCs w:val="21"/>
              </w:rPr>
              <w:t>Domagoj</w:t>
            </w:r>
          </w:p>
          <w:p w:rsidRDefault="00162E23" w:rsidP="005E074B" w:rsidR="00162E23">
            <w:pPr>
              <w:pStyle w:val="TableContents"/>
              <w:rPr>
                <w:sz w:val="21"/>
                <w:szCs w:val="21"/>
              </w:rPr>
            </w:pPr>
            <w:r>
              <w:rPr>
                <w:sz w:val="21"/>
                <w:szCs w:val="21"/>
              </w:rPr>
              <w:t>Štefan</w:t>
            </w:r>
          </w:p>
        </w:tc>
        <w:tc>
          <w:tcPr>
            <w:tcW w:type="dxa" w:w="1606"/>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1.553,54</w:t>
            </w:r>
          </w:p>
        </w:tc>
        <w:tc>
          <w:tcPr>
            <w:tcW w:type="dxa" w:w="1609"/>
            <w:tcBorders>
              <w:top w:space="0" w:sz="2" w:color="000001" w:val="single"/>
              <w:left w:space="0" w:sz="2" w:color="000001" w:val="single"/>
              <w:bottom w:space="0" w:sz="2" w:color="000001" w:val="single"/>
              <w:right w:space="0" w:sz="2" w:color="000001" w:val="single"/>
            </w:tcBorders>
            <w:shd w:fill="FFFFFF" w:color="auto" w:val="clear"/>
            <w:tcMar>
              <w:left w:type="dxa" w:w="51"/>
            </w:tcMar>
            <w:vAlign w:val="center"/>
          </w:tcPr>
          <w:p w:rsidRDefault="00162E23" w:rsidP="005E074B" w:rsidR="00162E23">
            <w:pPr>
              <w:pStyle w:val="TableContents"/>
              <w:rPr>
                <w:sz w:val="21"/>
                <w:szCs w:val="21"/>
              </w:rPr>
            </w:pPr>
            <w:r>
              <w:rPr>
                <w:sz w:val="21"/>
                <w:szCs w:val="21"/>
              </w:rPr>
              <w:t>100,00 %</w:t>
            </w:r>
          </w:p>
        </w:tc>
      </w:tr>
      <w:tr w:rsidTr="005E074B" w:rsidR="00162E23">
        <w:tblPrEx>
          <w:tblBorders>
            <w:top w:space="0" w:sz="2" w:color="000000" w:val="single"/>
            <w:left w:space="0" w:sz="2" w:color="000000" w:val="single"/>
            <w:bottom w:space="0" w:sz="2" w:color="000000" w:val="single"/>
            <w:right w:space="0" w:sz="2" w:color="000000" w:val="single"/>
            <w:insideH w:space="0" w:sz="2" w:color="000000" w:val="single"/>
            <w:insideV w:space="0" w:sz="2" w:color="000000" w:val="single"/>
          </w:tblBorders>
          <w:tblCellMar>
            <w:left w:type="dxa" w:w="54"/>
          </w:tblCellMar>
        </w:tblPrEx>
        <w:tc>
          <w:tcPr>
            <w:tcW w:type="dxa" w:w="9638"/>
            <w:gridSpan w:val="6"/>
            <w:tcBorders>
              <w:top w:space="0" w:sz="2" w:color="000000" w:val="single"/>
              <w:left w:space="0" w:sz="2" w:color="000000" w:val="single"/>
              <w:bottom w:space="0" w:sz="2" w:color="000000" w:val="single"/>
              <w:right w:space="0" w:sz="2" w:color="000000" w:val="single"/>
            </w:tcBorders>
            <w:shd w:fill="auto" w:color="auto" w:val="clear"/>
            <w:tcMar>
              <w:left w:type="dxa" w:w="54"/>
            </w:tcMar>
          </w:tcPr>
          <w:p w:rsidRDefault="00162E23" w:rsidP="005E074B" w:rsidR="00162E23">
            <w:pPr>
              <w:pStyle w:val="TableContents"/>
              <w:rPr>
                <w:sz w:val="21"/>
                <w:szCs w:val="21"/>
              </w:rPr>
            </w:pPr>
            <w:r>
              <w:rPr>
                <w:sz w:val="21"/>
                <w:szCs w:val="21"/>
              </w:rPr>
              <w:t>* Radnicima je podmirena minimalna plaća u iznosu od 3.120 kn. bruto tijekom trajanja stečajnog postupka</w:t>
            </w:r>
          </w:p>
        </w:tc>
      </w:tr>
    </w:tbl>
    <w:p w:rsidRDefault="00162E23" w:rsidP="00DA7C43" w:rsidR="00162E23">
      <w:pPr>
        <w:jc w:val="both"/>
      </w:pPr>
    </w:p>
    <w:p w:rsidRDefault="00162E23" w:rsidP="00DA7C43" w:rsidR="00162E23">
      <w:pPr>
        <w:jc w:val="both"/>
      </w:pPr>
    </w:p>
    <w:p w:rsidRDefault="00162E23" w:rsidP="00162E23" w:rsidR="00162E23">
      <w:pPr>
        <w:jc w:val="both"/>
      </w:pPr>
      <w:r>
        <w:t>Iz strukture očekivanog namirenja stečajnih vjerovnika jasno proizlazi da bi provedbom stečaja sa likvidacijom i unovčenjem cjelokupne materijalne imovine stečajnog dužnika bile podmireni troškovi stečajnog postupka, a da preostali iznos ne bi bio dostatan za namirenje preostalih vjerovnika. Ukoliko bi se prihvatio stečajni plan svi zaposleni radnici u društvu bi zadržali svoja radna mjesta. Prema ostvarenim poslovnim rezultatima i pregovorima sa društvom W&amp;C društvo bi pokrenulo proizvodnju i zaposlilo nove radnike. Provedbom stečajnog plana društvo bi podmirilo cjelokupne obveze prema svojim vjerovnicima. Niti jedan od sudionika plana nije stavljen u nepovoljniji položaj no što bi bio da plana nema.</w:t>
      </w:r>
    </w:p>
    <w:p w:rsidRDefault="00162E23" w:rsidP="00162E23" w:rsidR="00162E23">
      <w:pPr>
        <w:jc w:val="both"/>
      </w:pPr>
    </w:p>
    <w:p w:rsidRDefault="00162E23" w:rsidP="00162E23" w:rsidR="00162E23">
      <w:pPr>
        <w:jc w:val="both"/>
      </w:pPr>
    </w:p>
    <w:p w:rsidRDefault="00162E23" w:rsidP="00162E23" w:rsidR="00162E23">
      <w:pPr>
        <w:jc w:val="center"/>
        <w:rPr>
          <w:b/>
          <w:bCs/>
        </w:rPr>
      </w:pPr>
      <w:r>
        <w:rPr>
          <w:b/>
          <w:bCs/>
        </w:rPr>
        <w:t>PROVEDBENA OSNOVA</w:t>
      </w:r>
    </w:p>
    <w:p w:rsidRDefault="00162E23" w:rsidP="00162E23" w:rsidR="00162E23">
      <w:pPr>
        <w:jc w:val="center"/>
      </w:pPr>
    </w:p>
    <w:p w:rsidRDefault="00162E23" w:rsidP="00162E23" w:rsidR="00162E23">
      <w:pPr>
        <w:jc w:val="center"/>
      </w:pPr>
    </w:p>
    <w:p w:rsidRDefault="00162E23" w:rsidP="00162E23" w:rsidR="00162E23">
      <w:pPr>
        <w:numPr>
          <w:ilvl w:val="0"/>
          <w:numId w:val="46"/>
        </w:numPr>
      </w:pPr>
      <w:r>
        <w:t>Stvaranje skupina vjerovnika</w:t>
      </w:r>
    </w:p>
    <w:p w:rsidRDefault="00162E23" w:rsidP="00162E23" w:rsidR="00162E23"/>
    <w:p w:rsidRDefault="00162E23" w:rsidP="00162E23" w:rsidR="00162E23">
      <w:pPr>
        <w:jc w:val="both"/>
      </w:pPr>
      <w:r>
        <w:t>Dužnik nema razlučnih vjerovnika, te se stoga vjerovnici dužnika razvrstavaju u dvije skupine. Razvrstavanje u skupine vjerovnika je napravljeno prema isplatnim redovima a na osnovi rješenja o utvrđenim i osporenim tražbinama. U prvoj skupini se nalaze radnici i bivši radnici dužnika, Republika Hrvatska, Ministarstvo financija i Agencija za osiguranje radničkih potraživanja u slučaju stečaja poslodavca. U drugoj skupini se nalaze svi ostali vjerovnici stečajnog dužnika čije su tražbine utvrđene.</w:t>
      </w:r>
    </w:p>
    <w:p w:rsidRDefault="00162E23" w:rsidP="00162E23" w:rsidR="00162E23">
      <w:pPr>
        <w:jc w:val="both"/>
      </w:pPr>
    </w:p>
    <w:p w:rsidRDefault="00162E23" w:rsidP="00162E23" w:rsidR="00162E23">
      <w:pPr>
        <w:numPr>
          <w:ilvl w:val="0"/>
          <w:numId w:val="46"/>
        </w:numPr>
        <w:jc w:val="both"/>
        <w:rPr>
          <w:i/>
          <w:iCs/>
        </w:rPr>
      </w:pPr>
      <w:r>
        <w:rPr>
          <w:i/>
          <w:iCs/>
        </w:rPr>
        <w:t>Stečajni vjerovnici koji nisu nižeg isplatnog reda</w:t>
      </w:r>
    </w:p>
    <w:p w:rsidRDefault="00162E23" w:rsidP="00162E23" w:rsidR="00162E23">
      <w:pPr>
        <w:jc w:val="both"/>
      </w:pPr>
    </w:p>
    <w:p w:rsidRDefault="00162E23" w:rsidP="00162E23" w:rsidR="00162E23">
      <w:pPr>
        <w:jc w:val="both"/>
      </w:pPr>
      <w:r>
        <w:t>I. Skupinu vjerovnika koju čine radnici i bivši radnici stečajnog dužnika, Republika Hrvatska Ministarstvo financija i Agencija za osiguranje radničkih potraživanja u slučaju stečaja poslodavca. Vjerovnicima I. Skupine isplatiti će se utvrđene tražbine u cijelosti bez otpisa. Vjerovnici prve skupine, a sukladno rješenju o utvrđenim i osporenim tražbinama, su:</w:t>
      </w:r>
    </w:p>
    <w:p w:rsidRDefault="00162E23" w:rsidP="00162E23" w:rsidR="00162E23">
      <w:pPr>
        <w:jc w:val="both"/>
      </w:pPr>
    </w:p>
    <w:p w:rsidRDefault="00162E23" w:rsidP="00162E23" w:rsidR="00162E23">
      <w:r>
        <w:lastRenderedPageBreak/>
        <w:t>Marjana Brlenić, OIB: 22576647542., Črnec 102, Varaždin</w:t>
      </w:r>
      <w:r>
        <w:tab/>
      </w:r>
      <w:r>
        <w:tab/>
      </w:r>
      <w:r>
        <w:tab/>
        <w:t xml:space="preserve"> 7.117,53 kn.</w:t>
      </w:r>
    </w:p>
    <w:p w:rsidRDefault="00162E23" w:rsidP="00162E23" w:rsidR="00162E23">
      <w:r>
        <w:t xml:space="preserve">Darko Plukavec, OIB: 41366790588., Gregurovec 72., Mihovljanec, </w:t>
      </w:r>
      <w:r>
        <w:tab/>
      </w:r>
      <w:r>
        <w:tab/>
        <w:t>15.540,85 kn.</w:t>
      </w:r>
    </w:p>
    <w:p w:rsidRDefault="00162E23" w:rsidP="00162E23" w:rsidR="00162E23">
      <w:r>
        <w:t xml:space="preserve">Mirjana Rinkovec, OIB: 39216477104., Ul.22 rujna 1991.br 8., Varaždin </w:t>
      </w:r>
      <w:r>
        <w:tab/>
      </w:r>
      <w:r>
        <w:tab/>
        <w:t>52.538,10 kn.</w:t>
      </w:r>
    </w:p>
    <w:p w:rsidRDefault="00162E23" w:rsidP="00162E23" w:rsidR="00162E23">
      <w:r>
        <w:t xml:space="preserve">Jasmina Surjak, OIB: 25163314448., Matije Gupca12, Ivanec., </w:t>
      </w:r>
      <w:r>
        <w:tab/>
      </w:r>
      <w:r>
        <w:tab/>
      </w:r>
      <w:r>
        <w:tab/>
        <w:t>14.157,95 kn.</w:t>
      </w:r>
    </w:p>
    <w:p w:rsidRDefault="00162E23" w:rsidP="00162E23" w:rsidR="00162E23">
      <w:r>
        <w:t xml:space="preserve">Ministarstvo financija RH, Porezna uprava, OIB: 52634238587., Graberje 1., </w:t>
      </w:r>
      <w:r>
        <w:tab/>
        <w:t>46.723,30 kn.</w:t>
      </w:r>
    </w:p>
    <w:p w:rsidRDefault="00162E23" w:rsidP="00162E23" w:rsidR="00162E23">
      <w:r>
        <w:t xml:space="preserve">Agencija za osiguranje radničkih potraživanja u slučaju stečaja poslodavca., </w:t>
      </w:r>
    </w:p>
    <w:p w:rsidRDefault="00162E23" w:rsidP="00162E23" w:rsidR="00162E23">
      <w:r>
        <w:t>OIB:04323472109., Frankopanska 11., Zagreb</w:t>
      </w:r>
      <w:r>
        <w:tab/>
      </w:r>
      <w:r>
        <w:tab/>
      </w:r>
      <w:r>
        <w:tab/>
      </w:r>
      <w:r>
        <w:tab/>
      </w:r>
      <w:r>
        <w:tab/>
        <w:t>13.273,12 kn.</w:t>
      </w:r>
    </w:p>
    <w:p w:rsidRDefault="00162E23" w:rsidP="00162E23" w:rsidR="00162E23"/>
    <w:p w:rsidRDefault="00162E23" w:rsidP="00162E23" w:rsidR="00162E23">
      <w:pPr>
        <w:jc w:val="both"/>
      </w:pPr>
      <w:r>
        <w:t>U dosadašnjem tijeku stečajnog postupka stečajni dužnik je podmirio jednu minimalnu plaću radnicima kao trošak stečajnog postupka. Radnicima Marjani Brlenić, Darko Puklavec i Jasmina Surjak je isplaćena minimalna plaća u visini od 2.496,00 kn. Republici Hrvatskoj je za svaku isplaćenu minimalnu plaću isplaćeno 468,00 kn. sa osnova plaćanja doprinosa za MIO I Stup i 156,00 kn. sa osnova plaćanja doprinosa za MIO II. Stoga stečajni dužnik predlaže umanjenje visine utvrđenih tražbina navedenih vjerovnika i to Marjani Brlenić za iznos od 2.496,00 kn., Darku Plukavec za iznos od 2.496,00 kn. i Jasmini Surjak za iznos od 2.496,00 kn. Republici Hrvatskoj, Ministarstvu financija se predlaže umanjenje utvrđene tražbine prvog višeg isplatnog reda za iznos od 1.872,00 kn. sa osnova uplaćenih doprinosa na isplaćene minimalne plaće.</w:t>
      </w:r>
    </w:p>
    <w:p w:rsidRDefault="00162E23" w:rsidP="00162E23" w:rsidR="00162E23">
      <w:pPr>
        <w:jc w:val="both"/>
      </w:pPr>
      <w:r>
        <w:t>Nakon umanjenja visine obveze prema ovim vjerovnicima, stečajni dužnik se obvezuje vjerovnicima I. Skupine podmiriti preostale obveze u dva anuiteta na način da će se vjerovnicima I. Skupine isplatiti 50% utvrđene tražbine u prvom anuitetu, a preostalih 50% utvrđene tražbine u drugom anuitetu. Prvi anuitet dospjeva najkasnije do 31.12.2018. godine, a drugi anuitet dospjeva najkasnije od 31.12.2019. godine na način:</w:t>
      </w:r>
    </w:p>
    <w:p w:rsidRDefault="00162E23" w:rsidP="00DA7C43" w:rsidR="00162E23">
      <w:pPr>
        <w:jc w:val="both"/>
      </w:pPr>
    </w:p>
    <w:p w:rsidRDefault="00162E23" w:rsidP="00DA7C43" w:rsidR="00162E23">
      <w:pPr>
        <w:jc w:val="both"/>
      </w:pPr>
    </w:p>
    <w:p w:rsidRDefault="00C72D03" w:rsidP="00DA7C43" w:rsidR="00C72D03">
      <w:pPr>
        <w:jc w:val="both"/>
      </w:pPr>
    </w:p>
    <w:p w:rsidRDefault="00162E23" w:rsidP="00162E23" w:rsidR="00162E23">
      <w:pPr>
        <w:numPr>
          <w:ilvl w:val="0"/>
          <w:numId w:val="47"/>
        </w:numPr>
        <w:jc w:val="both"/>
      </w:pPr>
      <w:r>
        <w:t>Vjerovniku Marjana Brlenić, OIB: 22576647542., Črnec 102, Varaždin dužnik se obvezuje isplatiti tražbinu u iznosu od 4.621,53 kn. u dva anuiteta od kojih prvi anuitet u iznosu od  od 2.310,76 kn. dospjeva 31.12.2018. godine, a drugi anuitet u iznosu od 2.310,75 kn. dospjeva 31.12.2019. godine.</w:t>
      </w:r>
    </w:p>
    <w:p w:rsidRDefault="00162E23" w:rsidP="00162E23" w:rsidR="00162E23">
      <w:pPr>
        <w:numPr>
          <w:ilvl w:val="0"/>
          <w:numId w:val="47"/>
        </w:numPr>
        <w:jc w:val="both"/>
      </w:pPr>
      <w:r>
        <w:t>Vjerovniku Darko Plukavec, OIB: 41366790588., Gregurovec 72., Mihovljanec dužnik se obvezuje isplatiti tražbinu u iznosu od 13.044,85 kn. u dva anuiteta od kojih prvi anuitet u iznosu od 6.522,42 kn. dospjeva 31.12.2018. godine, a drugi anuitet u iznosu od 6.522,43 kn. dospjeva 31.12.2019. godine.</w:t>
      </w:r>
    </w:p>
    <w:p w:rsidRDefault="00162E23" w:rsidP="00162E23" w:rsidR="00162E23">
      <w:pPr>
        <w:numPr>
          <w:ilvl w:val="0"/>
          <w:numId w:val="47"/>
        </w:numPr>
        <w:jc w:val="both"/>
      </w:pPr>
      <w:r>
        <w:t>Vjerovniku Jasmina Surjak, OIB: 25163314448., Matije Gupca 12., Ivanec dužnik se obvezuje isplatiti tražbinu u iznosu od 11.661,95 kn. u dva anuiteta od kojih prvi anuitet u iznosu od 5.830,97 kn. dospjeva 31.12.2018. godine, a drugi anuitet u iznosu od 5.830,98 kn. dospjeva 31.12.2019. godine.</w:t>
      </w:r>
    </w:p>
    <w:p w:rsidRDefault="00162E23" w:rsidP="00162E23" w:rsidR="00162E23">
      <w:pPr>
        <w:numPr>
          <w:ilvl w:val="0"/>
          <w:numId w:val="47"/>
        </w:numPr>
        <w:jc w:val="both"/>
      </w:pPr>
      <w:r>
        <w:t>Vjerovniku Mirjana Rinkovec, OIB: 39216477104., Ulica 22. rujna 1991. br 8., Varaždin dužnik se obvezuje isplatiti tražbinu u iznosu od 52.538,10 kn. u dva anuiteta od kojih prvi anuitet u iznosu od 26.269,05 kn. dospjeva 31.12.2018. godine, a drugi anuitet u iznosu od 26.269,05 kn. dospjeva 31.12.2019. godine.</w:t>
      </w:r>
    </w:p>
    <w:p w:rsidRDefault="00162E23" w:rsidP="00162E23" w:rsidR="00162E23">
      <w:pPr>
        <w:numPr>
          <w:ilvl w:val="0"/>
          <w:numId w:val="47"/>
        </w:numPr>
        <w:jc w:val="both"/>
      </w:pPr>
      <w:r>
        <w:t xml:space="preserve">Vjerovniku Ministarstvo financija RH, Porezna uprava, OIB: 52634238587., Graberje 1. dužnik se obvezuje isplatiti tražbinu u iznosu od 44.851,30 kn. u dva anuiteta od </w:t>
      </w:r>
      <w:r>
        <w:lastRenderedPageBreak/>
        <w:t>kojih prvi anuitet u iznosu od 22.426,65 kn. dospjeva 31.12.2018. godine, a drugi anuitet u iznosu od 22.426,65 kn. dospjeva 31.12.2019. godine.</w:t>
      </w:r>
    </w:p>
    <w:p w:rsidRDefault="00162E23" w:rsidP="00162E23" w:rsidR="00162E23">
      <w:pPr>
        <w:numPr>
          <w:ilvl w:val="0"/>
          <w:numId w:val="47"/>
        </w:numPr>
        <w:jc w:val="both"/>
      </w:pPr>
      <w:r>
        <w:t>Vjerovniku Agencija za osiguranje radničkih potraživanja u slučaju stečaja poslodavca OIB:04323472109., Frankopanska 11., Zagreb., dužnik se obvezuje isplatiti tražbinu u iznosu od 13.273,12 kn. u dva anuiteta od kojih prvi anuitet u iznosu od 6.636,56 kn.  dospjeva 31.12.2018. godine, a drugi anuitet u iznosu od 6.636,56 kn. dospjeva  31.12.2019. godine.</w:t>
      </w:r>
    </w:p>
    <w:p w:rsidRDefault="00162E23" w:rsidP="00162E23" w:rsidR="00162E23">
      <w:pPr>
        <w:jc w:val="both"/>
      </w:pPr>
    </w:p>
    <w:p w:rsidRDefault="00162E23" w:rsidP="00162E23" w:rsidR="00162E23">
      <w:pPr>
        <w:jc w:val="both"/>
      </w:pPr>
      <w:r>
        <w:t>Nakon što se ispune obveze prema vjerovnicima I. Skupine pristupiti će se namirenju tražbina vjerovnika II. Skupine. II. Skupinu čine vjerovnici drugog višeg isplatnog reda kako je utvrđeno rješenjem o utvrđenim i osporenim tražbinama. Stečajne vjerovnike II. Skupine čine:</w:t>
      </w:r>
    </w:p>
    <w:p w:rsidRDefault="00162E23" w:rsidP="00162E23" w:rsidR="00162E23">
      <w:pPr>
        <w:jc w:val="both"/>
      </w:pPr>
    </w:p>
    <w:p w:rsidRDefault="00162E23" w:rsidP="00162E23" w:rsidR="00162E23">
      <w:pPr>
        <w:jc w:val="both"/>
      </w:pPr>
      <w:r>
        <w:t xml:space="preserve">INKASO HR d.o.o., Osijek, OIB: 82925459345., L.Jagera 5., 31000 Osijek, </w:t>
      </w:r>
      <w:r>
        <w:tab/>
        <w:t>1.250,59 kn.</w:t>
      </w:r>
    </w:p>
    <w:p w:rsidRDefault="00162E23" w:rsidP="00162E23" w:rsidR="00162E23">
      <w:pPr>
        <w:jc w:val="both"/>
      </w:pPr>
      <w:r>
        <w:t xml:space="preserve">Odvjetnik Romana Malašić, OIB: 67902305286., Knegingradska 59., </w:t>
      </w:r>
    </w:p>
    <w:p w:rsidRDefault="00162E23" w:rsidP="00162E23" w:rsidR="00162E23">
      <w:pPr>
        <w:jc w:val="both"/>
      </w:pPr>
      <w:r>
        <w:t xml:space="preserve">Kneginec Gornji </w:t>
      </w:r>
      <w:r>
        <w:tab/>
      </w:r>
      <w:r>
        <w:tab/>
      </w:r>
      <w:r>
        <w:tab/>
      </w:r>
      <w:r>
        <w:tab/>
      </w:r>
      <w:r>
        <w:tab/>
      </w:r>
      <w:r>
        <w:tab/>
      </w:r>
      <w:r>
        <w:tab/>
      </w:r>
      <w:r>
        <w:tab/>
      </w:r>
      <w:r>
        <w:tab/>
        <w:t xml:space="preserve">3.125,00 kn. </w:t>
      </w:r>
    </w:p>
    <w:p w:rsidRDefault="00162E23" w:rsidP="00162E23" w:rsidR="00162E23">
      <w:pPr>
        <w:jc w:val="both"/>
      </w:pPr>
      <w:r>
        <w:t xml:space="preserve">Podravska banka d.d., OIB: 97326283154., Opatička 3., Koprivnica </w:t>
      </w:r>
      <w:r>
        <w:tab/>
      </w:r>
      <w:r>
        <w:tab/>
        <w:t>359,75 kn.</w:t>
      </w:r>
    </w:p>
    <w:p w:rsidRDefault="00162E23" w:rsidP="00162E23" w:rsidR="00162E23">
      <w:pPr>
        <w:jc w:val="both"/>
      </w:pPr>
      <w:r>
        <w:t xml:space="preserve">Republika Hrvatska,Ministarstvo financija, OIB: 52634238587., </w:t>
      </w:r>
    </w:p>
    <w:p w:rsidRDefault="00162E23" w:rsidP="00162E23" w:rsidR="00162E23">
      <w:pPr>
        <w:jc w:val="both"/>
      </w:pPr>
      <w:r>
        <w:t xml:space="preserve">Graberje 1. Varaždin </w:t>
      </w:r>
      <w:r>
        <w:tab/>
      </w:r>
      <w:r>
        <w:tab/>
      </w:r>
      <w:r>
        <w:tab/>
      </w:r>
      <w:r>
        <w:tab/>
      </w:r>
      <w:r>
        <w:tab/>
      </w:r>
      <w:r>
        <w:tab/>
      </w:r>
      <w:r>
        <w:tab/>
      </w:r>
      <w:r>
        <w:tab/>
      </w:r>
      <w:r>
        <w:tab/>
        <w:t>44.922,91 kn.</w:t>
      </w:r>
    </w:p>
    <w:p w:rsidRDefault="00162E23" w:rsidP="00162E23" w:rsidR="00162E23">
      <w:pPr>
        <w:jc w:val="both"/>
      </w:pPr>
      <w:r>
        <w:t xml:space="preserve">Financijska agencija, OIB: 85821130368., Ulica grada Vukovara 70,Zagreb, </w:t>
      </w:r>
      <w:r>
        <w:tab/>
        <w:t>20.039,53 kn.</w:t>
      </w:r>
    </w:p>
    <w:p w:rsidRDefault="00162E23" w:rsidP="00162E23" w:rsidR="00162E23">
      <w:pPr>
        <w:jc w:val="both"/>
      </w:pPr>
      <w:r>
        <w:t xml:space="preserve">Hrvatski telekom, OIB: 81793146560., R.Frangeša Mihanovića 9., Zagreb </w:t>
      </w:r>
      <w:r>
        <w:tab/>
        <w:t>5.526,89 kn.</w:t>
      </w:r>
    </w:p>
    <w:p w:rsidRDefault="00162E23" w:rsidP="00162E23" w:rsidR="00162E23">
      <w:pPr>
        <w:jc w:val="both"/>
      </w:pPr>
      <w:r>
        <w:t xml:space="preserve">Mirjana Rinkovec, OIB: 39216477104., Ulica 22. rujna 1991. Br. 8. </w:t>
      </w:r>
      <w:r>
        <w:tab/>
      </w:r>
      <w:r>
        <w:tab/>
        <w:t>33.496,98 kn.</w:t>
      </w:r>
    </w:p>
    <w:p w:rsidRDefault="00162E23" w:rsidP="00162E23" w:rsidR="00162E23">
      <w:pPr>
        <w:jc w:val="both"/>
      </w:pPr>
      <w:r>
        <w:t xml:space="preserve">VIP NET d.o.o. Zagreb, OIB: 29524210204., Vrtni put 1, Zagreb </w:t>
      </w:r>
      <w:r>
        <w:tab/>
      </w:r>
      <w:r>
        <w:tab/>
      </w:r>
      <w:r>
        <w:tab/>
        <w:t>2.639,86 kn.</w:t>
      </w:r>
    </w:p>
    <w:p w:rsidRDefault="00162E23" w:rsidP="00162E23" w:rsidR="00162E23">
      <w:pPr>
        <w:jc w:val="both"/>
      </w:pPr>
      <w:r>
        <w:t xml:space="preserve">KATEX d.o.o. Čakovec, OIB: 91718655971., ZAVNOH-A 76., </w:t>
      </w:r>
    </w:p>
    <w:p w:rsidRDefault="00162E23" w:rsidP="00162E23" w:rsidR="00162E23">
      <w:pPr>
        <w:jc w:val="both"/>
      </w:pPr>
      <w:r>
        <w:t xml:space="preserve">40 000 Čakovec </w:t>
      </w:r>
      <w:r>
        <w:tab/>
      </w:r>
      <w:r>
        <w:tab/>
      </w:r>
      <w:r>
        <w:tab/>
      </w:r>
      <w:r>
        <w:tab/>
      </w:r>
      <w:r>
        <w:tab/>
      </w:r>
      <w:r>
        <w:tab/>
      </w:r>
      <w:r>
        <w:tab/>
      </w:r>
      <w:r>
        <w:tab/>
      </w:r>
      <w:r>
        <w:tab/>
        <w:t>29.680,24 kn.</w:t>
      </w:r>
    </w:p>
    <w:p w:rsidRDefault="00162E23" w:rsidP="00162E23" w:rsidR="00162E23">
      <w:pPr>
        <w:jc w:val="both"/>
      </w:pPr>
      <w:r>
        <w:t xml:space="preserve">Odvjetnik Domagoj Štefan, OIB: 66914536935., Otokara Keršovanija 1, </w:t>
      </w:r>
    </w:p>
    <w:p w:rsidRDefault="00162E23" w:rsidP="00162E23" w:rsidR="00162E23">
      <w:pPr>
        <w:jc w:val="both"/>
      </w:pPr>
      <w:r>
        <w:t xml:space="preserve">40 000 Čakovec </w:t>
      </w:r>
      <w:r>
        <w:tab/>
      </w:r>
      <w:r>
        <w:tab/>
      </w:r>
      <w:r>
        <w:tab/>
      </w:r>
      <w:r>
        <w:tab/>
      </w:r>
      <w:r>
        <w:tab/>
      </w:r>
      <w:r>
        <w:tab/>
      </w:r>
      <w:r>
        <w:tab/>
      </w:r>
      <w:r>
        <w:tab/>
      </w:r>
      <w:r>
        <w:tab/>
        <w:t>1.553,54 kn.</w:t>
      </w:r>
    </w:p>
    <w:p w:rsidRDefault="00162E23" w:rsidP="00162E23" w:rsidR="00162E23">
      <w:pPr>
        <w:jc w:val="both"/>
      </w:pPr>
    </w:p>
    <w:p w:rsidRDefault="00162E23" w:rsidP="00162E23" w:rsidR="00162E23">
      <w:pPr>
        <w:jc w:val="both"/>
      </w:pPr>
      <w:r>
        <w:t>Stečajni dužnik se obvezuje vjerovnicima II. Skupine podmiriti preostale obveze u dva anuiteta na način da će se vjerovnicima II. Skupine isplatiti 50% utvrđene tražbine u prvom anuitetu, a preostalih 50% utvrđene tražbine u drugom anuitetu. Prvi anuitet dospjeva najkasnije do 31.12.2020. godine, a drugi anuitet dospjeva najkasnije od 31.12.2021. godine na način:</w:t>
      </w:r>
    </w:p>
    <w:p w:rsidRDefault="00162E23" w:rsidP="00162E23" w:rsidR="00162E23">
      <w:pPr>
        <w:jc w:val="both"/>
      </w:pPr>
    </w:p>
    <w:p w:rsidRDefault="00162E23" w:rsidP="00162E23" w:rsidR="00162E23">
      <w:pPr>
        <w:numPr>
          <w:ilvl w:val="0"/>
          <w:numId w:val="48"/>
        </w:numPr>
        <w:jc w:val="both"/>
      </w:pPr>
      <w:r>
        <w:t>Vjerovniku INKASO HR d.o.o., Osijek, OIB: 82925459345., L.Jagera 5., 31000 Osijek dužnik se obvezuje isplatiti tražbinu u iznosu od 1.250,59 kn. u dva anuiteta od kojih prvi anuitet u iznosu od 625,29 kn. dospjeva 31.12.2020. godine, a drugi anuitet u iznosu od 625,30 kn. dospjeva 31.12.2021. godine.</w:t>
      </w:r>
    </w:p>
    <w:p w:rsidRDefault="00162E23" w:rsidP="00162E23" w:rsidR="00162E23">
      <w:pPr>
        <w:numPr>
          <w:ilvl w:val="0"/>
          <w:numId w:val="48"/>
        </w:numPr>
        <w:jc w:val="both"/>
      </w:pPr>
      <w:r>
        <w:t>Vjerovniku Odvjetnik Romana Malašić, OIB: 67902305286., Knegingradska 59., Kneginec Gornji dužnik se obvezuje isplatiti tražbinu u iznosu od 3.125,00 kn. u dva anuiteta od kojih prvi anuitet u iznosu od 1.562,50 kn. dospjeva 31.12.2020. godine, a drugi anuitet u iznosu od 1.562,50 kn. dospjeva 31.12.2021. godine.</w:t>
      </w:r>
    </w:p>
    <w:p w:rsidRDefault="00162E23" w:rsidP="00162E23" w:rsidR="00162E23">
      <w:pPr>
        <w:numPr>
          <w:ilvl w:val="0"/>
          <w:numId w:val="48"/>
        </w:numPr>
        <w:jc w:val="both"/>
      </w:pPr>
      <w:r>
        <w:t>Vjerovniku Podravska banka d.d., OIB: 97326283154., Opatička 3., Koprivnica dužnik se obvezuje isplatiti tražbinu u iznosu od 359,75 kn. u dva anuiteta od kojih prvi anuitet u iznosu od 179,87 kn. dospjeva 31.12.2020. godine, a drugi anuitet u iznosu od 179,88 kn. dospjeva 31.12.2021. godine.</w:t>
      </w:r>
    </w:p>
    <w:p w:rsidRDefault="00162E23" w:rsidP="00162E23" w:rsidR="00162E23">
      <w:pPr>
        <w:numPr>
          <w:ilvl w:val="0"/>
          <w:numId w:val="48"/>
        </w:numPr>
        <w:jc w:val="both"/>
      </w:pPr>
      <w:r>
        <w:lastRenderedPageBreak/>
        <w:t>Vjerovniku Republika Hrvatska, Ministarstvo financija, OIB: 52634238587., Graberje 1. Varaždin dužnik se obvezuje isplatiti tražbinu u iznosu od 44.922,91 kn. u dva anuiteta od kojih prvi anuitet u iznosu od 22.461,45 kn. dospjeva 31.12.2020. godine, a drugi anuitet u iznosu od 22.461,46 kn. dospjeva 31.12.2021. godine.</w:t>
      </w:r>
    </w:p>
    <w:p w:rsidRDefault="00162E23" w:rsidP="00162E23" w:rsidR="00162E23">
      <w:pPr>
        <w:numPr>
          <w:ilvl w:val="0"/>
          <w:numId w:val="48"/>
        </w:numPr>
        <w:jc w:val="both"/>
      </w:pPr>
      <w:r>
        <w:t>Vjerovniku Financijska agencija, OIB: 85821130368., Ulica grada Vukovara 70., Zagreb dužnik se obvezuje isplatiti tražbinu u iznosu od 20.039,53 kn. u dva anuiteta od kojih prvi anuitet u iznosu od 10.019,76 kn. dospjeva 31.12.2020. godine, a drugi anuitet u iznosu od 10.019,77 kn. dospjeva 31.12.2021. godine.</w:t>
      </w:r>
    </w:p>
    <w:p w:rsidRDefault="00162E23" w:rsidP="00162E23" w:rsidR="00162E23">
      <w:pPr>
        <w:numPr>
          <w:ilvl w:val="0"/>
          <w:numId w:val="48"/>
        </w:numPr>
        <w:jc w:val="both"/>
      </w:pPr>
      <w:r>
        <w:t>Vjerovniku Hrvatski telekom, OIB: 81793146560., R.Frangeša Mihanovića 9., Zagreb dužnik se obvezuje isplatiti tražbinu u iznosu od 5.526,89 kn. u dva anuiteta od kojih prvi anuitet u iznosu od 2.763,44 kn. dospjeva 31.12.2020. godine, a drugi anuitet u iznosu od 2.763,45 kn. dospjeva 31.12.2021. godine.</w:t>
      </w:r>
    </w:p>
    <w:p w:rsidRDefault="00162E23" w:rsidP="00162E23" w:rsidR="00162E23">
      <w:pPr>
        <w:numPr>
          <w:ilvl w:val="0"/>
          <w:numId w:val="48"/>
        </w:numPr>
        <w:jc w:val="both"/>
      </w:pPr>
      <w:r>
        <w:t>Vjerovniku Mirjana Rinkovec, OIB: 39216477104., Ulica 22. rujna 1991. Br. 8. dužnik se obvezuje isplatiti tražbinu u iznosu od 33.496,98 kn. u dva anuiteta od kojih prvi anuitet u iznosu od 16.734,99 kn. dospjeva 31.12.2020. godine, a drugi anuitet u iznosu od 16.734,99 kn. dospjeva 31.12.2021. godine.</w:t>
      </w:r>
    </w:p>
    <w:p w:rsidRDefault="00162E23" w:rsidP="00162E23" w:rsidR="00162E23">
      <w:pPr>
        <w:numPr>
          <w:ilvl w:val="0"/>
          <w:numId w:val="48"/>
        </w:numPr>
        <w:jc w:val="both"/>
      </w:pPr>
      <w:r>
        <w:t>Vjerovniku VIP NET d.o.o. Zagreb, OIB: 29524210204., Vrtni put 1, Zagreb dužnik se obvezuje isplatiti isplatiti tražbinu u iznosu od 2.639,86 kn. u dva anuiteta od kojih prvi anuitet u iznosu od 1.319,93 kn. dospjeva 31.12.2020. godine, a drugi anuitet u iznosu od 1.319,93 kn. dospjeva 31.12.2021. godine.</w:t>
      </w:r>
    </w:p>
    <w:p w:rsidRDefault="00162E23" w:rsidP="00162E23" w:rsidR="00162E23">
      <w:pPr>
        <w:numPr>
          <w:ilvl w:val="0"/>
          <w:numId w:val="48"/>
        </w:numPr>
        <w:jc w:val="both"/>
      </w:pPr>
      <w:r>
        <w:t>Vjerovniku KATEX d.o.o. Čakovec, OIB: 91718655971., ZAVNOH-A 76., 40 000 Čakovec dužnik se obvezuje isplatiti tražbinu u iznosu od 29.680,24 kn. u dva anuiteta od kojih prvi anuitet u iznosu od 14.840,12 kn. dospjeva 31.12.2020. godine, a drugi anuitet u iznosu od 14.840,12 kn. dospjeva 31.12.2021. godine.</w:t>
      </w:r>
    </w:p>
    <w:p w:rsidRDefault="00162E23" w:rsidP="00162E23" w:rsidR="00162E23">
      <w:pPr>
        <w:numPr>
          <w:ilvl w:val="0"/>
          <w:numId w:val="48"/>
        </w:numPr>
        <w:jc w:val="both"/>
      </w:pPr>
      <w:r>
        <w:t>Vjerovniku Odvjetnik Domagoj Štefan, OIB: 66914536935., Otokara Keršovanija 1, Čakovec dužnik se obvezuje isplatiti tražbinu u iznosu od 1.553,54 kn. u dva anuiteta od kojih prvi anuitet u iznosu od 776,77 kn. dospjeva 31.12.2020. godine, a drugi anuitet u iznosu od 776,77 kn. dospjeva 31.12.2021. godine.</w:t>
      </w:r>
    </w:p>
    <w:p w:rsidRDefault="00162E23" w:rsidP="00162E23" w:rsidR="00162E23">
      <w:pPr>
        <w:jc w:val="both"/>
      </w:pPr>
    </w:p>
    <w:p w:rsidRDefault="00162E23" w:rsidP="00162E23" w:rsidR="00162E23">
      <w:pPr>
        <w:jc w:val="both"/>
      </w:pPr>
      <w:r>
        <w:t>Dužnik će iz prihoda ostvarenih obavljanjem djelatnosti i prihoda ostvarenih iz unovčenja svoje  zalihe robe podmirivati obveze prema svojim vjerovnicima. Dinamika plaćanja će ovisiti o pritjecanju financijskih sredstava pri čemu društvo mora prije nego što isplaćuje stečajne vjerovnike podmiriti svoje tekuće obveze. Planom su predviđeni krajnji rokovi za ispunjenje obveze prema svakoj skupini vjerovnika. Dužnik planira iz svoga poslovanja, a u ovisnosti o ostvarenim poslovnim rezultatima, isplatiti svoje obveze prema vjerovnicima prije dospijeća.</w:t>
      </w:r>
    </w:p>
    <w:p w:rsidRDefault="00162E23" w:rsidP="00162E23" w:rsidR="00162E23">
      <w:pPr>
        <w:jc w:val="both"/>
      </w:pPr>
      <w:r>
        <w:t xml:space="preserve">Krajnji rok za ispunjenje cjelokupne obveze prema vjerovnicima I. Skupine je 31.12.2019. godine, a krajnji rok za podmirivanje cjelokupne obveze prema vjerovnicima II. Skupine je 31.12.2021. godine. </w:t>
      </w:r>
    </w:p>
    <w:p w:rsidRDefault="00162E23" w:rsidP="00DA7C43" w:rsidR="00162E23">
      <w:pPr>
        <w:jc w:val="both"/>
      </w:pPr>
    </w:p>
    <w:p w:rsidRDefault="00162E23" w:rsidP="00162E23" w:rsidR="00162E23">
      <w:pPr>
        <w:jc w:val="both"/>
      </w:pPr>
      <w:r>
        <w:t xml:space="preserve">Isplatom vjerovnika I. i II. Skupine dužnik se u cijelosti oslobađa svojih obveza i prestaje nadzor nad poslovanjem dužnika te se ukidaju mjere za koje je potrebna pisana suglasnost stečajnog upravitelja. </w:t>
      </w:r>
    </w:p>
    <w:p w:rsidRDefault="00162E23" w:rsidP="00162E23" w:rsidR="00162E23">
      <w:pPr>
        <w:jc w:val="both"/>
      </w:pPr>
    </w:p>
    <w:p w:rsidRDefault="00162E23" w:rsidP="00162E23" w:rsidR="00162E23" w:rsidRPr="00C72D03">
      <w:pPr>
        <w:numPr>
          <w:ilvl w:val="0"/>
          <w:numId w:val="46"/>
        </w:numPr>
        <w:jc w:val="both"/>
        <w:rPr>
          <w:i/>
          <w:iCs/>
        </w:rPr>
      </w:pPr>
      <w:r>
        <w:rPr>
          <w:i/>
          <w:iCs/>
        </w:rPr>
        <w:t>Stečajni vjerovnici nižih isplatnih redova</w:t>
      </w:r>
    </w:p>
    <w:p w:rsidRDefault="00162E23" w:rsidP="00162E23" w:rsidR="00162E23">
      <w:pPr>
        <w:jc w:val="both"/>
      </w:pPr>
      <w:r>
        <w:t>Stečajni vjerovnici nižih isplatnih redova nemaju utvrđene tražbine. Prihvaćenjem ovoga plana stečajnim vjerovnicima nižih isplatnih redova tražbine se neće isplatiti te obveza dužnika prema ovim vjerovnicima u cijelosti prestaje prihvaćanjem plana.</w:t>
      </w:r>
    </w:p>
    <w:p w:rsidRDefault="00162E23" w:rsidP="00162E23" w:rsidR="00162E23">
      <w:pPr>
        <w:jc w:val="both"/>
      </w:pPr>
    </w:p>
    <w:p w:rsidRDefault="00C72D03" w:rsidP="00162E23" w:rsidR="00C72D03">
      <w:pPr>
        <w:jc w:val="both"/>
      </w:pPr>
    </w:p>
    <w:p w:rsidRDefault="00162E23" w:rsidP="00162E23" w:rsidR="00162E23">
      <w:pPr>
        <w:numPr>
          <w:ilvl w:val="0"/>
          <w:numId w:val="46"/>
        </w:numPr>
        <w:jc w:val="both"/>
        <w:rPr>
          <w:i/>
          <w:iCs/>
        </w:rPr>
      </w:pPr>
      <w:r>
        <w:rPr>
          <w:i/>
          <w:iCs/>
        </w:rPr>
        <w:lastRenderedPageBreak/>
        <w:t>Obveze stečajne mase sa osnova izrade plana i nagrade stečajnom upravitelju</w:t>
      </w:r>
    </w:p>
    <w:p w:rsidRDefault="00162E23" w:rsidP="00162E23" w:rsidR="00162E23">
      <w:pPr>
        <w:jc w:val="both"/>
        <w:rPr>
          <w:i/>
          <w:iCs/>
        </w:rPr>
      </w:pPr>
    </w:p>
    <w:p w:rsidRDefault="00162E23" w:rsidP="00162E23" w:rsidR="00162E23">
      <w:pPr>
        <w:jc w:val="both"/>
      </w:pPr>
      <w:r>
        <w:t>Obveze stečajne mase sa osnova izrade plana će se podmiriti iz prihoda društva do 31.12.2017. godine u visini koja će biti određena sudskim rješenjem. Ukoliko će se sudskim rješenjem odrediti i naknada drugih troškova isti će biti podmireni do 31.12.2017. godine. Nagrada stečajnom upravitelju će se podmiriti do 31.12.2018. godine.</w:t>
      </w:r>
    </w:p>
    <w:p w:rsidRDefault="00162E23" w:rsidP="00162E23" w:rsidR="00162E23">
      <w:pPr>
        <w:jc w:val="both"/>
      </w:pPr>
    </w:p>
    <w:p w:rsidRDefault="00162E23" w:rsidP="00162E23" w:rsidR="00162E23">
      <w:pPr>
        <w:numPr>
          <w:ilvl w:val="0"/>
          <w:numId w:val="46"/>
        </w:numPr>
        <w:rPr>
          <w:i/>
          <w:iCs/>
        </w:rPr>
      </w:pPr>
      <w:r>
        <w:rPr>
          <w:i/>
          <w:iCs/>
        </w:rPr>
        <w:t>Nastavak poslovanja i vođenje poduzeća</w:t>
      </w:r>
    </w:p>
    <w:p w:rsidRDefault="00162E23" w:rsidP="00162E23" w:rsidR="00162E23">
      <w:pPr>
        <w:rPr>
          <w:i/>
          <w:iCs/>
        </w:rPr>
      </w:pPr>
    </w:p>
    <w:p w:rsidRDefault="00162E23" w:rsidP="00162E23" w:rsidR="00162E23">
      <w:pPr>
        <w:jc w:val="both"/>
      </w:pPr>
      <w:r>
        <w:t xml:space="preserve">Prihvaćanjem ovog </w:t>
      </w:r>
      <w:r w:rsidR="00493624">
        <w:t>stečajnog</w:t>
      </w:r>
      <w:r>
        <w:t xml:space="preserve"> plana društvo će nastaviti obavljati svoju djelatnost. Prihvaćanjem stečajnog plana promijeniti će se član uprave društva. Stečajni upravitelj Daniel Deković prestaje biti članom uprave, a novim članom uprave imenuje se gđa. Mirjana Rinkovec OIB: 39216477104.</w:t>
      </w:r>
    </w:p>
    <w:p w:rsidRDefault="00162E23" w:rsidP="00162E23" w:rsidR="00162E23">
      <w:pPr>
        <w:jc w:val="both"/>
      </w:pPr>
      <w:r>
        <w:t>Mirjana Rinkovec nije kažnjavana za stečajnopravna kaznena djela niti se protiv nje vodi kazneni postupak.</w:t>
      </w:r>
    </w:p>
    <w:p w:rsidRDefault="00162E23" w:rsidP="00162E23" w:rsidR="00162E23">
      <w:pPr>
        <w:jc w:val="both"/>
      </w:pPr>
      <w:r>
        <w:t xml:space="preserve">Promjena člana uprave upisati će se u sudski registar. </w:t>
      </w:r>
    </w:p>
    <w:p w:rsidRDefault="00162E23" w:rsidP="00162E23" w:rsidR="00162E23">
      <w:pPr>
        <w:jc w:val="both"/>
      </w:pPr>
    </w:p>
    <w:p w:rsidRDefault="00162E23" w:rsidP="00162E23" w:rsidR="00162E23">
      <w:pPr>
        <w:numPr>
          <w:ilvl w:val="0"/>
          <w:numId w:val="46"/>
        </w:numPr>
        <w:jc w:val="both"/>
        <w:rPr>
          <w:i/>
          <w:iCs/>
        </w:rPr>
      </w:pPr>
      <w:r>
        <w:rPr>
          <w:i/>
          <w:iCs/>
        </w:rPr>
        <w:t>Dodatne mjere</w:t>
      </w:r>
    </w:p>
    <w:p w:rsidRDefault="00162E23" w:rsidP="00162E23" w:rsidR="00162E23">
      <w:pPr>
        <w:jc w:val="both"/>
        <w:rPr>
          <w:i/>
          <w:iCs/>
        </w:rPr>
      </w:pPr>
    </w:p>
    <w:p w:rsidRDefault="00162E23" w:rsidP="00162E23" w:rsidR="00162E23">
      <w:pPr>
        <w:jc w:val="both"/>
      </w:pPr>
      <w:r>
        <w:t>Stečajni upravitelj će nadzirati ispunjenje stečajnog plana sukladno čl. 346. Stečajnog zakona. Mjera nadzora nad poslovanjem dužnika upisati će se u sudski registar.</w:t>
      </w:r>
    </w:p>
    <w:p w:rsidRDefault="00162E23" w:rsidP="00162E23" w:rsidR="00162E23">
      <w:pPr>
        <w:jc w:val="both"/>
      </w:pPr>
    </w:p>
    <w:p w:rsidRDefault="00162E23" w:rsidP="00162E23" w:rsidR="00162E23">
      <w:pPr>
        <w:numPr>
          <w:ilvl w:val="0"/>
          <w:numId w:val="46"/>
        </w:numPr>
        <w:jc w:val="both"/>
        <w:rPr>
          <w:i/>
          <w:iCs/>
        </w:rPr>
      </w:pPr>
      <w:r>
        <w:rPr>
          <w:i/>
          <w:iCs/>
        </w:rPr>
        <w:t>Poslovi za koje je potrebna suglasnost stečajnog upravitelja</w:t>
      </w:r>
    </w:p>
    <w:p w:rsidRDefault="00162E23" w:rsidP="00162E23" w:rsidR="00162E23">
      <w:pPr>
        <w:jc w:val="both"/>
      </w:pPr>
    </w:p>
    <w:p w:rsidRDefault="00162E23" w:rsidP="00162E23" w:rsidR="00162E23">
      <w:pPr>
        <w:jc w:val="both"/>
      </w:pPr>
      <w:r>
        <w:t>Dužnik ne može bez prethodne pisane suglasnosti stečajnog upravitelja dati pozajmicu, dati kredit, izdati jamstvo, osnovati trgovačko društvo i stjecati poslovne udjele u drugim društvima. Ograničenje poslovanja upisati će se u sudski registar."</w:t>
      </w:r>
    </w:p>
    <w:p w:rsidRDefault="00162E23" w:rsidP="00493624" w:rsidR="00162E23"/>
    <w:p w:rsidRDefault="00493624" w:rsidP="00493624" w:rsidR="00493624">
      <w:pPr>
        <w:jc w:val="both"/>
      </w:pPr>
      <w:r>
        <w:tab/>
        <w:t>Stečajna vjerovnica Marijana Brlenić izjavljuje da je suglasna sa prijedlogom stečajnog plana kako ga je izložio stečajni upravitelj, a zastupnik Republike Hrvatske izjavljuje da se o tome sada ne može očitovati jer cjelokupnu dokumentaciju mora dostaviti Poreznoj upravi.</w:t>
      </w:r>
    </w:p>
    <w:p w:rsidRDefault="00162E23" w:rsidP="00493624" w:rsidR="00162E23">
      <w:pPr>
        <w:jc w:val="both"/>
      </w:pPr>
    </w:p>
    <w:p w:rsidRDefault="00493624" w:rsidP="00493624" w:rsidR="00DA7C43">
      <w:pPr>
        <w:ind w:firstLine="708"/>
        <w:jc w:val="both"/>
      </w:pPr>
      <w:r>
        <w:t>Sudac napominje, da s obzirom na to da vjerovnici koji su prisutni na današnjem ročištu nisu iznijeli nikakve prigovore na ovo što je u svezi stečajnog plana bilo objavljeno na e-Oglasnoj ploči suda, potrebno je zakazati ročište radi rasprave i glasovanja o stečajnom planu, koje se mora održati u roku od 30 dana od zakazivanja, te će se sud pridržavati tog roka, pa se upozoravaju vjerovnici da se za to ročište detaljno pripreme.</w:t>
      </w:r>
    </w:p>
    <w:p w:rsidRDefault="00DA7C43" w:rsidP="00DA7C43" w:rsidR="00DA7C43">
      <w:pPr>
        <w:jc w:val="both"/>
      </w:pPr>
    </w:p>
    <w:p w:rsidRDefault="00493624" w:rsidP="00493624" w:rsidR="00493624">
      <w:pPr>
        <w:ind w:firstLine="708"/>
      </w:pPr>
      <w:r>
        <w:t>Sud donosi</w:t>
      </w:r>
    </w:p>
    <w:p w:rsidRDefault="00493624" w:rsidP="00493624" w:rsidR="00493624">
      <w:pPr>
        <w:jc w:val="center"/>
      </w:pPr>
      <w:r>
        <w:t>r j e š e n j e</w:t>
      </w:r>
    </w:p>
    <w:p w:rsidRDefault="00493624" w:rsidP="00493624" w:rsidR="00493624"/>
    <w:p w:rsidRDefault="00493624" w:rsidP="00493624" w:rsidR="00493624">
      <w:pPr>
        <w:ind w:firstLine="708"/>
      </w:pPr>
      <w:r>
        <w:t>Odluku o zakazivanju ročišta sud će donijeti pisanim putem.</w:t>
      </w:r>
    </w:p>
    <w:p w:rsidRDefault="00493624" w:rsidP="00493624" w:rsidR="00493624">
      <w:pPr>
        <w:widowControl w:val="false"/>
        <w:snapToGrid w:val="false"/>
        <w:jc w:val="both"/>
      </w:pPr>
    </w:p>
    <w:p w:rsidRDefault="00493624" w:rsidP="00493624" w:rsidR="0007232F">
      <w:pPr>
        <w:widowControl w:val="false"/>
        <w:snapToGrid w:val="false"/>
        <w:ind w:firstLine="708"/>
        <w:jc w:val="both"/>
      </w:pPr>
      <w:r>
        <w:t>Pod točkom I</w:t>
      </w:r>
      <w:r w:rsidR="0005717B">
        <w:t>I. dnevnog reda – Razno</w:t>
      </w:r>
      <w:r>
        <w:t>, nema pitanja za raspraviti.</w:t>
      </w:r>
    </w:p>
    <w:p w:rsidRDefault="001A54AA" w:rsidP="00493624" w:rsidR="00493624">
      <w:pPr>
        <w:ind w:firstLine="360"/>
        <w:jc w:val="both"/>
      </w:pPr>
      <w:r>
        <w:tab/>
      </w:r>
    </w:p>
    <w:p w:rsidRDefault="00C127C5" w:rsidP="00C127C5" w:rsidR="00C127C5" w:rsidRPr="005B3C45">
      <w:pPr>
        <w:ind w:firstLine="708"/>
        <w:jc w:val="center"/>
      </w:pPr>
      <w:r>
        <w:t xml:space="preserve">Dovršeno u </w:t>
      </w:r>
      <w:r w:rsidR="00493624">
        <w:t>12,</w:t>
      </w:r>
      <w:r w:rsidR="00226664">
        <w:t>15</w:t>
      </w:r>
      <w:r w:rsidR="00493624">
        <w:t xml:space="preserve"> </w:t>
      </w:r>
      <w:r>
        <w:t>sati.</w:t>
      </w:r>
    </w:p>
    <w:sectPr w:rsidSect="00C72D03" w:rsidR="00C127C5" w:rsidRPr="005B3C45">
      <w:headerReference w:type="even" r:id="rId11"/>
      <w:headerReference w:type="default" r:id="rId12"/>
      <w:headerReference w:type="first" r:id="rId13"/>
      <w:pgSz w:h="16838" w:w="11906"/>
      <w:pgMar w:gutter="0" w:footer="709" w:header="709" w:left="1418" w:bottom="1276"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1EA7" w:rsidR="00551EA7">
      <w:r>
        <w:separator/>
      </w:r>
    </w:p>
  </w:endnote>
  <w:endnote w:id="0" w:type="continuationSeparator">
    <w:p w:rsidRDefault="00551EA7" w:rsidR="00551E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itka Small">
    <w:altName w:val="Arial"/>
    <w:charset w:val="EE"/>
    <w:family w:val="auto"/>
    <w:pitch w:val="variable"/>
    <w:sig w:csb1="00000000" w:csb0="0000019F" w:usb3="00000000" w:usb2="00000000" w:usb1="4000204B" w:usb0="00000001"/>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OpenSymbol">
    <w:altName w:val="Arial Unicode MS"/>
    <w:charset w:val="01"/>
    <w:family w:val="roman"/>
    <w:pitch w:val="variable"/>
  </w:font>
  <w:font w:name="Tahoma">
    <w:panose1 w:val="020B0604030504040204"/>
    <w:charset w:val="EE"/>
    <w:family w:val="swiss"/>
    <w:pitch w:val="variable"/>
    <w:sig w:csb1="00000000" w:csb0="000101FF" w:usb3="00000000" w:usb2="00000029" w:usb1="C000605B" w:usb0="E1002EFF"/>
  </w:font>
  <w:font w:name="Liberation Serif">
    <w:altName w:val="Times New Roman"/>
    <w:charset w:val="01"/>
    <w:family w:val="roman"/>
    <w:pitch w:val="variable"/>
  </w:font>
  <w:font w:name="WenQuanYi Micro Hei">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1EA7" w:rsidR="00551EA7">
      <w:r>
        <w:separator/>
      </w:r>
    </w:p>
  </w:footnote>
  <w:footnote w:id="0" w:type="continuationSeparator">
    <w:p w:rsidRDefault="00551EA7" w:rsidR="00551E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6CA" w:rsidR="000A06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2D03">
      <w:rPr>
        <w:rStyle w:val="Brojstranice"/>
        <w:noProof/>
      </w:rPr>
      <w:t>12</w:t>
    </w:r>
    <w:r>
      <w:rPr>
        <w:rStyle w:val="Brojstranice"/>
      </w:rPr>
      <w:fldChar w:fldCharType="end"/>
    </w:r>
  </w:p>
  <w:p w:rsidRDefault="000A06CA" w:rsidR="000A06CA">
    <w:pPr>
      <w:pStyle w:val="Zaglavlje"/>
    </w:pPr>
  </w:p>
  <w:p w:rsidRDefault="007C5B81" w:rsidP="007C5B81" w:rsidR="007C5B81">
    <w:pPr>
      <w:pStyle w:val="Zaglavlje"/>
    </w:pPr>
    <w:r>
      <w:tab/>
    </w:r>
    <w:r>
      <w:tab/>
    </w:r>
    <w:r w:rsidR="00EF7D45">
      <w:t>Poslovni broj: 5 St</w:t>
    </w:r>
    <w:r w:rsidR="00472763">
      <w:t>-</w:t>
    </w:r>
    <w:r w:rsidR="00DA7C43">
      <w:t>1194</w:t>
    </w:r>
    <w:r w:rsidR="006D0F0A">
      <w:t>/15-</w:t>
    </w:r>
    <w:r w:rsidR="00226664">
      <w:t>30</w:t>
    </w:r>
  </w:p>
  <w:p w:rsidRDefault="007C5B81" w:rsidR="007C5B8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5B81" w:rsidR="007C5B81">
    <w:pPr>
      <w:pStyle w:val="Zaglavlje"/>
    </w:pPr>
    <w:r>
      <w:tab/>
    </w:r>
    <w:r w:rsidR="00B205C1">
      <w:tab/>
      <w:t xml:space="preserve">Poslovni broj: 5 </w:t>
    </w:r>
    <w:r w:rsidR="00EF7D45">
      <w:t>St</w:t>
    </w:r>
    <w:r w:rsidR="00416F1D">
      <w:t>-</w:t>
    </w:r>
    <w:r w:rsidR="00DA7C43">
      <w:t>1194</w:t>
    </w:r>
    <w:r w:rsidR="006D0F0A">
      <w:t>/15-</w:t>
    </w:r>
    <w:r w:rsidR="00226664">
      <w:t>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437BE"/>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
    <w:nsid w:val="0DF4737D"/>
    <w:multiLevelType w:val="multilevel"/>
    <w:tmpl w:val="8B303240"/>
    <w:lvl w:ilvl="0">
      <w:start w:val="1"/>
      <w:numFmt w:val="lowerLetter"/>
      <w:lvlText w:val="(%1)"/>
      <w:lvlJc w:val="left"/>
      <w:pPr>
        <w:tabs>
          <w:tab w:pos="720" w:val="num"/>
        </w:tabs>
        <w:ind w:hanging="360" w:left="720"/>
      </w:pPr>
    </w:lvl>
    <w:lvl w:ilvl="1">
      <w:start w:val="1"/>
      <w:numFmt w:val="lowerLetter"/>
      <w:lvlText w:val="(%2)"/>
      <w:lvlJc w:val="left"/>
      <w:pPr>
        <w:tabs>
          <w:tab w:pos="1080" w:val="num"/>
        </w:tabs>
        <w:ind w:hanging="360" w:left="1080"/>
      </w:pPr>
    </w:lvl>
    <w:lvl w:ilvl="2">
      <w:start w:val="1"/>
      <w:numFmt w:val="lowerLetter"/>
      <w:lvlText w:val="(%3)"/>
      <w:lvlJc w:val="left"/>
      <w:pPr>
        <w:tabs>
          <w:tab w:pos="1440" w:val="num"/>
        </w:tabs>
        <w:ind w:hanging="360" w:left="1440"/>
      </w:pPr>
    </w:lvl>
    <w:lvl w:ilvl="3">
      <w:start w:val="1"/>
      <w:numFmt w:val="lowerLetter"/>
      <w:lvlText w:val="(%4)"/>
      <w:lvlJc w:val="left"/>
      <w:pPr>
        <w:tabs>
          <w:tab w:pos="1800" w:val="num"/>
        </w:tabs>
        <w:ind w:hanging="360" w:left="1800"/>
      </w:pPr>
    </w:lvl>
    <w:lvl w:ilvl="4">
      <w:start w:val="1"/>
      <w:numFmt w:val="lowerLetter"/>
      <w:lvlText w:val="(%5)"/>
      <w:lvlJc w:val="left"/>
      <w:pPr>
        <w:tabs>
          <w:tab w:pos="2160" w:val="num"/>
        </w:tabs>
        <w:ind w:hanging="360" w:left="2160"/>
      </w:pPr>
    </w:lvl>
    <w:lvl w:ilvl="5">
      <w:start w:val="1"/>
      <w:numFmt w:val="lowerLetter"/>
      <w:lvlText w:val="(%6)"/>
      <w:lvlJc w:val="left"/>
      <w:pPr>
        <w:tabs>
          <w:tab w:pos="2520" w:val="num"/>
        </w:tabs>
        <w:ind w:hanging="360" w:left="2520"/>
      </w:pPr>
    </w:lvl>
    <w:lvl w:ilvl="6">
      <w:start w:val="1"/>
      <w:numFmt w:val="lowerLetter"/>
      <w:lvlText w:val="(%7)"/>
      <w:lvlJc w:val="left"/>
      <w:pPr>
        <w:tabs>
          <w:tab w:pos="2880" w:val="num"/>
        </w:tabs>
        <w:ind w:hanging="360" w:left="2880"/>
      </w:pPr>
    </w:lvl>
    <w:lvl w:ilvl="7">
      <w:start w:val="1"/>
      <w:numFmt w:val="lowerLetter"/>
      <w:lvlText w:val="(%8)"/>
      <w:lvlJc w:val="left"/>
      <w:pPr>
        <w:tabs>
          <w:tab w:pos="3240" w:val="num"/>
        </w:tabs>
        <w:ind w:hanging="360" w:left="3240"/>
      </w:pPr>
    </w:lvl>
    <w:lvl w:ilvl="8">
      <w:start w:val="1"/>
      <w:numFmt w:val="lowerLetter"/>
      <w:lvlText w:val="(%9)"/>
      <w:lvlJc w:val="left"/>
      <w:pPr>
        <w:tabs>
          <w:tab w:pos="3600" w:val="num"/>
        </w:tabs>
        <w:ind w:hanging="360" w:left="3600"/>
      </w:pPr>
    </w:lvl>
  </w:abstractNum>
  <w:abstractNum w:abstractNumId="2">
    <w:nsid w:val="13D16DE2"/>
    <w:multiLevelType w:val="hybridMultilevel"/>
    <w:tmpl w:val="828233A6"/>
    <w:lvl w:tplc="FE7EBC6E" w:ilvl="0">
      <w:start w:val="1"/>
      <w:numFmt w:val="bullet"/>
      <w:lvlText w:val="-"/>
      <w:lvlJc w:val="left"/>
      <w:pPr>
        <w:ind w:hanging="360" w:left="360"/>
      </w:pPr>
      <w:rPr>
        <w:rFonts w:hAnsi="Sitka Small" w:ascii="Sitka Smal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
    <w:nsid w:val="1A13073F"/>
    <w:multiLevelType w:val="hybridMultilevel"/>
    <w:tmpl w:val="5D12FD0A"/>
    <w:lvl w:tplc="FE7EBC6E" w:ilvl="0">
      <w:start w:val="1"/>
      <w:numFmt w:val="bullet"/>
      <w:lvlText w:val="-"/>
      <w:lvlJc w:val="left"/>
      <w:pPr>
        <w:ind w:hanging="360" w:left="360"/>
      </w:pPr>
      <w:rPr>
        <w:rFonts w:hAnsi="Sitka Small" w:ascii="Sitka Smal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4">
    <w:nsid w:val="1C8D0815"/>
    <w:multiLevelType w:val="multilevel"/>
    <w:tmpl w:val="A0DA3E44"/>
    <w:lvl w:ilvl="0">
      <w:start w:val="1"/>
      <w:numFmt w:val="lowerLetter"/>
      <w:lvlText w:val="(%1)"/>
      <w:lvlJc w:val="left"/>
      <w:pPr>
        <w:tabs>
          <w:tab w:pos="720" w:val="num"/>
        </w:tabs>
        <w:ind w:hanging="360" w:left="720"/>
      </w:pPr>
    </w:lvl>
    <w:lvl w:ilvl="1">
      <w:start w:val="1"/>
      <w:numFmt w:val="lowerLetter"/>
      <w:lvlText w:val="(%2)"/>
      <w:lvlJc w:val="left"/>
      <w:pPr>
        <w:tabs>
          <w:tab w:pos="1080" w:val="num"/>
        </w:tabs>
        <w:ind w:hanging="360" w:left="1080"/>
      </w:pPr>
    </w:lvl>
    <w:lvl w:ilvl="2">
      <w:start w:val="1"/>
      <w:numFmt w:val="lowerLetter"/>
      <w:lvlText w:val="(%3)"/>
      <w:lvlJc w:val="left"/>
      <w:pPr>
        <w:tabs>
          <w:tab w:pos="1440" w:val="num"/>
        </w:tabs>
        <w:ind w:hanging="360" w:left="1440"/>
      </w:pPr>
    </w:lvl>
    <w:lvl w:ilvl="3">
      <w:start w:val="1"/>
      <w:numFmt w:val="lowerLetter"/>
      <w:lvlText w:val="(%4)"/>
      <w:lvlJc w:val="left"/>
      <w:pPr>
        <w:tabs>
          <w:tab w:pos="1800" w:val="num"/>
        </w:tabs>
        <w:ind w:hanging="360" w:left="1800"/>
      </w:pPr>
    </w:lvl>
    <w:lvl w:ilvl="4">
      <w:start w:val="1"/>
      <w:numFmt w:val="lowerLetter"/>
      <w:lvlText w:val="(%5)"/>
      <w:lvlJc w:val="left"/>
      <w:pPr>
        <w:tabs>
          <w:tab w:pos="2160" w:val="num"/>
        </w:tabs>
        <w:ind w:hanging="360" w:left="2160"/>
      </w:pPr>
    </w:lvl>
    <w:lvl w:ilvl="5">
      <w:start w:val="1"/>
      <w:numFmt w:val="lowerLetter"/>
      <w:lvlText w:val="(%6)"/>
      <w:lvlJc w:val="left"/>
      <w:pPr>
        <w:tabs>
          <w:tab w:pos="2520" w:val="num"/>
        </w:tabs>
        <w:ind w:hanging="360" w:left="2520"/>
      </w:pPr>
    </w:lvl>
    <w:lvl w:ilvl="6">
      <w:start w:val="1"/>
      <w:numFmt w:val="lowerLetter"/>
      <w:lvlText w:val="(%7)"/>
      <w:lvlJc w:val="left"/>
      <w:pPr>
        <w:tabs>
          <w:tab w:pos="2880" w:val="num"/>
        </w:tabs>
        <w:ind w:hanging="360" w:left="2880"/>
      </w:pPr>
    </w:lvl>
    <w:lvl w:ilvl="7">
      <w:start w:val="1"/>
      <w:numFmt w:val="lowerLetter"/>
      <w:lvlText w:val="(%8)"/>
      <w:lvlJc w:val="left"/>
      <w:pPr>
        <w:tabs>
          <w:tab w:pos="3240" w:val="num"/>
        </w:tabs>
        <w:ind w:hanging="360" w:left="3240"/>
      </w:pPr>
    </w:lvl>
    <w:lvl w:ilvl="8">
      <w:start w:val="1"/>
      <w:numFmt w:val="lowerLetter"/>
      <w:lvlText w:val="(%9)"/>
      <w:lvlJc w:val="left"/>
      <w:pPr>
        <w:tabs>
          <w:tab w:pos="3600" w:val="num"/>
        </w:tabs>
        <w:ind w:hanging="360" w:left="3600"/>
      </w:pPr>
    </w:lvl>
  </w:abstractNum>
  <w:abstractNum w:abstractNumId="5">
    <w:nsid w:val="1E0D1105"/>
    <w:multiLevelType w:val="hybridMultilevel"/>
    <w:tmpl w:val="9788D2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891914"/>
    <w:multiLevelType w:val="multilevel"/>
    <w:tmpl w:val="962E0D7A"/>
    <w:lvl w:ilvl="0">
      <w:start w:val="1"/>
      <w:numFmt w:val="upperRoman"/>
      <w:lvlText w:val="%1."/>
      <w:lvlJc w:val="left"/>
      <w:pPr>
        <w:tabs>
          <w:tab w:pos="720" w:val="num"/>
        </w:tabs>
        <w:ind w:hanging="360" w:left="720"/>
      </w:pPr>
    </w:lvl>
    <w:lvl w:ilvl="1">
      <w:start w:val="1"/>
      <w:numFmt w:val="upperRoman"/>
      <w:lvlText w:val="%2."/>
      <w:lvlJc w:val="left"/>
      <w:pPr>
        <w:tabs>
          <w:tab w:pos="1080" w:val="num"/>
        </w:tabs>
        <w:ind w:hanging="360" w:left="1080"/>
      </w:pPr>
    </w:lvl>
    <w:lvl w:ilvl="2">
      <w:start w:val="1"/>
      <w:numFmt w:val="upperRoman"/>
      <w:lvlText w:val="%3."/>
      <w:lvlJc w:val="left"/>
      <w:pPr>
        <w:tabs>
          <w:tab w:pos="1440" w:val="num"/>
        </w:tabs>
        <w:ind w:hanging="360" w:left="1440"/>
      </w:pPr>
    </w:lvl>
    <w:lvl w:ilvl="3">
      <w:start w:val="1"/>
      <w:numFmt w:val="upperRoman"/>
      <w:lvlText w:val="%4."/>
      <w:lvlJc w:val="left"/>
      <w:pPr>
        <w:tabs>
          <w:tab w:pos="1800" w:val="num"/>
        </w:tabs>
        <w:ind w:hanging="360" w:left="1800"/>
      </w:pPr>
    </w:lvl>
    <w:lvl w:ilvl="4">
      <w:start w:val="1"/>
      <w:numFmt w:val="upperRoman"/>
      <w:lvlText w:val="%5."/>
      <w:lvlJc w:val="left"/>
      <w:pPr>
        <w:tabs>
          <w:tab w:pos="2160" w:val="num"/>
        </w:tabs>
        <w:ind w:hanging="360" w:left="2160"/>
      </w:pPr>
    </w:lvl>
    <w:lvl w:ilvl="5">
      <w:start w:val="1"/>
      <w:numFmt w:val="upperRoman"/>
      <w:lvlText w:val="%6."/>
      <w:lvlJc w:val="left"/>
      <w:pPr>
        <w:tabs>
          <w:tab w:pos="2520" w:val="num"/>
        </w:tabs>
        <w:ind w:hanging="360" w:left="2520"/>
      </w:pPr>
    </w:lvl>
    <w:lvl w:ilvl="6">
      <w:start w:val="1"/>
      <w:numFmt w:val="upperRoman"/>
      <w:lvlText w:val="%7."/>
      <w:lvlJc w:val="left"/>
      <w:pPr>
        <w:tabs>
          <w:tab w:pos="2880" w:val="num"/>
        </w:tabs>
        <w:ind w:hanging="360" w:left="2880"/>
      </w:pPr>
    </w:lvl>
    <w:lvl w:ilvl="7">
      <w:start w:val="1"/>
      <w:numFmt w:val="upperRoman"/>
      <w:lvlText w:val="%8."/>
      <w:lvlJc w:val="left"/>
      <w:pPr>
        <w:tabs>
          <w:tab w:pos="3240" w:val="num"/>
        </w:tabs>
        <w:ind w:hanging="360" w:left="3240"/>
      </w:pPr>
    </w:lvl>
    <w:lvl w:ilvl="8">
      <w:start w:val="1"/>
      <w:numFmt w:val="upperRoman"/>
      <w:lvlText w:val="%9."/>
      <w:lvlJc w:val="left"/>
      <w:pPr>
        <w:tabs>
          <w:tab w:pos="3600" w:val="num"/>
        </w:tabs>
        <w:ind w:hanging="360" w:left="3600"/>
      </w:pPr>
    </w:lvl>
  </w:abstractNum>
  <w:abstractNum w:abstractNumId="7">
    <w:nsid w:val="1FB17CEC"/>
    <w:multiLevelType w:val="hybridMultilevel"/>
    <w:tmpl w:val="DF00C3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7162F35"/>
    <w:multiLevelType w:val="hybridMultilevel"/>
    <w:tmpl w:val="F90498E6"/>
    <w:lvl w:tplc="E740458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C7418B0"/>
    <w:multiLevelType w:val="multilevel"/>
    <w:tmpl w:val="820098EC"/>
    <w:lvl w:ilvl="0">
      <w:start w:val="1"/>
      <w:numFmt w:val="lowerLetter"/>
      <w:lvlText w:val="(%1)"/>
      <w:lvlJc w:val="left"/>
      <w:pPr>
        <w:tabs>
          <w:tab w:pos="720" w:val="num"/>
        </w:tabs>
        <w:ind w:hanging="360" w:left="720"/>
      </w:pPr>
    </w:lvl>
    <w:lvl w:ilvl="1">
      <w:start w:val="1"/>
      <w:numFmt w:val="lowerLetter"/>
      <w:lvlText w:val="(%2)"/>
      <w:lvlJc w:val="left"/>
      <w:pPr>
        <w:tabs>
          <w:tab w:pos="1080" w:val="num"/>
        </w:tabs>
        <w:ind w:hanging="360" w:left="1080"/>
      </w:pPr>
    </w:lvl>
    <w:lvl w:ilvl="2">
      <w:start w:val="1"/>
      <w:numFmt w:val="lowerLetter"/>
      <w:lvlText w:val="(%3)"/>
      <w:lvlJc w:val="left"/>
      <w:pPr>
        <w:tabs>
          <w:tab w:pos="1440" w:val="num"/>
        </w:tabs>
        <w:ind w:hanging="360" w:left="1440"/>
      </w:pPr>
    </w:lvl>
    <w:lvl w:ilvl="3">
      <w:start w:val="1"/>
      <w:numFmt w:val="lowerLetter"/>
      <w:lvlText w:val="(%4)"/>
      <w:lvlJc w:val="left"/>
      <w:pPr>
        <w:tabs>
          <w:tab w:pos="1800" w:val="num"/>
        </w:tabs>
        <w:ind w:hanging="360" w:left="1800"/>
      </w:pPr>
    </w:lvl>
    <w:lvl w:ilvl="4">
      <w:start w:val="1"/>
      <w:numFmt w:val="lowerLetter"/>
      <w:lvlText w:val="(%5)"/>
      <w:lvlJc w:val="left"/>
      <w:pPr>
        <w:tabs>
          <w:tab w:pos="2160" w:val="num"/>
        </w:tabs>
        <w:ind w:hanging="360" w:left="2160"/>
      </w:pPr>
    </w:lvl>
    <w:lvl w:ilvl="5">
      <w:start w:val="1"/>
      <w:numFmt w:val="lowerLetter"/>
      <w:lvlText w:val="(%6)"/>
      <w:lvlJc w:val="left"/>
      <w:pPr>
        <w:tabs>
          <w:tab w:pos="2520" w:val="num"/>
        </w:tabs>
        <w:ind w:hanging="360" w:left="2520"/>
      </w:pPr>
    </w:lvl>
    <w:lvl w:ilvl="6">
      <w:start w:val="1"/>
      <w:numFmt w:val="lowerLetter"/>
      <w:lvlText w:val="(%7)"/>
      <w:lvlJc w:val="left"/>
      <w:pPr>
        <w:tabs>
          <w:tab w:pos="2880" w:val="num"/>
        </w:tabs>
        <w:ind w:hanging="360" w:left="2880"/>
      </w:pPr>
    </w:lvl>
    <w:lvl w:ilvl="7">
      <w:start w:val="1"/>
      <w:numFmt w:val="lowerLetter"/>
      <w:lvlText w:val="(%8)"/>
      <w:lvlJc w:val="left"/>
      <w:pPr>
        <w:tabs>
          <w:tab w:pos="3240" w:val="num"/>
        </w:tabs>
        <w:ind w:hanging="360" w:left="3240"/>
      </w:pPr>
    </w:lvl>
    <w:lvl w:ilvl="8">
      <w:start w:val="1"/>
      <w:numFmt w:val="lowerLetter"/>
      <w:lvlText w:val="(%9)"/>
      <w:lvlJc w:val="left"/>
      <w:pPr>
        <w:tabs>
          <w:tab w:pos="3600" w:val="num"/>
        </w:tabs>
        <w:ind w:hanging="360" w:left="3600"/>
      </w:pPr>
    </w:lvl>
  </w:abstractNum>
  <w:abstractNum w:abstractNumId="10">
    <w:nsid w:val="2C7D72EF"/>
    <w:multiLevelType w:val="hybridMultilevel"/>
    <w:tmpl w:val="0B366ABC"/>
    <w:lvl w:tplc="FE7EBC6E" w:ilvl="0">
      <w:start w:val="1"/>
      <w:numFmt w:val="bullet"/>
      <w:lvlText w:val="-"/>
      <w:lvlJc w:val="left"/>
      <w:pPr>
        <w:ind w:hanging="360" w:left="1068"/>
      </w:pPr>
      <w:rPr>
        <w:rFonts w:hAnsi="Sitka Small" w:ascii="Sitka Smal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2DD45CA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2">
    <w:nsid w:val="2F800CD8"/>
    <w:multiLevelType w:val="hybridMultilevel"/>
    <w:tmpl w:val="765AC0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FAC21C4"/>
    <w:multiLevelType w:val="hybridMultilevel"/>
    <w:tmpl w:val="B0320418"/>
    <w:lvl w:tplc="BE7C211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304C1121"/>
    <w:multiLevelType w:val="multilevel"/>
    <w:tmpl w:val="82C8D046"/>
    <w:lvl w:ilvl="0">
      <w:start w:val="1"/>
      <w:numFmt w:val="upperRoman"/>
      <w:lvlText w:val="%1."/>
      <w:lvlJc w:val="left"/>
      <w:pPr>
        <w:tabs>
          <w:tab w:pos="720" w:val="num"/>
        </w:tabs>
        <w:ind w:hanging="360" w:left="720"/>
      </w:pPr>
    </w:lvl>
    <w:lvl w:ilvl="1">
      <w:start w:val="1"/>
      <w:numFmt w:val="upperRoman"/>
      <w:lvlText w:val="%2."/>
      <w:lvlJc w:val="left"/>
      <w:pPr>
        <w:tabs>
          <w:tab w:pos="1080" w:val="num"/>
        </w:tabs>
        <w:ind w:hanging="360" w:left="1080"/>
      </w:pPr>
    </w:lvl>
    <w:lvl w:ilvl="2">
      <w:start w:val="1"/>
      <w:numFmt w:val="upperRoman"/>
      <w:lvlText w:val="%3."/>
      <w:lvlJc w:val="left"/>
      <w:pPr>
        <w:tabs>
          <w:tab w:pos="1440" w:val="num"/>
        </w:tabs>
        <w:ind w:hanging="360" w:left="1440"/>
      </w:pPr>
    </w:lvl>
    <w:lvl w:ilvl="3">
      <w:start w:val="1"/>
      <w:numFmt w:val="upperRoman"/>
      <w:lvlText w:val="%4."/>
      <w:lvlJc w:val="left"/>
      <w:pPr>
        <w:tabs>
          <w:tab w:pos="1800" w:val="num"/>
        </w:tabs>
        <w:ind w:hanging="360" w:left="1800"/>
      </w:pPr>
    </w:lvl>
    <w:lvl w:ilvl="4">
      <w:start w:val="1"/>
      <w:numFmt w:val="upperRoman"/>
      <w:lvlText w:val="%5."/>
      <w:lvlJc w:val="left"/>
      <w:pPr>
        <w:tabs>
          <w:tab w:pos="2160" w:val="num"/>
        </w:tabs>
        <w:ind w:hanging="360" w:left="2160"/>
      </w:pPr>
    </w:lvl>
    <w:lvl w:ilvl="5">
      <w:start w:val="1"/>
      <w:numFmt w:val="upperRoman"/>
      <w:lvlText w:val="%6."/>
      <w:lvlJc w:val="left"/>
      <w:pPr>
        <w:tabs>
          <w:tab w:pos="2520" w:val="num"/>
        </w:tabs>
        <w:ind w:hanging="360" w:left="2520"/>
      </w:pPr>
    </w:lvl>
    <w:lvl w:ilvl="6">
      <w:start w:val="1"/>
      <w:numFmt w:val="upperRoman"/>
      <w:lvlText w:val="%7."/>
      <w:lvlJc w:val="left"/>
      <w:pPr>
        <w:tabs>
          <w:tab w:pos="2880" w:val="num"/>
        </w:tabs>
        <w:ind w:hanging="360" w:left="2880"/>
      </w:pPr>
    </w:lvl>
    <w:lvl w:ilvl="7">
      <w:start w:val="1"/>
      <w:numFmt w:val="upperRoman"/>
      <w:lvlText w:val="%8."/>
      <w:lvlJc w:val="left"/>
      <w:pPr>
        <w:tabs>
          <w:tab w:pos="3240" w:val="num"/>
        </w:tabs>
        <w:ind w:hanging="360" w:left="3240"/>
      </w:pPr>
    </w:lvl>
    <w:lvl w:ilvl="8">
      <w:start w:val="1"/>
      <w:numFmt w:val="upperRoman"/>
      <w:lvlText w:val="%9."/>
      <w:lvlJc w:val="left"/>
      <w:pPr>
        <w:tabs>
          <w:tab w:pos="3600" w:val="num"/>
        </w:tabs>
        <w:ind w:hanging="360" w:left="3600"/>
      </w:pPr>
    </w:lvl>
  </w:abstractNum>
  <w:abstractNum w:abstractNumId="15">
    <w:nsid w:val="30F9076B"/>
    <w:multiLevelType w:val="hybridMultilevel"/>
    <w:tmpl w:val="99D87DEE"/>
    <w:lvl w:tplc="FE7EBC6E" w:ilvl="0">
      <w:start w:val="1"/>
      <w:numFmt w:val="bullet"/>
      <w:lvlText w:val="-"/>
      <w:lvlJc w:val="left"/>
      <w:pPr>
        <w:ind w:hanging="360" w:left="360"/>
      </w:pPr>
      <w:rPr>
        <w:rFonts w:hAnsi="Sitka Small" w:ascii="Sitka Smal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6">
    <w:nsid w:val="37656D43"/>
    <w:multiLevelType w:val="hybridMultilevel"/>
    <w:tmpl w:val="FF9EFAFC"/>
    <w:lvl w:tplc="304EA792"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39CE5B17"/>
    <w:multiLevelType w:val="hybridMultilevel"/>
    <w:tmpl w:val="166A60CC"/>
    <w:lvl w:tplc="568CC8F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8">
    <w:nsid w:val="3D215284"/>
    <w:multiLevelType w:val="hybridMultilevel"/>
    <w:tmpl w:val="9760B09E"/>
    <w:lvl w:tplc="44EA14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EA75B3A"/>
    <w:multiLevelType w:val="hybridMultilevel"/>
    <w:tmpl w:val="EDF806AA"/>
    <w:lvl w:tplc="84ECD578" w:ilvl="0">
      <w:start w:val="1"/>
      <w:numFmt w:val="decimal"/>
      <w:lvlText w:val="%1."/>
      <w:lvlJc w:val="left"/>
      <w:pPr>
        <w:tabs>
          <w:tab w:pos="1683" w:val="num"/>
        </w:tabs>
        <w:ind w:hanging="975" w:left="168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3EF87CD8"/>
    <w:multiLevelType w:val="hybridMultilevel"/>
    <w:tmpl w:val="DFBE167C"/>
    <w:lvl w:tplc="ECB21F0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1D53F83"/>
    <w:multiLevelType w:val="multilevel"/>
    <w:tmpl w:val="A162AD8C"/>
    <w:lvl w:ilvl="0">
      <w:start w:val="1"/>
      <w:numFmt w:val="upperRoman"/>
      <w:lvlText w:val="%1."/>
      <w:lvlJc w:val="left"/>
      <w:pPr>
        <w:tabs>
          <w:tab w:pos="720" w:val="num"/>
        </w:tabs>
        <w:ind w:hanging="360" w:left="720"/>
      </w:pPr>
    </w:lvl>
    <w:lvl w:ilvl="1">
      <w:start w:val="1"/>
      <w:numFmt w:val="upperRoman"/>
      <w:lvlText w:val="%2."/>
      <w:lvlJc w:val="left"/>
      <w:pPr>
        <w:tabs>
          <w:tab w:pos="1080" w:val="num"/>
        </w:tabs>
        <w:ind w:hanging="360" w:left="1080"/>
      </w:pPr>
    </w:lvl>
    <w:lvl w:ilvl="2">
      <w:start w:val="1"/>
      <w:numFmt w:val="upperRoman"/>
      <w:lvlText w:val="%3."/>
      <w:lvlJc w:val="left"/>
      <w:pPr>
        <w:tabs>
          <w:tab w:pos="1440" w:val="num"/>
        </w:tabs>
        <w:ind w:hanging="360" w:left="1440"/>
      </w:pPr>
    </w:lvl>
    <w:lvl w:ilvl="3">
      <w:start w:val="1"/>
      <w:numFmt w:val="upperRoman"/>
      <w:lvlText w:val="%4."/>
      <w:lvlJc w:val="left"/>
      <w:pPr>
        <w:tabs>
          <w:tab w:pos="1800" w:val="num"/>
        </w:tabs>
        <w:ind w:hanging="360" w:left="1800"/>
      </w:pPr>
    </w:lvl>
    <w:lvl w:ilvl="4">
      <w:start w:val="1"/>
      <w:numFmt w:val="upperRoman"/>
      <w:lvlText w:val="%5."/>
      <w:lvlJc w:val="left"/>
      <w:pPr>
        <w:tabs>
          <w:tab w:pos="2160" w:val="num"/>
        </w:tabs>
        <w:ind w:hanging="360" w:left="2160"/>
      </w:pPr>
    </w:lvl>
    <w:lvl w:ilvl="5">
      <w:start w:val="1"/>
      <w:numFmt w:val="upperRoman"/>
      <w:lvlText w:val="%6."/>
      <w:lvlJc w:val="left"/>
      <w:pPr>
        <w:tabs>
          <w:tab w:pos="2520" w:val="num"/>
        </w:tabs>
        <w:ind w:hanging="360" w:left="2520"/>
      </w:pPr>
    </w:lvl>
    <w:lvl w:ilvl="6">
      <w:start w:val="1"/>
      <w:numFmt w:val="upperRoman"/>
      <w:lvlText w:val="%7."/>
      <w:lvlJc w:val="left"/>
      <w:pPr>
        <w:tabs>
          <w:tab w:pos="2880" w:val="num"/>
        </w:tabs>
        <w:ind w:hanging="360" w:left="2880"/>
      </w:pPr>
    </w:lvl>
    <w:lvl w:ilvl="7">
      <w:start w:val="1"/>
      <w:numFmt w:val="upperRoman"/>
      <w:lvlText w:val="%8."/>
      <w:lvlJc w:val="left"/>
      <w:pPr>
        <w:tabs>
          <w:tab w:pos="3240" w:val="num"/>
        </w:tabs>
        <w:ind w:hanging="360" w:left="3240"/>
      </w:pPr>
    </w:lvl>
    <w:lvl w:ilvl="8">
      <w:start w:val="1"/>
      <w:numFmt w:val="upperRoman"/>
      <w:lvlText w:val="%9."/>
      <w:lvlJc w:val="left"/>
      <w:pPr>
        <w:tabs>
          <w:tab w:pos="3600" w:val="num"/>
        </w:tabs>
        <w:ind w:hanging="360" w:left="3600"/>
      </w:pPr>
    </w:lvl>
  </w:abstractNum>
  <w:abstractNum w:abstractNumId="22">
    <w:nsid w:val="43BA75E6"/>
    <w:multiLevelType w:val="hybridMultilevel"/>
    <w:tmpl w:val="F7749F42"/>
    <w:lvl w:tplc="EEC0F68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452324E4"/>
    <w:multiLevelType w:val="hybridMultilevel"/>
    <w:tmpl w:val="30A2455C"/>
    <w:lvl w:tplc="B216A02C"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24">
    <w:nsid w:val="51450117"/>
    <w:multiLevelType w:val="hybridMultilevel"/>
    <w:tmpl w:val="E6968CF6"/>
    <w:lvl w:tplc="9EB892FA"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5">
    <w:nsid w:val="521E0D3E"/>
    <w:multiLevelType w:val="hybridMultilevel"/>
    <w:tmpl w:val="FFA2AD1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30C3810"/>
    <w:multiLevelType w:val="hybridMultilevel"/>
    <w:tmpl w:val="7CDED460"/>
    <w:lvl w:tplc="EE5E213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533F5F84"/>
    <w:multiLevelType w:val="hybridMultilevel"/>
    <w:tmpl w:val="EB302C36"/>
    <w:lvl w:tplc="11EE2B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8">
    <w:nsid w:val="5639027D"/>
    <w:multiLevelType w:val="hybridMultilevel"/>
    <w:tmpl w:val="9212628A"/>
    <w:lvl w:tplc="47142354"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9">
    <w:nsid w:val="585B6A1B"/>
    <w:multiLevelType w:val="hybridMultilevel"/>
    <w:tmpl w:val="DA56AEE0"/>
    <w:lvl w:tplc="8C340DDA"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0">
    <w:nsid w:val="59CB7A83"/>
    <w:multiLevelType w:val="hybridMultilevel"/>
    <w:tmpl w:val="C95430A2"/>
    <w:lvl w:tplc="7B7CEAD6"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1">
    <w:nsid w:val="5A931345"/>
    <w:multiLevelType w:val="hybridMultilevel"/>
    <w:tmpl w:val="E0E43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AE7136E"/>
    <w:multiLevelType w:val="hybridMultilevel"/>
    <w:tmpl w:val="8D6AA6F2"/>
    <w:lvl w:tplc="93F49408"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5D926F93"/>
    <w:multiLevelType w:val="hybridMultilevel"/>
    <w:tmpl w:val="D724209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F19123B"/>
    <w:multiLevelType w:val="multilevel"/>
    <w:tmpl w:val="3C5629DA"/>
    <w:lvl w:ilvl="0">
      <w:start w:val="1"/>
      <w:numFmt w:val="lowerLetter"/>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5">
    <w:nsid w:val="642A7BDC"/>
    <w:multiLevelType w:val="hybridMultilevel"/>
    <w:tmpl w:val="1190FE98"/>
    <w:lvl w:tplc="3B7A41DC"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5484264"/>
    <w:multiLevelType w:val="hybridMultilevel"/>
    <w:tmpl w:val="E220930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68FE3669"/>
    <w:multiLevelType w:val="multilevel"/>
    <w:tmpl w:val="0C543A54"/>
    <w:lvl w:ilvl="0">
      <w:start w:val="1"/>
      <w:numFmt w:val="lowerLetter"/>
      <w:lvlText w:val="(%1)"/>
      <w:lvlJc w:val="left"/>
      <w:pPr>
        <w:tabs>
          <w:tab w:pos="720" w:val="num"/>
        </w:tabs>
        <w:ind w:hanging="360" w:left="720"/>
      </w:pPr>
    </w:lvl>
    <w:lvl w:ilvl="1">
      <w:start w:val="1"/>
      <w:numFmt w:val="lowerLetter"/>
      <w:lvlText w:val="(%2)"/>
      <w:lvlJc w:val="left"/>
      <w:pPr>
        <w:tabs>
          <w:tab w:pos="1080" w:val="num"/>
        </w:tabs>
        <w:ind w:hanging="360" w:left="1080"/>
      </w:pPr>
    </w:lvl>
    <w:lvl w:ilvl="2">
      <w:start w:val="1"/>
      <w:numFmt w:val="lowerLetter"/>
      <w:lvlText w:val="(%3)"/>
      <w:lvlJc w:val="left"/>
      <w:pPr>
        <w:tabs>
          <w:tab w:pos="1440" w:val="num"/>
        </w:tabs>
        <w:ind w:hanging="360" w:left="1440"/>
      </w:pPr>
    </w:lvl>
    <w:lvl w:ilvl="3">
      <w:start w:val="1"/>
      <w:numFmt w:val="lowerLetter"/>
      <w:lvlText w:val="(%4)"/>
      <w:lvlJc w:val="left"/>
      <w:pPr>
        <w:tabs>
          <w:tab w:pos="1800" w:val="num"/>
        </w:tabs>
        <w:ind w:hanging="360" w:left="1800"/>
      </w:pPr>
    </w:lvl>
    <w:lvl w:ilvl="4">
      <w:start w:val="1"/>
      <w:numFmt w:val="lowerLetter"/>
      <w:lvlText w:val="(%5)"/>
      <w:lvlJc w:val="left"/>
      <w:pPr>
        <w:tabs>
          <w:tab w:pos="2160" w:val="num"/>
        </w:tabs>
        <w:ind w:hanging="360" w:left="2160"/>
      </w:pPr>
    </w:lvl>
    <w:lvl w:ilvl="5">
      <w:start w:val="1"/>
      <w:numFmt w:val="lowerLetter"/>
      <w:lvlText w:val="(%6)"/>
      <w:lvlJc w:val="left"/>
      <w:pPr>
        <w:tabs>
          <w:tab w:pos="2520" w:val="num"/>
        </w:tabs>
        <w:ind w:hanging="360" w:left="2520"/>
      </w:pPr>
    </w:lvl>
    <w:lvl w:ilvl="6">
      <w:start w:val="1"/>
      <w:numFmt w:val="lowerLetter"/>
      <w:lvlText w:val="(%7)"/>
      <w:lvlJc w:val="left"/>
      <w:pPr>
        <w:tabs>
          <w:tab w:pos="2880" w:val="num"/>
        </w:tabs>
        <w:ind w:hanging="360" w:left="2880"/>
      </w:pPr>
    </w:lvl>
    <w:lvl w:ilvl="7">
      <w:start w:val="1"/>
      <w:numFmt w:val="lowerLetter"/>
      <w:lvlText w:val="(%8)"/>
      <w:lvlJc w:val="left"/>
      <w:pPr>
        <w:tabs>
          <w:tab w:pos="3240" w:val="num"/>
        </w:tabs>
        <w:ind w:hanging="360" w:left="3240"/>
      </w:pPr>
    </w:lvl>
    <w:lvl w:ilvl="8">
      <w:start w:val="1"/>
      <w:numFmt w:val="lowerLetter"/>
      <w:lvlText w:val="(%9)"/>
      <w:lvlJc w:val="left"/>
      <w:pPr>
        <w:tabs>
          <w:tab w:pos="3600" w:val="num"/>
        </w:tabs>
        <w:ind w:hanging="360" w:left="3600"/>
      </w:pPr>
    </w:lvl>
  </w:abstractNum>
  <w:abstractNum w:abstractNumId="38">
    <w:nsid w:val="6F944C13"/>
    <w:multiLevelType w:val="hybridMultilevel"/>
    <w:tmpl w:val="E90CF64C"/>
    <w:lvl w:tplc="CB086E1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9">
    <w:nsid w:val="733C08B9"/>
    <w:multiLevelType w:val="hybridMultilevel"/>
    <w:tmpl w:val="166A60CC"/>
    <w:lvl w:tplc="568CC8F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0">
    <w:nsid w:val="74F649CF"/>
    <w:multiLevelType w:val="hybridMultilevel"/>
    <w:tmpl w:val="6C3464DE"/>
    <w:lvl w:tplc="E4D2CE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1">
    <w:nsid w:val="752A1E78"/>
    <w:multiLevelType w:val="hybridMultilevel"/>
    <w:tmpl w:val="60007372"/>
    <w:lvl w:tplc="7FCC3A3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2">
    <w:nsid w:val="788A23F8"/>
    <w:multiLevelType w:val="multilevel"/>
    <w:tmpl w:val="24E0F9A8"/>
    <w:lvl w:ilvl="0">
      <w:start w:val="1"/>
      <w:numFmt w:val="lowerLetter"/>
      <w:lvlText w:val="(%1)"/>
      <w:lvlJc w:val="left"/>
      <w:pPr>
        <w:tabs>
          <w:tab w:pos="720" w:val="num"/>
        </w:tabs>
        <w:ind w:hanging="360" w:left="720"/>
      </w:pPr>
    </w:lvl>
    <w:lvl w:ilvl="1">
      <w:start w:val="1"/>
      <w:numFmt w:val="lowerLetter"/>
      <w:lvlText w:val="(%2)"/>
      <w:lvlJc w:val="left"/>
      <w:pPr>
        <w:tabs>
          <w:tab w:pos="1080" w:val="num"/>
        </w:tabs>
        <w:ind w:hanging="360" w:left="1080"/>
      </w:pPr>
    </w:lvl>
    <w:lvl w:ilvl="2">
      <w:start w:val="1"/>
      <w:numFmt w:val="lowerLetter"/>
      <w:lvlText w:val="(%3)"/>
      <w:lvlJc w:val="left"/>
      <w:pPr>
        <w:tabs>
          <w:tab w:pos="1440" w:val="num"/>
        </w:tabs>
        <w:ind w:hanging="360" w:left="1440"/>
      </w:pPr>
    </w:lvl>
    <w:lvl w:ilvl="3">
      <w:start w:val="1"/>
      <w:numFmt w:val="lowerLetter"/>
      <w:lvlText w:val="(%4)"/>
      <w:lvlJc w:val="left"/>
      <w:pPr>
        <w:tabs>
          <w:tab w:pos="1800" w:val="num"/>
        </w:tabs>
        <w:ind w:hanging="360" w:left="1800"/>
      </w:pPr>
    </w:lvl>
    <w:lvl w:ilvl="4">
      <w:start w:val="1"/>
      <w:numFmt w:val="lowerLetter"/>
      <w:lvlText w:val="(%5)"/>
      <w:lvlJc w:val="left"/>
      <w:pPr>
        <w:tabs>
          <w:tab w:pos="2160" w:val="num"/>
        </w:tabs>
        <w:ind w:hanging="360" w:left="2160"/>
      </w:pPr>
    </w:lvl>
    <w:lvl w:ilvl="5">
      <w:start w:val="1"/>
      <w:numFmt w:val="lowerLetter"/>
      <w:lvlText w:val="(%6)"/>
      <w:lvlJc w:val="left"/>
      <w:pPr>
        <w:tabs>
          <w:tab w:pos="2520" w:val="num"/>
        </w:tabs>
        <w:ind w:hanging="360" w:left="2520"/>
      </w:pPr>
    </w:lvl>
    <w:lvl w:ilvl="6">
      <w:start w:val="1"/>
      <w:numFmt w:val="lowerLetter"/>
      <w:lvlText w:val="(%7)"/>
      <w:lvlJc w:val="left"/>
      <w:pPr>
        <w:tabs>
          <w:tab w:pos="2880" w:val="num"/>
        </w:tabs>
        <w:ind w:hanging="360" w:left="2880"/>
      </w:pPr>
    </w:lvl>
    <w:lvl w:ilvl="7">
      <w:start w:val="1"/>
      <w:numFmt w:val="lowerLetter"/>
      <w:lvlText w:val="(%8)"/>
      <w:lvlJc w:val="left"/>
      <w:pPr>
        <w:tabs>
          <w:tab w:pos="3240" w:val="num"/>
        </w:tabs>
        <w:ind w:hanging="360" w:left="3240"/>
      </w:pPr>
    </w:lvl>
    <w:lvl w:ilvl="8">
      <w:start w:val="1"/>
      <w:numFmt w:val="lowerLetter"/>
      <w:lvlText w:val="(%9)"/>
      <w:lvlJc w:val="left"/>
      <w:pPr>
        <w:tabs>
          <w:tab w:pos="3600" w:val="num"/>
        </w:tabs>
        <w:ind w:hanging="360" w:left="3600"/>
      </w:pPr>
    </w:lvl>
  </w:abstractNum>
  <w:abstractNum w:abstractNumId="43">
    <w:nsid w:val="7AC81061"/>
    <w:multiLevelType w:val="hybridMultilevel"/>
    <w:tmpl w:val="2CBEF232"/>
    <w:lvl w:tplc="D048E4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4">
    <w:nsid w:val="7D7F3E80"/>
    <w:multiLevelType w:val="hybridMultilevel"/>
    <w:tmpl w:val="A80A330A"/>
    <w:lvl w:tplc="99106F54" w:ilvl="0">
      <w:start w:val="1"/>
      <w:numFmt w:val="decimal"/>
      <w:lvlText w:val="%1."/>
      <w:lvlJc w:val="left"/>
      <w:pPr>
        <w:tabs>
          <w:tab w:pos="1068" w:val="num"/>
        </w:tabs>
        <w:ind w:hanging="360" w:left="1068"/>
      </w:pPr>
      <w:rPr>
        <w:rFonts w:hint="default"/>
      </w:rPr>
    </w:lvl>
    <w:lvl w:tplc="883249F6" w:ilvl="1">
      <w:start w:val="1"/>
      <w:numFmt w:val="upperRoman"/>
      <w:lvlText w:val="%2."/>
      <w:lvlJc w:val="left"/>
      <w:pPr>
        <w:tabs>
          <w:tab w:pos="2418" w:val="num"/>
        </w:tabs>
        <w:ind w:hanging="990" w:left="241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5">
    <w:nsid w:val="7D945EB9"/>
    <w:multiLevelType w:val="multilevel"/>
    <w:tmpl w:val="4B72A68C"/>
    <w:lvl w:ilvl="0">
      <w:start w:val="1"/>
      <w:numFmt w:val="bullet"/>
      <w:lvlText w:val=""/>
      <w:lvlJc w:val="left"/>
      <w:pPr>
        <w:tabs>
          <w:tab w:pos="720" w:val="num"/>
        </w:tabs>
        <w:ind w:hanging="360" w:left="720"/>
      </w:pPr>
      <w:rPr>
        <w:rFonts w:cs="OpenSymbol" w:hAnsi="Symbol" w:ascii="Symbol" w:hint="default"/>
      </w:rPr>
    </w:lvl>
    <w:lvl w:ilvl="1">
      <w:start w:val="1"/>
      <w:numFmt w:val="bullet"/>
      <w:lvlText w:val="◦"/>
      <w:lvlJc w:val="left"/>
      <w:pPr>
        <w:tabs>
          <w:tab w:pos="1080" w:val="num"/>
        </w:tabs>
        <w:ind w:hanging="360" w:left="1080"/>
      </w:pPr>
      <w:rPr>
        <w:rFonts w:cs="OpenSymbol" w:hAnsi="OpenSymbol" w:ascii="OpenSymbol" w:hint="default"/>
      </w:rPr>
    </w:lvl>
    <w:lvl w:ilvl="2">
      <w:start w:val="1"/>
      <w:numFmt w:val="bullet"/>
      <w:lvlText w:val="▪"/>
      <w:lvlJc w:val="left"/>
      <w:pPr>
        <w:tabs>
          <w:tab w:pos="1440" w:val="num"/>
        </w:tabs>
        <w:ind w:hanging="360" w:left="1440"/>
      </w:pPr>
      <w:rPr>
        <w:rFonts w:cs="OpenSymbol" w:hAnsi="OpenSymbol" w:ascii="OpenSymbol" w:hint="default"/>
      </w:rPr>
    </w:lvl>
    <w:lvl w:ilvl="3">
      <w:start w:val="1"/>
      <w:numFmt w:val="bullet"/>
      <w:lvlText w:val=""/>
      <w:lvlJc w:val="left"/>
      <w:pPr>
        <w:tabs>
          <w:tab w:pos="1800" w:val="num"/>
        </w:tabs>
        <w:ind w:hanging="360" w:left="1800"/>
      </w:pPr>
      <w:rPr>
        <w:rFonts w:cs="OpenSymbol" w:hAnsi="Symbol" w:ascii="Symbol" w:hint="default"/>
      </w:rPr>
    </w:lvl>
    <w:lvl w:ilvl="4">
      <w:start w:val="1"/>
      <w:numFmt w:val="bullet"/>
      <w:lvlText w:val="◦"/>
      <w:lvlJc w:val="left"/>
      <w:pPr>
        <w:tabs>
          <w:tab w:pos="2160" w:val="num"/>
        </w:tabs>
        <w:ind w:hanging="360" w:left="2160"/>
      </w:pPr>
      <w:rPr>
        <w:rFonts w:cs="OpenSymbol" w:hAnsi="OpenSymbol" w:ascii="OpenSymbol" w:hint="default"/>
      </w:rPr>
    </w:lvl>
    <w:lvl w:ilvl="5">
      <w:start w:val="1"/>
      <w:numFmt w:val="bullet"/>
      <w:lvlText w:val="▪"/>
      <w:lvlJc w:val="left"/>
      <w:pPr>
        <w:tabs>
          <w:tab w:pos="2520" w:val="num"/>
        </w:tabs>
        <w:ind w:hanging="360" w:left="2520"/>
      </w:pPr>
      <w:rPr>
        <w:rFonts w:cs="OpenSymbol" w:hAnsi="OpenSymbol" w:ascii="OpenSymbol" w:hint="default"/>
      </w:rPr>
    </w:lvl>
    <w:lvl w:ilvl="6">
      <w:start w:val="1"/>
      <w:numFmt w:val="bullet"/>
      <w:lvlText w:val=""/>
      <w:lvlJc w:val="left"/>
      <w:pPr>
        <w:tabs>
          <w:tab w:pos="2880" w:val="num"/>
        </w:tabs>
        <w:ind w:hanging="360" w:left="2880"/>
      </w:pPr>
      <w:rPr>
        <w:rFonts w:cs="OpenSymbol" w:hAnsi="Symbol" w:ascii="Symbol" w:hint="default"/>
      </w:rPr>
    </w:lvl>
    <w:lvl w:ilvl="7">
      <w:start w:val="1"/>
      <w:numFmt w:val="bullet"/>
      <w:lvlText w:val="◦"/>
      <w:lvlJc w:val="left"/>
      <w:pPr>
        <w:tabs>
          <w:tab w:pos="3240" w:val="num"/>
        </w:tabs>
        <w:ind w:hanging="360" w:left="3240"/>
      </w:pPr>
      <w:rPr>
        <w:rFonts w:cs="OpenSymbol" w:hAnsi="OpenSymbol" w:ascii="OpenSymbol" w:hint="default"/>
      </w:rPr>
    </w:lvl>
    <w:lvl w:ilvl="8">
      <w:start w:val="1"/>
      <w:numFmt w:val="bullet"/>
      <w:lvlText w:val="▪"/>
      <w:lvlJc w:val="left"/>
      <w:pPr>
        <w:tabs>
          <w:tab w:pos="3600" w:val="num"/>
        </w:tabs>
        <w:ind w:hanging="360" w:left="3600"/>
      </w:pPr>
      <w:rPr>
        <w:rFonts w:cs="OpenSymbol" w:hAnsi="OpenSymbol" w:ascii="OpenSymbol" w:hint="default"/>
      </w:rPr>
    </w:lvl>
  </w:abstractNum>
  <w:num w:numId="1">
    <w:abstractNumId w:val="38"/>
  </w:num>
  <w:num w:numId="2">
    <w:abstractNumId w:val="28"/>
  </w:num>
  <w:num w:numId="3">
    <w:abstractNumId w:val="16"/>
  </w:num>
  <w:num w:numId="4">
    <w:abstractNumId w:val="19"/>
  </w:num>
  <w:num w:numId="5">
    <w:abstractNumId w:val="29"/>
  </w:num>
  <w:num w:numId="6">
    <w:abstractNumId w:val="44"/>
  </w:num>
  <w:num w:numId="7">
    <w:abstractNumId w:val="27"/>
  </w:num>
  <w:num w:numId="8">
    <w:abstractNumId w:val="22"/>
  </w:num>
  <w:num w:numId="9">
    <w:abstractNumId w:val="25"/>
  </w:num>
  <w:num w:numId="10">
    <w:abstractNumId w:val="40"/>
  </w:num>
  <w:num w:numId="11">
    <w:abstractNumId w:val="26"/>
  </w:num>
  <w:num w:numId="12">
    <w:abstractNumId w:val="5"/>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24"/>
  </w:num>
  <w:num w:numId="17">
    <w:abstractNumId w:val="43"/>
  </w:num>
  <w:num w:numId="18">
    <w:abstractNumId w:val="23"/>
  </w:num>
  <w:num w:numId="19">
    <w:abstractNumId w:val="7"/>
  </w:num>
  <w:num w:numId="20">
    <w:abstractNumId w:val="30"/>
  </w:num>
  <w:num w:numId="21">
    <w:abstractNumId w:val="12"/>
  </w:num>
  <w:num w:numId="22">
    <w:abstractNumId w:val="20"/>
  </w:num>
  <w:num w:numId="23">
    <w:abstractNumId w:val="13"/>
  </w:num>
  <w:num w:numId="24">
    <w:abstractNumId w:val="18"/>
  </w:num>
  <w:num w:numId="25">
    <w:abstractNumId w:val="33"/>
  </w:num>
  <w:num w:numId="26">
    <w:abstractNumId w:val="10"/>
  </w:num>
  <w:num w:numId="27">
    <w:abstractNumId w:val="2"/>
  </w:num>
  <w:num w:numId="28">
    <w:abstractNumId w:val="3"/>
  </w:num>
  <w:num w:numId="29">
    <w:abstractNumId w:val="15"/>
  </w:num>
  <w:num w:numId="30">
    <w:abstractNumId w:val="32"/>
  </w:num>
  <w:num w:numId="31">
    <w:abstractNumId w:val="36"/>
  </w:num>
  <w:num w:numId="32">
    <w:abstractNumId w:val="31"/>
  </w:num>
  <w:num w:numId="33">
    <w:abstractNumId w:val="41"/>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7"/>
  </w:num>
  <w:num w:numId="37">
    <w:abstractNumId w:val="39"/>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0"/>
  </w:num>
  <w:num w:numId="41">
    <w:abstractNumId w:val="34"/>
  </w:num>
  <w:num w:numId="42">
    <w:abstractNumId w:val="45"/>
  </w:num>
  <w:num w:numId="43">
    <w:abstractNumId w:val="37"/>
  </w:num>
  <w:num w:numId="44">
    <w:abstractNumId w:val="42"/>
  </w:num>
  <w:num w:numId="45">
    <w:abstractNumId w:val="1"/>
  </w:num>
  <w:num w:numId="46">
    <w:abstractNumId w:val="9"/>
  </w:num>
  <w:num w:numId="47">
    <w:abstractNumId w:val="6"/>
  </w:num>
  <w:num w:numId="48">
    <w:abstractNumId w:val="14"/>
  </w:num>
  <w:num w:numId="49">
    <w:abstractNumId w:val="4"/>
  </w:num>
  <w:num w:numId="50">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05ED"/>
    <w:rsid w:val="00005E29"/>
    <w:rsid w:val="00007127"/>
    <w:rsid w:val="000114D3"/>
    <w:rsid w:val="00012AEE"/>
    <w:rsid w:val="00023822"/>
    <w:rsid w:val="00033CEA"/>
    <w:rsid w:val="0004206A"/>
    <w:rsid w:val="000424E6"/>
    <w:rsid w:val="00052223"/>
    <w:rsid w:val="0005717B"/>
    <w:rsid w:val="0005791B"/>
    <w:rsid w:val="0007232F"/>
    <w:rsid w:val="00092443"/>
    <w:rsid w:val="00092932"/>
    <w:rsid w:val="000A06CA"/>
    <w:rsid w:val="000A3F2A"/>
    <w:rsid w:val="000C1C9B"/>
    <w:rsid w:val="000C4851"/>
    <w:rsid w:val="000C6C55"/>
    <w:rsid w:val="000D201E"/>
    <w:rsid w:val="000D2052"/>
    <w:rsid w:val="000F4B16"/>
    <w:rsid w:val="000F5271"/>
    <w:rsid w:val="000F6272"/>
    <w:rsid w:val="000F64CC"/>
    <w:rsid w:val="001267BB"/>
    <w:rsid w:val="00143105"/>
    <w:rsid w:val="00147537"/>
    <w:rsid w:val="00162E23"/>
    <w:rsid w:val="00172B78"/>
    <w:rsid w:val="00176F92"/>
    <w:rsid w:val="00182ABD"/>
    <w:rsid w:val="00186B60"/>
    <w:rsid w:val="00190780"/>
    <w:rsid w:val="00197461"/>
    <w:rsid w:val="001A54AA"/>
    <w:rsid w:val="001A79A0"/>
    <w:rsid w:val="001B7692"/>
    <w:rsid w:val="001F668F"/>
    <w:rsid w:val="001F7588"/>
    <w:rsid w:val="00200255"/>
    <w:rsid w:val="00205F29"/>
    <w:rsid w:val="00216F6C"/>
    <w:rsid w:val="00220322"/>
    <w:rsid w:val="002237B0"/>
    <w:rsid w:val="00226664"/>
    <w:rsid w:val="00246453"/>
    <w:rsid w:val="00275B27"/>
    <w:rsid w:val="002774B3"/>
    <w:rsid w:val="00291AB2"/>
    <w:rsid w:val="00297451"/>
    <w:rsid w:val="002A1118"/>
    <w:rsid w:val="002A26EC"/>
    <w:rsid w:val="002B738C"/>
    <w:rsid w:val="002C0A27"/>
    <w:rsid w:val="002C52BF"/>
    <w:rsid w:val="002C5BD1"/>
    <w:rsid w:val="002D1448"/>
    <w:rsid w:val="002D45BE"/>
    <w:rsid w:val="002F63C5"/>
    <w:rsid w:val="00300254"/>
    <w:rsid w:val="00301CE4"/>
    <w:rsid w:val="00314B84"/>
    <w:rsid w:val="003406A8"/>
    <w:rsid w:val="00347734"/>
    <w:rsid w:val="00360E96"/>
    <w:rsid w:val="003624A8"/>
    <w:rsid w:val="003639D3"/>
    <w:rsid w:val="00370F6A"/>
    <w:rsid w:val="003A6D05"/>
    <w:rsid w:val="003B1958"/>
    <w:rsid w:val="003B437C"/>
    <w:rsid w:val="003B6594"/>
    <w:rsid w:val="003B775B"/>
    <w:rsid w:val="003C65E5"/>
    <w:rsid w:val="003D53EC"/>
    <w:rsid w:val="003E05F0"/>
    <w:rsid w:val="003E26DA"/>
    <w:rsid w:val="003F4DB5"/>
    <w:rsid w:val="003F5052"/>
    <w:rsid w:val="00410A82"/>
    <w:rsid w:val="00413618"/>
    <w:rsid w:val="00416F1D"/>
    <w:rsid w:val="00426271"/>
    <w:rsid w:val="00426717"/>
    <w:rsid w:val="00431EE1"/>
    <w:rsid w:val="00441742"/>
    <w:rsid w:val="00443F70"/>
    <w:rsid w:val="00446590"/>
    <w:rsid w:val="00447473"/>
    <w:rsid w:val="00450C22"/>
    <w:rsid w:val="00472763"/>
    <w:rsid w:val="0047355D"/>
    <w:rsid w:val="00481080"/>
    <w:rsid w:val="0048343E"/>
    <w:rsid w:val="00493624"/>
    <w:rsid w:val="004A1002"/>
    <w:rsid w:val="004A218A"/>
    <w:rsid w:val="004B0DC2"/>
    <w:rsid w:val="004B42A1"/>
    <w:rsid w:val="004D15E6"/>
    <w:rsid w:val="004D2836"/>
    <w:rsid w:val="004D4216"/>
    <w:rsid w:val="004E4A7D"/>
    <w:rsid w:val="004F6569"/>
    <w:rsid w:val="005005F9"/>
    <w:rsid w:val="00501470"/>
    <w:rsid w:val="005126D5"/>
    <w:rsid w:val="005138C1"/>
    <w:rsid w:val="0052165C"/>
    <w:rsid w:val="00521DEC"/>
    <w:rsid w:val="00523A53"/>
    <w:rsid w:val="00527C9F"/>
    <w:rsid w:val="0053270E"/>
    <w:rsid w:val="00535D7E"/>
    <w:rsid w:val="00551EA7"/>
    <w:rsid w:val="005706D8"/>
    <w:rsid w:val="005740F4"/>
    <w:rsid w:val="0058108C"/>
    <w:rsid w:val="005820DB"/>
    <w:rsid w:val="00591EF2"/>
    <w:rsid w:val="005A310D"/>
    <w:rsid w:val="005A4FB2"/>
    <w:rsid w:val="005B3C45"/>
    <w:rsid w:val="005C33D4"/>
    <w:rsid w:val="005D1E17"/>
    <w:rsid w:val="005D6979"/>
    <w:rsid w:val="005E3E4B"/>
    <w:rsid w:val="00607699"/>
    <w:rsid w:val="00623B03"/>
    <w:rsid w:val="0062438B"/>
    <w:rsid w:val="0063330E"/>
    <w:rsid w:val="006336AC"/>
    <w:rsid w:val="00634572"/>
    <w:rsid w:val="006626CF"/>
    <w:rsid w:val="006649E9"/>
    <w:rsid w:val="00670F89"/>
    <w:rsid w:val="0067432C"/>
    <w:rsid w:val="0067741B"/>
    <w:rsid w:val="00680051"/>
    <w:rsid w:val="00683539"/>
    <w:rsid w:val="006A7F64"/>
    <w:rsid w:val="006C0AF7"/>
    <w:rsid w:val="006C3616"/>
    <w:rsid w:val="006C67BB"/>
    <w:rsid w:val="006D0F0A"/>
    <w:rsid w:val="006F6DED"/>
    <w:rsid w:val="0070083D"/>
    <w:rsid w:val="0070215E"/>
    <w:rsid w:val="00722BD4"/>
    <w:rsid w:val="00732526"/>
    <w:rsid w:val="007349BB"/>
    <w:rsid w:val="00735499"/>
    <w:rsid w:val="0074140E"/>
    <w:rsid w:val="00745020"/>
    <w:rsid w:val="00745B77"/>
    <w:rsid w:val="00770441"/>
    <w:rsid w:val="007715C3"/>
    <w:rsid w:val="00771E02"/>
    <w:rsid w:val="007803ED"/>
    <w:rsid w:val="007A16FB"/>
    <w:rsid w:val="007A2861"/>
    <w:rsid w:val="007B17D7"/>
    <w:rsid w:val="007B598A"/>
    <w:rsid w:val="007C5B81"/>
    <w:rsid w:val="007D5EF4"/>
    <w:rsid w:val="007F7265"/>
    <w:rsid w:val="00803610"/>
    <w:rsid w:val="008118D8"/>
    <w:rsid w:val="00843FC1"/>
    <w:rsid w:val="00870F4E"/>
    <w:rsid w:val="00887571"/>
    <w:rsid w:val="008A776A"/>
    <w:rsid w:val="008A7E6F"/>
    <w:rsid w:val="008B4196"/>
    <w:rsid w:val="008C5755"/>
    <w:rsid w:val="008D24F2"/>
    <w:rsid w:val="008E23AE"/>
    <w:rsid w:val="008F357E"/>
    <w:rsid w:val="00904548"/>
    <w:rsid w:val="009313D5"/>
    <w:rsid w:val="0093397B"/>
    <w:rsid w:val="009341AF"/>
    <w:rsid w:val="009348F0"/>
    <w:rsid w:val="00946ECD"/>
    <w:rsid w:val="00946EF6"/>
    <w:rsid w:val="00951A35"/>
    <w:rsid w:val="00953306"/>
    <w:rsid w:val="00955B8B"/>
    <w:rsid w:val="00961E85"/>
    <w:rsid w:val="009768BF"/>
    <w:rsid w:val="00976E91"/>
    <w:rsid w:val="009A41CE"/>
    <w:rsid w:val="009A57D7"/>
    <w:rsid w:val="009B0067"/>
    <w:rsid w:val="009B2FCC"/>
    <w:rsid w:val="009C54D0"/>
    <w:rsid w:val="009D0CF2"/>
    <w:rsid w:val="009D4609"/>
    <w:rsid w:val="009E50F0"/>
    <w:rsid w:val="009F0717"/>
    <w:rsid w:val="00A02DED"/>
    <w:rsid w:val="00A20F0C"/>
    <w:rsid w:val="00A345CB"/>
    <w:rsid w:val="00A34A5B"/>
    <w:rsid w:val="00A377AD"/>
    <w:rsid w:val="00A54851"/>
    <w:rsid w:val="00A72161"/>
    <w:rsid w:val="00A91684"/>
    <w:rsid w:val="00A92C19"/>
    <w:rsid w:val="00A962C3"/>
    <w:rsid w:val="00AA1810"/>
    <w:rsid w:val="00AA3E3B"/>
    <w:rsid w:val="00AA4165"/>
    <w:rsid w:val="00AC1C34"/>
    <w:rsid w:val="00AC24F8"/>
    <w:rsid w:val="00AC6DA7"/>
    <w:rsid w:val="00AE45BA"/>
    <w:rsid w:val="00AE75FA"/>
    <w:rsid w:val="00AE77A7"/>
    <w:rsid w:val="00AF0074"/>
    <w:rsid w:val="00AF5138"/>
    <w:rsid w:val="00AF6A84"/>
    <w:rsid w:val="00B020B6"/>
    <w:rsid w:val="00B076A1"/>
    <w:rsid w:val="00B205C1"/>
    <w:rsid w:val="00B22661"/>
    <w:rsid w:val="00B33D8E"/>
    <w:rsid w:val="00B35112"/>
    <w:rsid w:val="00B35C7D"/>
    <w:rsid w:val="00B36E22"/>
    <w:rsid w:val="00B42ADD"/>
    <w:rsid w:val="00B47697"/>
    <w:rsid w:val="00B53FF6"/>
    <w:rsid w:val="00B75A7A"/>
    <w:rsid w:val="00B765D5"/>
    <w:rsid w:val="00B83CB2"/>
    <w:rsid w:val="00B86ADD"/>
    <w:rsid w:val="00B93447"/>
    <w:rsid w:val="00B94263"/>
    <w:rsid w:val="00BA12BE"/>
    <w:rsid w:val="00BB0001"/>
    <w:rsid w:val="00BB53B7"/>
    <w:rsid w:val="00BC6357"/>
    <w:rsid w:val="00BC6D4E"/>
    <w:rsid w:val="00BD2132"/>
    <w:rsid w:val="00BD6C28"/>
    <w:rsid w:val="00BD712F"/>
    <w:rsid w:val="00BE24FA"/>
    <w:rsid w:val="00BE3B30"/>
    <w:rsid w:val="00C127C5"/>
    <w:rsid w:val="00C170A9"/>
    <w:rsid w:val="00C17487"/>
    <w:rsid w:val="00C218DD"/>
    <w:rsid w:val="00C25B76"/>
    <w:rsid w:val="00C27988"/>
    <w:rsid w:val="00C43CC2"/>
    <w:rsid w:val="00C72D03"/>
    <w:rsid w:val="00CB4DFF"/>
    <w:rsid w:val="00CB5E78"/>
    <w:rsid w:val="00CB5EEB"/>
    <w:rsid w:val="00CB5F7C"/>
    <w:rsid w:val="00CD1C04"/>
    <w:rsid w:val="00CD1DF8"/>
    <w:rsid w:val="00CD411F"/>
    <w:rsid w:val="00CE4129"/>
    <w:rsid w:val="00CF062D"/>
    <w:rsid w:val="00CF35F4"/>
    <w:rsid w:val="00D064F5"/>
    <w:rsid w:val="00D238AB"/>
    <w:rsid w:val="00D2515C"/>
    <w:rsid w:val="00D477F1"/>
    <w:rsid w:val="00D61522"/>
    <w:rsid w:val="00D626D9"/>
    <w:rsid w:val="00D7318C"/>
    <w:rsid w:val="00D93AED"/>
    <w:rsid w:val="00DA7C43"/>
    <w:rsid w:val="00DC2B52"/>
    <w:rsid w:val="00DD1032"/>
    <w:rsid w:val="00DE17D7"/>
    <w:rsid w:val="00DF105B"/>
    <w:rsid w:val="00E03E89"/>
    <w:rsid w:val="00E1271B"/>
    <w:rsid w:val="00E31307"/>
    <w:rsid w:val="00E34D45"/>
    <w:rsid w:val="00E43576"/>
    <w:rsid w:val="00E47D81"/>
    <w:rsid w:val="00E509B4"/>
    <w:rsid w:val="00E516D3"/>
    <w:rsid w:val="00E52E98"/>
    <w:rsid w:val="00E66D8F"/>
    <w:rsid w:val="00E67EC3"/>
    <w:rsid w:val="00E80065"/>
    <w:rsid w:val="00E832F5"/>
    <w:rsid w:val="00E92200"/>
    <w:rsid w:val="00E93B10"/>
    <w:rsid w:val="00E9401B"/>
    <w:rsid w:val="00EB0C04"/>
    <w:rsid w:val="00EF7D45"/>
    <w:rsid w:val="00F07444"/>
    <w:rsid w:val="00F11DDB"/>
    <w:rsid w:val="00F13FFF"/>
    <w:rsid w:val="00F218D4"/>
    <w:rsid w:val="00F22160"/>
    <w:rsid w:val="00F23225"/>
    <w:rsid w:val="00F32402"/>
    <w:rsid w:val="00F83603"/>
    <w:rsid w:val="00F837C7"/>
    <w:rsid w:val="00F911F9"/>
    <w:rsid w:val="00FA0A74"/>
    <w:rsid w:val="00FA1C19"/>
    <w:rsid w:val="00FB4F74"/>
    <w:rsid w:val="00FD32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cs="Tahoma" w:hAnsi="Tahoma" w:ascii="Tahoma"/>
      <w:sz w:val="16"/>
      <w:szCs w:val="16"/>
    </w:rPr>
  </w:style>
  <w:style w:styleId="Odlomakpopisa" w:type="paragraph">
    <w:name w:val="List Paragraph"/>
    <w:basedOn w:val="Normal"/>
    <w:uiPriority w:val="34"/>
    <w:qFormat/>
    <w:rsid w:val="000114D3"/>
    <w:pPr>
      <w:spacing w:lineRule="auto" w:line="276" w:after="200"/>
      <w:ind w:left="720"/>
      <w:contextualSpacing/>
    </w:pPr>
    <w:rPr>
      <w:rFonts w:eastAsia="Calibri" w:hAnsi="Calibri" w:ascii="Calibri"/>
      <w:sz w:val="22"/>
      <w:szCs w:val="22"/>
      <w:lang w:eastAsia="en-US"/>
    </w:rPr>
  </w:style>
  <w:style w:styleId="Podnoje" w:type="paragraph">
    <w:name w:val="footer"/>
    <w:basedOn w:val="Normal"/>
    <w:link w:val="PodnojeChar"/>
    <w:rsid w:val="007C5B81"/>
    <w:pPr>
      <w:tabs>
        <w:tab w:pos="4536" w:val="center"/>
        <w:tab w:pos="9072" w:val="right"/>
      </w:tabs>
    </w:pPr>
  </w:style>
  <w:style w:customStyle="true" w:styleId="PodnojeChar" w:type="character">
    <w:name w:val="Podnožje Char"/>
    <w:link w:val="Podnoje"/>
    <w:rsid w:val="007C5B81"/>
    <w:rPr>
      <w:sz w:val="24"/>
      <w:szCs w:val="24"/>
    </w:rPr>
  </w:style>
  <w:style w:styleId="Reetkatablice" w:type="table">
    <w:name w:val="Table Grid"/>
    <w:basedOn w:val="Obinatablica"/>
    <w:uiPriority w:val="59"/>
    <w:rsid w:val="00BE3B3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InternetLink" w:type="character">
    <w:name w:val="Internet Link"/>
    <w:rsid w:val="00162E23"/>
    <w:rPr>
      <w:color w:val="000080"/>
      <w:u w:val="single"/>
    </w:rPr>
  </w:style>
  <w:style w:customStyle="true" w:styleId="TableContents" w:type="paragraph">
    <w:name w:val="Table Contents"/>
    <w:basedOn w:val="Normal"/>
    <w:qFormat/>
    <w:rsid w:val="00162E23"/>
    <w:pPr>
      <w:jc w:val="center"/>
    </w:pPr>
    <w:rPr>
      <w:rFonts w:cs="Lohit Devanagari" w:eastAsia="WenQuanYi Micro Hei" w:hAnsi="Liberation Serif" w:ascii="Liberation Serif"/>
      <w:color w:val="00000A"/>
      <w:lang w:bidi="hi-IN" w:eastAsia="zh-CN"/>
    </w:rPr>
  </w:style>
  <w:style w:styleId="Tekstrezerviranogmjesta" w:type="character">
    <w:name w:val="Placeholder Text"/>
    <w:basedOn w:val="Zadanifontodlomka"/>
    <w:uiPriority w:val="99"/>
    <w:semiHidden/>
    <w:rsid w:val="00C72D03"/>
    <w:rPr>
      <w:color w:val="808080"/>
      <w:bdr w:space="0" w:sz="0" w:color="auto" w:val="none"/>
      <w:shd w:fill="auto" w:color="auto" w:val="clear"/>
    </w:rPr>
  </w:style>
  <w:style w:customStyle="true" w:styleId="eSPISCCParagraphDefaultFont" w:type="character">
    <w:name w:val="eSPIS_CC_Paragraph Default Font"/>
    <w:basedOn w:val="Zadanifontodlomka"/>
    <w:rsid w:val="00C72D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2D03"/>
    <w:rPr>
      <w:bdr w:space="0" w:sz="0" w:color="auto" w:val="none"/>
      <w:shd w:fill="FFFFCC" w:color="auto" w:val="clear"/>
      <w:lang w:val="hr-HR"/>
    </w:rPr>
  </w:style>
  <w:style w:customStyle="true" w:styleId="PozadinaSvijetloCrvena" w:type="character">
    <w:name w:val="Pozadina_SvijetloCrvena"/>
    <w:basedOn w:val="eSPISCCParagraphDefaultFont"/>
    <w:rsid w:val="00C72D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2D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ascii="Tahoma" w:cs="Tahoma" w:hAnsi="Tahoma"/>
      <w:sz w:val="16"/>
      <w:szCs w:val="16"/>
    </w:rPr>
  </w:style>
  <w:style w:styleId="Odlomakpopisa" w:type="paragraph">
    <w:name w:val="List Paragraph"/>
    <w:basedOn w:val="Normal"/>
    <w:uiPriority w:val="34"/>
    <w:qFormat/>
    <w:rsid w:val="000114D3"/>
    <w:pPr>
      <w:spacing w:after="200" w:line="276" w:lineRule="auto"/>
      <w:ind w:left="720"/>
      <w:contextualSpacing/>
    </w:pPr>
    <w:rPr>
      <w:rFonts w:ascii="Calibri" w:eastAsia="Calibri" w:hAnsi="Calibri"/>
      <w:sz w:val="22"/>
      <w:szCs w:val="22"/>
      <w:lang w:eastAsia="en-US"/>
    </w:rPr>
  </w:style>
  <w:style w:styleId="Podnoje" w:type="paragraph">
    <w:name w:val="footer"/>
    <w:basedOn w:val="Normal"/>
    <w:link w:val="PodnojeChar"/>
    <w:rsid w:val="007C5B81"/>
    <w:pPr>
      <w:tabs>
        <w:tab w:pos="4536" w:val="center"/>
        <w:tab w:pos="9072" w:val="right"/>
      </w:tabs>
    </w:pPr>
  </w:style>
  <w:style w:customStyle="1" w:styleId="PodnojeChar" w:type="character">
    <w:name w:val="Podnožje Char"/>
    <w:link w:val="Podnoje"/>
    <w:rsid w:val="007C5B81"/>
    <w:rPr>
      <w:sz w:val="24"/>
      <w:szCs w:val="24"/>
    </w:rPr>
  </w:style>
  <w:style w:styleId="Reetkatablice" w:type="table">
    <w:name w:val="Table Grid"/>
    <w:basedOn w:val="Obinatablica"/>
    <w:uiPriority w:val="59"/>
    <w:rsid w:val="00BE3B3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InternetLink" w:type="character">
    <w:name w:val="Internet Link"/>
    <w:rsid w:val="00162E23"/>
    <w:rPr>
      <w:color w:val="000080"/>
      <w:u w:val="single"/>
    </w:rPr>
  </w:style>
  <w:style w:customStyle="1" w:styleId="TableContents" w:type="paragraph">
    <w:name w:val="Table Contents"/>
    <w:basedOn w:val="Normal"/>
    <w:qFormat/>
    <w:rsid w:val="00162E23"/>
    <w:pPr>
      <w:jc w:val="center"/>
    </w:pPr>
    <w:rPr>
      <w:rFonts w:ascii="Liberation Serif" w:cs="Lohit Devanagari" w:eastAsia="WenQuanYi Micro Hei" w:hAnsi="Liberation Serif"/>
      <w:color w:val="00000A"/>
      <w:lang w:bidi="hi-IN" w:eastAsia="zh-CN"/>
    </w:rPr>
  </w:style>
  <w:style w:styleId="Tekstrezerviranogmjesta" w:type="character">
    <w:name w:val="Placeholder Text"/>
    <w:basedOn w:val="Zadanifontodlomka"/>
    <w:uiPriority w:val="99"/>
    <w:semiHidden/>
    <w:rsid w:val="00C72D03"/>
    <w:rPr>
      <w:color w:val="808080"/>
      <w:bdr w:color="auto" w:space="0" w:sz="0" w:val="none"/>
      <w:shd w:color="auto" w:fill="auto" w:val="clear"/>
    </w:rPr>
  </w:style>
  <w:style w:customStyle="1" w:styleId="eSPISCCParagraphDefaultFont" w:type="character">
    <w:name w:val="eSPIS_CC_Paragraph Default Font"/>
    <w:basedOn w:val="Zadanifontodlomka"/>
    <w:rsid w:val="00C72D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2D03"/>
    <w:rPr>
      <w:bdr w:color="auto" w:space="0" w:sz="0" w:val="none"/>
      <w:shd w:color="auto" w:fill="FFFFCC" w:val="clear"/>
      <w:lang w:val="hr-HR"/>
    </w:rPr>
  </w:style>
  <w:style w:customStyle="1" w:styleId="PozadinaSvijetloCrvena" w:type="character">
    <w:name w:val="Pozadina_SvijetloCrvena"/>
    <w:basedOn w:val="eSPISCCParagraphDefaultFont"/>
    <w:rsid w:val="00C72D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2D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36909">
      <w:bodyDiv w:val="true"/>
      <w:marLeft w:val="0"/>
      <w:marRight w:val="0"/>
      <w:marTop w:val="0"/>
      <w:marBottom w:val="0"/>
      <w:divBdr>
        <w:top w:space="0" w:sz="0" w:color="auto" w:val="none"/>
        <w:left w:space="0" w:sz="0" w:color="auto" w:val="none"/>
        <w:bottom w:space="0" w:sz="0" w:color="auto" w:val="none"/>
        <w:right w:space="0" w:sz="0" w:color="auto" w:val="none"/>
      </w:divBdr>
    </w:div>
    <w:div w:id="372847163">
      <w:bodyDiv w:val="true"/>
      <w:marLeft w:val="0"/>
      <w:marRight w:val="0"/>
      <w:marTop w:val="0"/>
      <w:marBottom w:val="0"/>
      <w:divBdr>
        <w:top w:space="0" w:sz="0" w:color="auto" w:val="none"/>
        <w:left w:space="0" w:sz="0" w:color="auto" w:val="none"/>
        <w:bottom w:space="0" w:sz="0" w:color="auto" w:val="none"/>
        <w:right w:space="0" w:sz="0" w:color="auto" w:val="none"/>
      </w:divBdr>
    </w:div>
    <w:div w:id="1209339756">
      <w:bodyDiv w:val="true"/>
      <w:marLeft w:val="0"/>
      <w:marRight w:val="0"/>
      <w:marTop w:val="0"/>
      <w:marBottom w:val="0"/>
      <w:divBdr>
        <w:top w:space="0" w:sz="0" w:color="auto" w:val="none"/>
        <w:left w:space="0" w:sz="0" w:color="auto" w:val="none"/>
        <w:bottom w:space="0" w:sz="0" w:color="auto" w:val="none"/>
        <w:right w:space="0" w:sz="0" w:color="auto" w:val="none"/>
      </w:divBdr>
    </w:div>
    <w:div w:id="15228132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taka.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26. rujna 2017.</izvorni_sadrzaj>
    <derivirana_varijabla naziv="DomainObject.StvarniPocetakDatum_1">26. rujna 2017.</derivirana_varijabla>
  </DomainObject.StvarniPocetakDatum>
  <DomainObject.StvarniZavrsetakDatum>
    <izvorni_sadrzaj>26. rujna 2017.</izvorni_sadrzaj>
    <derivirana_varijabla naziv="DomainObject.StvarniZavrsetakDatum_1">26. rujna 2017.</derivirana_varijabla>
  </DomainObject.StvarniZavrsetakDatum>
  <DomainObject.PlaniraniZavrsetakDatum>
    <izvorni_sadrzaj>26. rujna 2017.</izvorni_sadrzaj>
    <derivirana_varijabla naziv="DomainObject.PlaniraniZavrsetakDatum_1">26. rujna 2017.</derivirana_varijabla>
  </DomainObject.PlaniraniZavrsetakDatum>
  <DomainObject.PlaniraniPocetakDatum>
    <izvorni_sadrzaj>26. rujna 2017.</izvorni_sadrzaj>
    <derivirana_varijabla naziv="DomainObject.PlaniraniPocetakDatum_1">26. rujna 2017.</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12:15</izvorni_sadrzaj>
    <derivirana_varijabla naziv="DomainObject.StvarniZavrsetakVrijeme_1">12:15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rujna 2017.</izvorni_sadrzaj>
    <derivirana_varijabla naziv="DomainObject.Zapisnik.DatumKreiranja_1">26. rujna 2017.</derivirana_varijabla>
  </DomainObject.Zapisnik.DatumKreiranja>
  <DomainObject.Zapisnik.ImovinskaKorist>
    <izvorni_sadrzaj/>
    <derivirana_varijabla naziv="DomainObject.Zapisnik.ImovinskaKorist_1"/>
  </DomainObject.Zapisnik.ImovinskaKorist>
  <DomainObject.Zapisnik.Oznaka>
    <izvorni_sadrzaj>St-1194/2015-30</izvorni_sadrzaj>
    <derivirana_varijabla naziv="DomainObject.Zapisnik.Oznaka_1">St-1194/2015-30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1194</izvorni_sadrzaj>
    <derivirana_varijabla naziv="DomainObject.Predmet.Broj_1">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St-1194/2015</izvorni_sadrzaj>
    <derivirana_varijabla naziv="DomainObject.Predmet.OznakaBroj_1">St-1194/2015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TAKA društvo s ograničenom odgovornošću za usluge u stečaju</izvorni_sadrzaj>
    <derivirana_varijabla naziv="DomainObject.Predmet.ProtustrankaFormated_1">  TAKA društvo s ograničenom odgovornošću za usluge u stečaju</derivirana_varijabla>
  </DomainObject.Predmet.ProtustrankaFormated>
  <DomainObject.Predmet.ProtustrankaFormatedOIB>
    <izvorni_sadrzaj>  TAKA društvo s ograničenom odgovornošću za usluge u stečaju, OIB 82081668178</izvorni_sadrzaj>
    <derivirana_varijabla naziv="DomainObject.Predmet.ProtustrankaFormatedOIB_1">  TAKA društvo s ograničenom odgovornošću za usluge u stečaju, OIB 82081668178</derivirana_varijabla>
  </DomainObject.Predmet.ProtustrankaFormatedOIB>
  <DomainObject.Predmet.ProtustrankaFormatedWithAdress>
    <izvorni_sadrzaj> TAKA društvo s ograničenom odgovornošću za usluge u stečaju, Gospodarska 16, 42000 Varaždin</izvorni_sadrzaj>
    <derivirana_varijabla naziv="DomainObject.Predmet.ProtustrankaFormatedWithAdress_1"> TAKA društvo s ograničenom odgovornošću za usluge u stečaju, Gospodarska 16, 42000 Varaždin</derivirana_varijabla>
  </DomainObject.Predmet.ProtustrankaFormatedWithAdress>
  <DomainObject.Predmet.ProtustrankaFormatedWithAdressOIB>
    <izvorni_sadrzaj> TAKA društvo s ograničenom odgovornošću za usluge u stečaju, OIB 82081668178, Gospodarska 16, 42000 Varaždin</izvorni_sadrzaj>
    <derivirana_varijabla naziv="DomainObject.Predmet.ProtustrankaFormatedWithAdressOIB_1"> TAKA društvo s ograničenom odgovornošću za usluge u stečaju, OIB 82081668178, Gospodarska 16, 42000 Varaždin</derivirana_varijabla>
  </DomainObject.Predmet.ProtustrankaFormatedWithAdressOIB>
  <DomainObject.Predmet.ProtustrankaWithAdress>
    <izvorni_sadrzaj>TAKA društvo s ograničenom odgovornošću za usluge u stečaju Gospodarska 16, 42000 Varaždin</izvorni_sadrzaj>
    <derivirana_varijabla naziv="DomainObject.Predmet.ProtustrankaWithAdress_1">TAKA društvo s ograničenom odgovornošću za usluge u stečaju Gospodarska 16, 42000 Varaždin</derivirana_varijabla>
  </DomainObject.Predmet.ProtustrankaWithAdress>
  <DomainObject.Predmet.ProtustrankaWithAdressOIB>
    <izvorni_sadrzaj>TAKA društvo s ograničenom odgovornošću za usluge u stečaju, OIB 82081668178, Gospodarska 16, 42000 Varaždin</izvorni_sadrzaj>
    <derivirana_varijabla naziv="DomainObject.Predmet.ProtustrankaWithAdressOIB_1">TAKA društvo s ograničenom odgovornošću za usluge u stečaju, OIB 82081668178, Gospodarska 16, 42000 Varaždin</derivirana_varijabla>
  </DomainObject.Predmet.ProtustrankaWithAdressOIB>
  <DomainObject.Predmet.ProtustrankaNazivFormated>
    <izvorni_sadrzaj>TAKA društvo s ograničenom odgovornošću za usluge u stečaju</izvorni_sadrzaj>
    <derivirana_varijabla naziv="DomainObject.Predmet.ProtustrankaNazivFormated_1">TAKA društvo s ograničenom odgovornošću za usluge u stečaju</derivirana_varijabla>
  </DomainObject.Predmet.ProtustrankaNazivFormated>
  <DomainObject.Predmet.ProtustrankaNazivFormatedOIB>
    <izvorni_sadrzaj>TAKA društvo s ograničenom odgovornošću za usluge u stečaju, OIB 82081668178</izvorni_sadrzaj>
    <derivirana_varijabla naziv="DomainObject.Predmet.ProtustrankaNazivFormatedOIB_1">TAKA društvo s ograničenom odgovornošću za usluge u stečaju, OIB 82081668178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161285.23</izvorni_sadrzaj>
    <derivirana_varijabla naziv="DomainObject.Predmet.TrenutnaVrijednost_1">161285.23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TAKA društvo s ograničenom odgovornošću za usluge u stečaju</item>
    </izvorni_sadrzaj>
    <derivirana_varijabla naziv="DomainObject.Predmet.ProtuStrankaListFormated_1">
      <item>TAKA društvo s ograničenom odgovornošću za usluge u stečaju</item>
    </derivirana_varijabla>
  </DomainObject.Predmet.ProtuStrankaListFormated>
  <DomainObject.Predmet.ProtuStrankaListFormatedOIB>
    <izvorni_sadrzaj>
      <item>TAKA društvo s ograničenom odgovornošću za usluge u stečaju, OIB 82081668178</item>
    </izvorni_sadrzaj>
    <derivirana_varijabla naziv="DomainObject.Predmet.ProtuStrankaListFormatedOIB_1">
      <item>TAKA društvo s ograničenom odgovornošću za usluge u stečaju, OIB 82081668178</item>
    </derivirana_varijabla>
  </DomainObject.Predmet.ProtuStrankaListFormatedOIB>
  <DomainObject.Predmet.ProtuStrankaListFormatedWithAdress>
    <izvorni_sadrzaj>
      <item>TAKA društvo s ograničenom odgovornošću za usluge u stečaju, Gospodarska 16, 42000 Varaždin</item>
    </izvorni_sadrzaj>
    <derivirana_varijabla naziv="DomainObject.Predmet.ProtuStrankaListFormatedWithAdress_1">
      <item>TAKA društvo s ograničenom odgovornošću za usluge u stečaju, Gospodarska 16, 42000 Varaždin</item>
    </derivirana_varijabla>
  </DomainObject.Predmet.ProtuStrankaListFormatedWithAdress>
  <DomainObject.Predmet.ProtuStrankaListFormatedWithAdressOIB>
    <izvorni_sadrzaj>
      <item>TAKA društvo s ograničenom odgovornošću za usluge u stečaju, OIB 82081668178, Gospodarska 16, 42000 Varaždin</item>
    </izvorni_sadrzaj>
    <derivirana_varijabla naziv="DomainObject.Predmet.ProtuStrankaListFormatedWithAdressOIB_1">
      <item>TAKA društvo s ograničenom odgovornošću za usluge u stečaju, OIB 82081668178, Gospodarska 16, 42000 Varaždin</item>
    </derivirana_varijabla>
  </DomainObject.Predmet.ProtuStrankaListFormatedWithAdressOIB>
  <DomainObject.Predmet.ProtuStrankaListNazivFormated>
    <izvorni_sadrzaj>
      <item>TAKA društvo s ograničenom odgovornošću za usluge u stečaju</item>
    </izvorni_sadrzaj>
    <derivirana_varijabla naziv="DomainObject.Predmet.ProtuStrankaListNazivFormated_1">
      <item>TAKA društvo s ograničenom odgovornošću za usluge u stečaju</item>
    </derivirana_varijabla>
  </DomainObject.Predmet.ProtuStrankaListNazivFormated>
  <DomainObject.Predmet.ProtuStrankaListNazivFormatedOIB>
    <izvorni_sadrzaj>
      <item>TAKA društvo s ograničenom odgovornošću za usluge u stečaju, OIB 82081668178</item>
    </izvorni_sadrzaj>
    <derivirana_varijabla naziv="DomainObject.Predmet.ProtuStrankaListNazivFormatedOIB_1">
      <item>TAKA društvo s ograničenom odgovornošću za usluge u stečaju, OIB 82081668178</item>
    </derivirana_varijabla>
  </DomainObject.Predmet.ProtuStrankaListNazivFormatedOIB>
  <DomainObject.Predmet.OstaliListFormated>
    <izvorni_sadrzaj>
      <item>Sudski registar, Trgovački sud u Varaždinu</item>
    </izvorni_sadrzaj>
    <derivirana_varijabla naziv="DomainObject.Predmet.OstaliListFormated_1">
      <item>Sudski registar, Trgovački sud u Varaždinu</item>
    </derivirana_varijabla>
  </DomainObject.Predmet.OstaliListFormated>
  <DomainObject.Predmet.OstaliListFormatedOIB>
    <izvorni_sadrzaj>
      <item>Sudski registar, Trgovački sud u Varaždinu</item>
    </izvorni_sadrzaj>
    <derivirana_varijabla naziv="DomainObject.Predmet.OstaliListFormatedOIB_1">
      <item>Sudski registar, Trgovački sud u Varaždinu</item>
    </derivirana_varijabla>
  </DomainObject.Predmet.OstaliListFormatedOIB>
  <DomainObject.Predmet.OstaliListFormatedWithAdress>
    <izvorni_sadrzaj>
      <item>Sudski registar, Trgovački sud u Varaždinu</item>
    </izvorni_sadrzaj>
    <derivirana_varijabla naziv="DomainObject.Predmet.OstaliListFormatedWithAdress_1">
      <item>Sudski registar, Trgovački sud u Varaždinu</item>
    </derivirana_varijabla>
  </DomainObject.Predmet.OstaliListFormatedWithAdress>
  <DomainObject.Predmet.OstaliListFormatedWithAdressOIB>
    <izvorni_sadrzaj>
      <item>Sudski registar, Trgovački sud u Varaždinu</item>
    </izvorni_sadrzaj>
    <derivirana_varijabla naziv="DomainObject.Predmet.OstaliListFormatedWithAdressOIB_1">
      <item>Sudski registar, Trgovački sud u Varaždinu</item>
    </derivirana_varijabla>
  </DomainObject.Predmet.OstaliListFormatedWithAdressOIB>
  <DomainObject.Predmet.OstaliListNazivFormated>
    <izvorni_sadrzaj>
      <item>Sudski registar, Trgovački sud u Varaždinu</item>
    </izvorni_sadrzaj>
    <derivirana_varijabla naziv="DomainObject.Predmet.OstaliListNazivFormated_1">
      <item>Sudski registar, Trgovački sud u Varaždinu</item>
    </derivirana_varijabla>
  </DomainObject.Predmet.OstaliListNazivFormated>
  <DomainObject.Predmet.OstaliListNazivFormatedOIB>
    <izvorni_sadrzaj>
      <item>Sudski registar, Trgovački sud u Varaždinu</item>
    </izvorni_sadrzaj>
    <derivirana_varijabla naziv="DomainObject.Predmet.OstaliListNazivFormatedOIB_1">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St-1194/2015-30</izvorni_sadrzaj>
    <derivirana_varijabla naziv="DomainObject.PoslovniBrojDokumenta_1">St-1194/2015-30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TAKA društvo s ograničenom odgovornošću za usluge u stečaju</izvorni_sadrzaj>
    <derivirana_varijabla naziv="DomainObject.Predmet.ProtustrankaIDrugi_1">TAKA društvo s ograničenom odgovornošću za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TAKA društvo s ograničenom odgovornošću za usluge u stečaju, OIB 82081668178, Gospodarska 16, 42000 Varaždin</izvorni_sadrzaj>
    <derivirana_varijabla naziv="DomainObject.Predmet.ProtustrankaIDrugiAdressOIB_1">TAKA društvo s ograničenom odgovornošću za usluge u stečaju, OIB 82081668178, Gospodarska 16,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TAKA društvo s ograničenom odgovornošću za usluge u stečaju</item>
      <item>Sudski registar, Trgovački sud u Varaždinu</item>
    </izvorni_sadrzaj>
    <derivirana_varijabla naziv="DomainObject.Predmet.SudioniciListNaziv_1">
      <item>Financijska agencija</item>
      <item>TAKA društvo s ograničenom odgovornošću za usluge u stečaju</item>
      <item>Sudski registar, Trgovački sud u Varaždinu</item>
    </derivirana_varijabla>
  </DomainObject.Predmet.SudioniciListNaziv>
  <DomainObject.Predmet.SudioniciListAdressOIB>
    <izvorni_sadrzaj>
      <item>Financijska agencija, OIB 85821130368, A. Cesarca 2,42000 Varaždin</item>
      <item>TAKA društvo s ograničenom odgovornošću za usluge u stečaju, OIB 82081668178, Gospodarska 16,42000 Varaždin</item>
      <item>Sudski registar, Trgovački sud u Varaždinu</item>
    </izvorni_sadrzaj>
    <derivirana_varijabla naziv="DomainObject.Predmet.SudioniciListAdressOIB_1">
      <item>Financijska agencija, OIB 85821130368, A. Cesarca 2,42000 Varaždin</item>
      <item>TAKA društvo s ograničenom odgovornošću za usluge u stečaju, OIB 82081668178, Gospodarska 16,42000 Varaždin</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82081668178</item>
      <item>, OIB null</item>
    </izvorni_sadrzaj>
    <derivirana_varijabla naziv="DomainObject.Predmet.SudioniciListNazivOIB_1">
      <item>, OIB 85821130368</item>
      <item>, OIB 82081668178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42369A-C273-4934-ADF8-8366DC18DA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5104</properties:Words>
  <properties:Characters>29900</properties:Characters>
  <properties:Lines>722</properties:Lines>
  <properties:Paragraphs>332</properties:Paragraphs>
  <properties:TotalTime>317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2016-05-03T08:29:00Z</dcterms:created>
  <dc:creator>jlekic</dc:creator>
  <cp:lastModifiedBy>Lea Rogina</cp:lastModifiedBy>
  <cp:lastPrinted>2017-09-26T10:16:00Z</cp:lastPrinted>
  <dcterms:modified xmlns:xsi="http://www.w3.org/2001/XMLSchema-instance" xsi:type="dcterms:W3CDTF">2017-09-26T11:48:00Z</dcterms:modified>
  <cp:revision>85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St-1194/2015-30 / Zapisnik - Skupština vjerovnika</vt:lpwstr>
  </prop:property>
  <prop:property name="CC_coloring" pid="4" fmtid="{D5CDD505-2E9C-101B-9397-08002B2CF9AE}">
    <vt:bool>false</vt:bool>
  </prop:property>
  <prop:property name="BrojStranica" pid="5" fmtid="{D5CDD505-2E9C-101B-9397-08002B2CF9AE}">
    <vt:i4>12</vt:i4>
  </prop:property>
</prop:Properties>
</file>