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30dc" w14:paraId="14030d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0C0C0C" w:rsidR="000C0C0C" w:rsidRPr="000C0C0C">
      <w:pPr>
        <w:pStyle w:val="SudNaziv"/>
        <w:rPr>
          <w:rFonts w:cs="Times New Roman" w:eastAsia="Times New Roman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0C0C" w:rsidRPr="000C0C0C">
        <w:rPr>
          <w:rFonts w:cs="Times New Roman" w:eastAsia="Times New Roman"/>
        </w:rPr>
        <w:t>TRGOVAČKI SUD U SPLITU</w:t>
      </w:r>
    </w:p>
    <w:p w:rsidRDefault="000C0C0C" w:rsidP="000C0C0C" w:rsidR="000C0C0C" w:rsidRPr="000C0C0C">
      <w:pPr>
        <w:spacing w:after="0"/>
        <w:rPr>
          <w:rFonts w:cs="Times New Roman" w:eastAsia="Times New Roman"/>
        </w:rPr>
      </w:pPr>
      <w:r w:rsidRPr="000C0C0C">
        <w:rPr>
          <w:rFonts w:cs="Times New Roman" w:eastAsia="Times New Roman"/>
        </w:rPr>
        <w:t xml:space="preserve">                      ZA</w:t>
      </w:r>
    </w:p>
    <w:p w:rsidRDefault="000C0C0C" w:rsidP="000C0C0C" w:rsidR="000C0C0C" w:rsidRPr="000C0C0C">
      <w:pPr>
        <w:spacing w:after="0"/>
        <w:rPr>
          <w:rFonts w:cs="Times New Roman" w:eastAsia="Times New Roman"/>
          <w:u w:val="single"/>
        </w:rPr>
      </w:pPr>
      <w:r w:rsidRPr="000C0C0C">
        <w:rPr>
          <w:rFonts w:cs="Times New Roman" w:eastAsia="Times New Roman"/>
          <w:u w:val="single"/>
        </w:rPr>
        <w:t>VISOKI  TRGOVAČKI SUD RH</w:t>
      </w:r>
    </w:p>
    <w:p w:rsidRDefault="000C0C0C" w:rsidP="000C0C0C" w:rsidR="000C0C0C" w:rsidRPr="000C0C0C">
      <w:pPr>
        <w:spacing w:after="0"/>
        <w:rPr>
          <w:rFonts w:cs="Times New Roman" w:eastAsia="Times New Roman"/>
          <w:u w:val="single"/>
        </w:rPr>
      </w:pPr>
      <w:r w:rsidRPr="000C0C0C">
        <w:rPr>
          <w:rFonts w:cs="Times New Roman" w:eastAsia="Times New Roman"/>
        </w:rPr>
        <w:t xml:space="preserve">               </w:t>
      </w:r>
      <w:r w:rsidRPr="000C0C0C">
        <w:rPr>
          <w:rFonts w:cs="Times New Roman" w:eastAsia="Times New Roman"/>
          <w:u w:val="single"/>
        </w:rPr>
        <w:t>Z A G R E B</w:t>
      </w:r>
    </w:p>
    <w:p w:rsidRDefault="000C0C0C" w:rsidP="000C0C0C" w:rsidR="000C0C0C" w:rsidRPr="000C0C0C">
      <w:pPr>
        <w:spacing w:after="0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  <w:b/>
          <w:i/>
        </w:rPr>
      </w:pPr>
      <w:r w:rsidRPr="000C0C0C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  <w:u w:val="single"/>
        </w:rPr>
      </w:pPr>
      <w:r w:rsidRPr="000C0C0C">
        <w:rPr>
          <w:rFonts w:cs="Times New Roman" w:eastAsia="Times New Roman"/>
          <w:b/>
          <w:i/>
          <w:u w:val="single"/>
        </w:rPr>
        <w:t>Naziv, datum i broj pobijane  odluke</w:t>
      </w:r>
      <w:r w:rsidRPr="000C0C0C">
        <w:rPr>
          <w:rFonts w:cs="Times New Roman" w:eastAsia="Times New Roman"/>
          <w:b/>
          <w:u w:val="single"/>
        </w:rPr>
        <w:t xml:space="preserve">: </w:t>
      </w: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  <w:r w:rsidRPr="000C0C0C">
        <w:rPr>
          <w:rFonts w:cs="Times New Roman" w:eastAsia="Times New Roman"/>
        </w:rPr>
        <w:t>Rješenje o odbijanju namirenja temeljem razlučnog prava, od 08. veljače 2017, broj: 14. St-87/2015. (list: od 45. do 50, spisa). Žalba je izjavljena protiv točke E/ istog Rješenja.</w:t>
      </w:r>
    </w:p>
    <w:p w:rsidRDefault="000C0C0C" w:rsidP="000C0C0C" w:rsidR="000C0C0C" w:rsidRPr="000C0C0C">
      <w:pPr>
        <w:spacing w:after="0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0C0C0C">
        <w:rPr>
          <w:rFonts w:cs="Times New Roman" w:eastAsia="Times New Roman"/>
          <w:b/>
          <w:i/>
          <w:u w:val="single"/>
        </w:rPr>
        <w:t>Tko i kada je izjavio žalbu:</w:t>
      </w: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  <w:r w:rsidRPr="000C0C0C">
        <w:rPr>
          <w:rFonts w:cs="Times New Roman" w:eastAsia="Times New Roman"/>
        </w:rPr>
        <w:t>Vjerovnik: SCHRACK TECHNIK, d.o.o., Zagreb, Zavrtnica 1, OIB: 36365310424, po punomoćnicima Mislavu Šarcu i Davoru Eteroviću, odvjetnicima u Odvjetničkom društvu ETEROVIĆ i ŠARAC, Zagreb, poštom preporučeno predajom na poštu Zagreb 17. veljače 2017. (list: od 53. do 56, spisa);</w:t>
      </w: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0C0C0C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  <w:r w:rsidRPr="000C0C0C">
        <w:rPr>
          <w:rFonts w:cs="Times New Roman" w:eastAsia="Times New Roman"/>
        </w:rPr>
        <w:t>Rješenje je dostavljeno osobno punomoćniku podnositelja Žalbe 13. (ili 10.) veljače 2017. (list: 52, spisa) a i preko e-Oglasne ploče Suda 24. veljače 2017. (istekom osmog dana od dana objave na e-Oglasnoj ploči Suda a Rješenje je objavljeno na e-Oglasnoj ploči Suda 08. veljače 2017, list: 51, spisa).</w:t>
      </w: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  <w:r w:rsidRPr="000C0C0C">
        <w:rPr>
          <w:rFonts w:cs="Times New Roman" w:eastAsia="Times New Roman"/>
          <w:b/>
          <w:i/>
        </w:rPr>
        <w:t>Odgovor na žalbu:</w:t>
      </w:r>
      <w:r w:rsidRPr="000C0C0C">
        <w:rPr>
          <w:rFonts w:cs="Times New Roman" w:eastAsia="Times New Roman"/>
        </w:rPr>
        <w:t xml:space="preserve">  Nije dostavljen.</w:t>
      </w: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  <w:r w:rsidRPr="000C0C0C">
        <w:rPr>
          <w:rFonts w:cs="Times New Roman" w:eastAsia="Times New Roman"/>
          <w:b/>
          <w:i/>
        </w:rPr>
        <w:t>Prilažu se</w:t>
      </w:r>
      <w:r w:rsidRPr="000C0C0C">
        <w:rPr>
          <w:rFonts w:cs="Times New Roman" w:eastAsia="Times New Roman"/>
          <w:i/>
        </w:rPr>
        <w:t>:</w:t>
      </w:r>
      <w:r w:rsidRPr="000C0C0C">
        <w:rPr>
          <w:rFonts w:cs="Times New Roman" w:eastAsia="Times New Roman"/>
        </w:rPr>
        <w:t xml:space="preserve"> prijepis odluke, Žalba, dostavnice te </w:t>
      </w:r>
      <w:r w:rsidRPr="000C0C0C">
        <w:rPr>
          <w:rFonts w:cs="Times New Roman" w:eastAsia="Times New Roman"/>
          <w:u w:val="single"/>
        </w:rPr>
        <w:t>dio spisa u presliku</w:t>
      </w:r>
      <w:r w:rsidRPr="000C0C0C">
        <w:rPr>
          <w:rFonts w:cs="Times New Roman" w:eastAsia="Times New Roman"/>
        </w:rPr>
        <w:t>, u dijelu na koji se Žalba odnosi, list: od 1. do 56, spisa, sukladno članku 11, stavku 6, Stečajnog zakona (</w:t>
      </w:r>
      <w:r w:rsidRPr="000C0C0C">
        <w:rPr>
          <w:rFonts w:cs="Times New Roman" w:eastAsia="Times New Roman"/>
          <w:i/>
        </w:rPr>
        <w:t>Narodne novine</w:t>
      </w:r>
      <w:r w:rsidRPr="000C0C0C">
        <w:rPr>
          <w:rFonts w:cs="Times New Roman" w:eastAsia="Times New Roman"/>
        </w:rPr>
        <w:t xml:space="preserve">, br.-i: od 44/96. do 133/12).  </w:t>
      </w: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  <w:u w:val="single"/>
        </w:rPr>
      </w:pP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  <w:r w:rsidRPr="000C0C0C">
        <w:rPr>
          <w:rFonts w:cs="Times New Roman" w:eastAsia="Times New Roman"/>
        </w:rPr>
        <w:t>U postupku koji je prethodio donošenju pobijanih Rješenja, prema stajalištu ovog Suda prvog stupnja, nisu povrijeđene odredbe postupka.</w:t>
      </w: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  <w:r w:rsidRPr="000C0C0C">
        <w:rPr>
          <w:rFonts w:cs="Times New Roman" w:eastAsia="Times New Roman"/>
        </w:rPr>
        <w:t xml:space="preserve">Po shvaćanju ovog Suda, </w:t>
      </w:r>
      <w:r w:rsidRPr="000C0C0C">
        <w:rPr>
          <w:rFonts w:cs="Times New Roman" w:eastAsia="Times New Roman"/>
          <w:u w:val="single"/>
        </w:rPr>
        <w:t>sporno je samo pravno pitanje</w:t>
      </w:r>
      <w:r w:rsidRPr="000C0C0C">
        <w:rPr>
          <w:rFonts w:cs="Times New Roman" w:eastAsia="Times New Roman"/>
        </w:rPr>
        <w:t>: stječe li se razlučno pravo na nekretnini (pravo na namirenje) upisom u zemljišne knjige: a) zabilježbe prijedloga za ovrhu ili b) zabilježbe rješenja o ovrsi nakon što isto rješenje bude donijeto. Ovaj prvostupanjski Sud je stao na stajalište navedeno pod b), kako je to u pobijanom Rješenju i obrazloženo.</w:t>
      </w: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  <w:r w:rsidRPr="000C0C0C">
        <w:rPr>
          <w:rFonts w:cs="Times New Roman" w:eastAsia="Times New Roman"/>
        </w:rPr>
        <w:t xml:space="preserve">   Split, 07. ožujka 2017.                                                           Stečajni sudac: Jozo Ćaleta,</w:t>
      </w:r>
    </w:p>
    <w:p w:rsidRDefault="000C0C0C" w:rsidP="000C0C0C" w:rsidR="000C0C0C" w:rsidRPr="000C0C0C">
      <w:pPr>
        <w:spacing w:after="0"/>
        <w:rPr>
          <w:rFonts w:cs="Times New Roman" w:eastAsia="Times New Roman"/>
        </w:rPr>
      </w:pPr>
      <w:r w:rsidRPr="000C0C0C">
        <w:rPr>
          <w:rFonts w:cs="Times New Roman" w:eastAsia="Times New Roman"/>
        </w:rPr>
        <w:t xml:space="preserve">                                                                </w:t>
      </w:r>
    </w:p>
    <w:p w:rsidRDefault="000C0C0C" w:rsidP="000C0C0C" w:rsidR="000C0C0C" w:rsidRPr="000C0C0C">
      <w:pPr>
        <w:spacing w:after="0"/>
        <w:jc w:val="both"/>
        <w:rPr>
          <w:rFonts w:cs="Times New Roman" w:eastAsia="Times New Roman"/>
        </w:rPr>
      </w:pPr>
      <w:r w:rsidRPr="000C0C0C">
        <w:rPr>
          <w:rFonts w:cs="Times New Roman" w:eastAsia="Times New Roman"/>
          <w:u w:val="single"/>
        </w:rPr>
        <w:t>Prilog:</w:t>
      </w:r>
      <w:r w:rsidRPr="000C0C0C">
        <w:rPr>
          <w:rFonts w:cs="Times New Roman" w:eastAsia="Times New Roman"/>
        </w:rPr>
        <w:t xml:space="preserve"> kao u tekstu.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C0C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24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St-87/2015-138</izvorni_sadrzaj>
    <derivirana_varijabla naziv="DomainObject.Oznaka_1">St-87/2015-138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St-87/2015-138</izvorni_sadrzaj>
    <derivirana_varijabla naziv="DomainObject.PoslovniBrojDokumenta_1">St-87/2015-138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EB9F3-C4B3-4739-A15E-EE7913317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288</properties:Words>
  <properties:Characters>1548</properties:Characters>
  <properties:Lines>49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St-87/2015-138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