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1cb54" w14:paraId="791cb54"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D5101" w:rsidP="00AD5101" w:rsidR="00AD5101" w:rsidRPr="00AD5101">
      <w:pPr>
        <w:spacing w:lineRule="auto" w:line="276" w:after="200"/>
        <w:rPr>
          <w:rFonts w:cs="Times New Roman" w:eastAsia="Calibri" w:hAnsi="Calibri" w:ascii="Calibri"/>
          <w:sz w:val="22"/>
          <w:szCs w:val="22"/>
        </w:rPr>
      </w:pPr>
    </w:p>
    <w:p w:rsidRDefault="00AD5101" w:rsidP="00AD5101" w:rsidR="00AD5101" w:rsidRPr="00AD5101">
      <w:pPr>
        <w:spacing w:lineRule="auto" w:line="276" w:after="200"/>
        <w:rPr>
          <w:rFonts w:cs="Times New Roman" w:eastAsia="Calibri"/>
        </w:rPr>
      </w:pPr>
      <w:r w:rsidRPr="00AD5101">
        <w:rPr>
          <w:rFonts w:cs="Times New Roman" w:eastAsia="Calibri" w:hAnsi="Calibri" w:ascii="Calibri"/>
          <w:sz w:val="22"/>
          <w:szCs w:val="22"/>
        </w:rPr>
        <w:tab/>
      </w:r>
      <w:r w:rsidRPr="00AD5101">
        <w:rPr>
          <w:rFonts w:cs="Times New Roman" w:eastAsia="Calibri" w:hAnsi="Calibri" w:ascii="Calibri"/>
          <w:sz w:val="22"/>
          <w:szCs w:val="22"/>
        </w:rPr>
        <w:tab/>
      </w:r>
      <w:r w:rsidRPr="00AD5101">
        <w:rPr>
          <w:rFonts w:cs="Times New Roman" w:eastAsia="Calibri" w:hAnsi="Calibri" w:ascii="Calibri"/>
          <w:sz w:val="22"/>
          <w:szCs w:val="22"/>
        </w:rPr>
        <w:tab/>
      </w:r>
      <w:r w:rsidRPr="00AD5101">
        <w:rPr>
          <w:rFonts w:cs="Times New Roman" w:eastAsia="Calibri" w:hAnsi="Calibri" w:ascii="Calibri"/>
          <w:sz w:val="22"/>
          <w:szCs w:val="22"/>
        </w:rPr>
        <w:tab/>
      </w:r>
      <w:r w:rsidRPr="00AD5101">
        <w:rPr>
          <w:rFonts w:cs="Times New Roman" w:eastAsia="Calibri" w:hAnsi="Calibri" w:ascii="Calibri"/>
          <w:sz w:val="22"/>
          <w:szCs w:val="22"/>
        </w:rPr>
        <w:tab/>
      </w:r>
      <w:r w:rsidRPr="00AD5101">
        <w:rPr>
          <w:rFonts w:cs="Times New Roman" w:eastAsia="Calibri" w:hAnsi="Calibri" w:ascii="Calibri"/>
          <w:sz w:val="22"/>
          <w:szCs w:val="22"/>
        </w:rPr>
        <w:tab/>
      </w:r>
      <w:r w:rsidRPr="00AD5101">
        <w:rPr>
          <w:rFonts w:cs="Times New Roman" w:eastAsia="Calibri" w:hAnsi="Calibri" w:ascii="Calibri"/>
          <w:sz w:val="22"/>
          <w:szCs w:val="22"/>
        </w:rPr>
        <w:tab/>
      </w:r>
      <w:r w:rsidRPr="00AD5101">
        <w:rPr>
          <w:rFonts w:cs="Times New Roman" w:eastAsia="Calibri" w:hAnsi="Calibri" w:ascii="Calibri"/>
          <w:sz w:val="22"/>
          <w:szCs w:val="22"/>
        </w:rPr>
        <w:tab/>
      </w:r>
      <w:r w:rsidRPr="00AD5101">
        <w:rPr>
          <w:rFonts w:cs="Times New Roman" w:eastAsia="Calibri" w:hAnsi="Calibri" w:ascii="Calibri"/>
          <w:sz w:val="22"/>
          <w:szCs w:val="22"/>
        </w:rPr>
        <w:tab/>
      </w:r>
      <w:r w:rsidRPr="00AD5101">
        <w:rPr>
          <w:rFonts w:cs="Times New Roman" w:eastAsia="Calibri" w:hAnsi="Calibri" w:ascii="Calibri"/>
          <w:sz w:val="22"/>
          <w:szCs w:val="22"/>
        </w:rPr>
        <w:tab/>
      </w:r>
      <w:r w:rsidRPr="00AD5101">
        <w:rPr>
          <w:rFonts w:cs="Times New Roman" w:eastAsia="Calibri"/>
        </w:rPr>
        <w:t>9 St-579/13</w:t>
      </w:r>
    </w:p>
    <w:p w:rsidRDefault="00AD5101" w:rsidP="00AD5101" w:rsidR="00AD5101" w:rsidRPr="00AD5101">
      <w:pPr>
        <w:spacing w:after="0"/>
        <w:jc w:val="both"/>
        <w:rPr>
          <w:rFonts w:cs="Times New Roman" w:eastAsia="Calibri"/>
        </w:rPr>
      </w:pPr>
      <w:r w:rsidRPr="00AD5101">
        <w:rPr>
          <w:rFonts w:cs="Times New Roman" w:eastAsia="Calibri"/>
        </w:rPr>
        <w:t>REPUBLIKA HRVATSKA</w:t>
      </w:r>
    </w:p>
    <w:p w:rsidRDefault="00AD5101" w:rsidP="00AD5101" w:rsidR="00AD5101" w:rsidRPr="00AD5101">
      <w:pPr>
        <w:spacing w:after="0"/>
        <w:jc w:val="both"/>
        <w:rPr>
          <w:rFonts w:cs="Times New Roman" w:eastAsia="Calibri"/>
        </w:rPr>
      </w:pPr>
      <w:r w:rsidRPr="00AD5101">
        <w:rPr>
          <w:rFonts w:cs="Times New Roman" w:eastAsia="Calibri"/>
        </w:rPr>
        <w:t>TRGOVAČKI SUD U ZADRU</w:t>
      </w:r>
    </w:p>
    <w:p w:rsidRDefault="00AD5101" w:rsidP="00AD5101" w:rsidR="00AD5101" w:rsidRPr="00AD5101">
      <w:pPr>
        <w:spacing w:after="0"/>
        <w:jc w:val="both"/>
        <w:rPr>
          <w:rFonts w:cs="Times New Roman" w:eastAsia="Calibri"/>
        </w:rPr>
      </w:pPr>
      <w:r w:rsidRPr="00AD5101">
        <w:rPr>
          <w:rFonts w:cs="Times New Roman" w:eastAsia="Calibri"/>
        </w:rPr>
        <w:t>STALNA SLUŽBA U ŠIBENIKU</w:t>
      </w:r>
    </w:p>
    <w:p w:rsidRDefault="00AD5101" w:rsidP="00AD5101" w:rsidR="00AD5101" w:rsidRPr="00AD5101">
      <w:pPr>
        <w:spacing w:after="0"/>
        <w:jc w:val="both"/>
        <w:rPr>
          <w:rFonts w:cs="Times New Roman" w:eastAsia="Calibri"/>
        </w:rPr>
      </w:pPr>
    </w:p>
    <w:p w:rsidRDefault="00AD5101" w:rsidP="00AD5101" w:rsidR="00AD5101" w:rsidRPr="00AD5101">
      <w:pPr>
        <w:spacing w:after="0"/>
        <w:jc w:val="both"/>
        <w:rPr>
          <w:rFonts w:cs="Times New Roman" w:eastAsia="Calibri"/>
        </w:rPr>
      </w:pPr>
    </w:p>
    <w:p w:rsidRDefault="00AD5101" w:rsidP="00AD5101" w:rsidR="00AD5101" w:rsidRPr="00AD5101">
      <w:pPr>
        <w:spacing w:after="0"/>
        <w:jc w:val="center"/>
        <w:rPr>
          <w:rFonts w:cs="Times New Roman" w:eastAsia="Calibri"/>
        </w:rPr>
      </w:pPr>
      <w:r w:rsidRPr="00AD5101">
        <w:rPr>
          <w:rFonts w:cs="Times New Roman" w:eastAsia="Calibri"/>
        </w:rPr>
        <w:t>R J E Š E N J E</w:t>
      </w:r>
    </w:p>
    <w:p w:rsidRDefault="00AD5101" w:rsidP="00AD5101" w:rsidR="00AD5101" w:rsidRPr="00AD5101">
      <w:pPr>
        <w:spacing w:after="0"/>
        <w:jc w:val="both"/>
        <w:rPr>
          <w:rFonts w:cs="Times New Roman" w:eastAsia="Calibri"/>
        </w:rPr>
      </w:pPr>
    </w:p>
    <w:p w:rsidRDefault="00AD5101" w:rsidP="00AD5101" w:rsidR="00AD5101" w:rsidRPr="00AD5101">
      <w:pPr>
        <w:spacing w:after="0"/>
        <w:ind w:firstLine="708"/>
        <w:jc w:val="both"/>
        <w:rPr>
          <w:rFonts w:cs="Times New Roman" w:eastAsia="Calibri"/>
        </w:rPr>
      </w:pPr>
      <w:r w:rsidRPr="00AD5101">
        <w:rPr>
          <w:rFonts w:cs="Times New Roman" w:eastAsia="Calibri"/>
        </w:rPr>
        <w:t>Trgovački sud u Zadru, Stalna služba u Šibeniku, po stečajnom sucu Tereziji Goreta, u stečajnom postupku nad dužnikom DINARA d.d., Knin, Kralja Dmitra Zvonimira 11, OIB 59713524252, temeljem odredbi čl. 187. st. 2. SZ-a ("Narodne novine" broj 44/96, 29/99, 129/00, 123/03, 82/06, 116/10, 25/12 i 132/12) – daljnjem tekstu SZ, dana 18. studenog 2016g. nadopunio  slijedeću</w:t>
      </w:r>
    </w:p>
    <w:p w:rsidRDefault="00AD5101" w:rsidP="00AD5101" w:rsidR="00AD5101" w:rsidRPr="00AD5101">
      <w:pPr>
        <w:spacing w:after="0"/>
        <w:jc w:val="both"/>
        <w:rPr>
          <w:rFonts w:cs="Times New Roman" w:eastAsia="Calibri"/>
        </w:rPr>
      </w:pPr>
    </w:p>
    <w:p w:rsidRDefault="00AD5101" w:rsidP="00AD5101" w:rsidR="00AD5101" w:rsidRPr="00AD5101">
      <w:pPr>
        <w:spacing w:after="0"/>
        <w:jc w:val="both"/>
        <w:rPr>
          <w:rFonts w:cs="Times New Roman" w:eastAsia="Calibri"/>
        </w:rPr>
      </w:pPr>
    </w:p>
    <w:p w:rsidRDefault="00AD5101" w:rsidP="00AD5101" w:rsidR="00AD5101" w:rsidRPr="00AD5101">
      <w:pPr>
        <w:spacing w:after="0"/>
        <w:jc w:val="center"/>
        <w:rPr>
          <w:rFonts w:cs="Times New Roman" w:eastAsia="Calibri"/>
        </w:rPr>
      </w:pPr>
      <w:r w:rsidRPr="00AD5101">
        <w:rPr>
          <w:rFonts w:cs="Times New Roman" w:eastAsia="Calibri"/>
        </w:rPr>
        <w:t>TABLICU ISPITANIH i UTVRĐENIH TRAŽBINA</w:t>
      </w:r>
    </w:p>
    <w:p w:rsidRDefault="00AD5101" w:rsidP="00AD5101" w:rsidR="00AD5101" w:rsidRPr="00AD5101">
      <w:pPr>
        <w:spacing w:after="0"/>
        <w:jc w:val="both"/>
        <w:rPr>
          <w:rFonts w:cs="Times New Roman" w:eastAsia="Calibri"/>
        </w:rPr>
      </w:pPr>
    </w:p>
    <w:p w:rsidRDefault="00AD5101" w:rsidP="00AD5101" w:rsidR="00AD5101" w:rsidRPr="00AD5101">
      <w:pPr>
        <w:spacing w:after="0"/>
        <w:jc w:val="both"/>
        <w:rPr>
          <w:rFonts w:cs="Times New Roman" w:eastAsia="Calibri"/>
        </w:rPr>
      </w:pPr>
      <w:r w:rsidRPr="00AD5101">
        <w:rPr>
          <w:rFonts w:cs="Times New Roman" w:eastAsia="Calibri"/>
        </w:rPr>
        <w:t xml:space="preserve">Utvrđuje se nadopuna tražbina Republike Hrvatske, u korist  Državnog proračuna u iznosu od 535.290,00 kuna pored već priznate i utvrđene tražbine rješenjem ovog suda pod </w:t>
      </w:r>
      <w:proofErr w:type="spellStart"/>
      <w:r w:rsidRPr="00AD5101">
        <w:rPr>
          <w:rFonts w:cs="Times New Roman" w:eastAsia="Calibri"/>
        </w:rPr>
        <w:t>posl</w:t>
      </w:r>
      <w:proofErr w:type="spellEnd"/>
      <w:r w:rsidRPr="00AD5101">
        <w:rPr>
          <w:rFonts w:cs="Times New Roman" w:eastAsia="Calibri"/>
        </w:rPr>
        <w:t>. brojem St-579/13 od 13. Studenog 2014. Godine.</w:t>
      </w:r>
    </w:p>
    <w:p w:rsidRDefault="00AD5101" w:rsidP="00AD5101" w:rsidR="00AD5101" w:rsidRPr="00AD5101">
      <w:pPr>
        <w:spacing w:after="0"/>
        <w:jc w:val="both"/>
        <w:rPr>
          <w:rFonts w:cs="Times New Roman" w:eastAsia="Calibri"/>
        </w:rPr>
      </w:pPr>
    </w:p>
    <w:p w:rsidRDefault="00AD5101" w:rsidP="00AD5101" w:rsidR="00AD5101" w:rsidRPr="00AD5101">
      <w:pPr>
        <w:spacing w:after="0"/>
        <w:jc w:val="center"/>
        <w:rPr>
          <w:rFonts w:cs="Times New Roman" w:eastAsia="Calibri"/>
        </w:rPr>
      </w:pPr>
      <w:r w:rsidRPr="00AD5101">
        <w:rPr>
          <w:rFonts w:cs="Times New Roman" w:eastAsia="Calibri"/>
        </w:rPr>
        <w:t>Obrazloženje</w:t>
      </w:r>
    </w:p>
    <w:p w:rsidRDefault="00AD5101" w:rsidP="00AD5101" w:rsidR="00AD5101" w:rsidRPr="00AD5101">
      <w:pPr>
        <w:spacing w:after="0"/>
        <w:jc w:val="both"/>
        <w:rPr>
          <w:rFonts w:cs="Times New Roman" w:eastAsia="Calibri"/>
        </w:rPr>
      </w:pPr>
    </w:p>
    <w:p w:rsidRDefault="00AD5101" w:rsidP="00AD5101" w:rsidR="00AD5101" w:rsidRPr="00AD5101">
      <w:pPr>
        <w:spacing w:after="0"/>
        <w:ind w:firstLine="708"/>
        <w:jc w:val="both"/>
        <w:rPr>
          <w:rFonts w:cs="Times New Roman" w:eastAsia="Calibri"/>
        </w:rPr>
      </w:pPr>
      <w:r w:rsidRPr="00AD5101">
        <w:rPr>
          <w:rFonts w:cs="Times New Roman" w:eastAsia="Calibri"/>
        </w:rPr>
        <w:t xml:space="preserve">U stečajnom postupku koji se vodi kod ovog suda pod gornjim poslovnim brojem nad imovinom dužnika DINARA d.d., Knin, Kralja Dmitra Zvonimira 11, OIB 59713524252, na ispitnom ročištu održanom dana 13. studenog 2014. godine ispitane su tražbine vjerovnika to je istoga dana doneseno rješenje utvrđenih tražbina. </w:t>
      </w:r>
    </w:p>
    <w:p w:rsidRDefault="00AD5101" w:rsidP="00AD5101" w:rsidR="00AD5101" w:rsidRPr="00AD5101">
      <w:pPr>
        <w:spacing w:after="0"/>
        <w:ind w:firstLine="708"/>
        <w:jc w:val="both"/>
        <w:rPr>
          <w:rFonts w:cs="Times New Roman" w:eastAsia="Calibri"/>
        </w:rPr>
      </w:pPr>
    </w:p>
    <w:p w:rsidRDefault="00AD5101" w:rsidP="00AD5101" w:rsidR="00AD5101" w:rsidRPr="00AD5101">
      <w:pPr>
        <w:spacing w:after="0"/>
        <w:ind w:firstLine="708"/>
        <w:jc w:val="both"/>
        <w:rPr>
          <w:rFonts w:cs="Times New Roman" w:eastAsia="Calibri"/>
        </w:rPr>
      </w:pPr>
      <w:r w:rsidRPr="00AD5101">
        <w:rPr>
          <w:rFonts w:cs="Times New Roman" w:eastAsia="Calibri"/>
        </w:rPr>
        <w:t>Dana 224. Studenog 2015. Godine vjerovnik Republika Hrvatska, Državni proračun je navela da pored već utvrđenih iznosa iz rješenja od 13. Studenog 2014. Ima potraživanje i u iznosu od 535.290,00 kuna ali u korist RH, Državnog proračuna.</w:t>
      </w:r>
    </w:p>
    <w:p w:rsidRDefault="00AD5101" w:rsidP="00AD5101" w:rsidR="00AD5101" w:rsidRPr="00AD5101">
      <w:pPr>
        <w:spacing w:after="0"/>
        <w:ind w:firstLine="708"/>
        <w:jc w:val="both"/>
        <w:rPr>
          <w:rFonts w:cs="Times New Roman" w:eastAsia="Calibri"/>
        </w:rPr>
      </w:pPr>
    </w:p>
    <w:p w:rsidRDefault="00AD5101" w:rsidP="00AD5101" w:rsidR="00AD5101" w:rsidRPr="00AD5101">
      <w:pPr>
        <w:spacing w:after="0"/>
        <w:ind w:firstLine="708"/>
        <w:jc w:val="both"/>
        <w:rPr>
          <w:rFonts w:cs="Times New Roman" w:eastAsia="Calibri"/>
        </w:rPr>
      </w:pPr>
      <w:r w:rsidRPr="00AD5101">
        <w:rPr>
          <w:rFonts w:cs="Times New Roman" w:eastAsia="Calibri"/>
        </w:rPr>
        <w:t>Stečajni upravitelj nije osporio tražbinu iz ovog rješenja,  to se iste u smislu čl. 177. st. 1. Stečajnog zakona (Narodne novine br. 44/96, 29/99, 129/00, 123/03, 82/06, 116/10 i 25/12), smatra utvrđenim.</w:t>
      </w:r>
    </w:p>
    <w:p w:rsidRDefault="00AD5101" w:rsidP="00AD5101" w:rsidR="00AD5101" w:rsidRPr="00AD5101">
      <w:pPr>
        <w:spacing w:after="0"/>
        <w:jc w:val="both"/>
        <w:rPr>
          <w:rFonts w:cs="Times New Roman" w:eastAsia="Calibri"/>
        </w:rPr>
      </w:pPr>
    </w:p>
    <w:p w:rsidRDefault="00AD5101" w:rsidP="00AD5101" w:rsidR="00AD5101" w:rsidRPr="00AD5101">
      <w:pPr>
        <w:spacing w:after="0"/>
        <w:jc w:val="both"/>
        <w:rPr>
          <w:rFonts w:cs="Times New Roman" w:eastAsia="Calibri"/>
        </w:rPr>
      </w:pPr>
    </w:p>
    <w:p w:rsidRDefault="00AD5101" w:rsidP="00AD5101" w:rsidR="00AD5101" w:rsidRPr="00AD5101">
      <w:pPr>
        <w:spacing w:after="0"/>
        <w:jc w:val="center"/>
        <w:rPr>
          <w:rFonts w:cs="Times New Roman" w:eastAsia="Calibri"/>
        </w:rPr>
      </w:pPr>
      <w:r w:rsidRPr="00AD5101">
        <w:rPr>
          <w:rFonts w:cs="Times New Roman" w:eastAsia="Calibri"/>
        </w:rPr>
        <w:t>U Šibeniku, 18. studenog 2016.g.</w:t>
      </w:r>
    </w:p>
    <w:p w:rsidRDefault="00AD5101" w:rsidP="00AD5101" w:rsidR="00AD5101" w:rsidRPr="00AD5101">
      <w:pPr>
        <w:spacing w:after="0"/>
        <w:jc w:val="both"/>
        <w:rPr>
          <w:rFonts w:cs="Times New Roman" w:eastAsia="Calibri"/>
        </w:rPr>
      </w:pPr>
    </w:p>
    <w:p w:rsidRDefault="00AD5101" w:rsidP="00AD5101" w:rsidR="00AD5101" w:rsidRPr="00AD5101">
      <w:pPr>
        <w:spacing w:after="0"/>
        <w:jc w:val="both"/>
        <w:rPr>
          <w:rFonts w:cs="Times New Roman" w:eastAsia="Calibri"/>
        </w:rPr>
      </w:pPr>
    </w:p>
    <w:p w:rsidRDefault="00AD5101" w:rsidP="00AD5101" w:rsidR="00AD5101" w:rsidRPr="00AD5101">
      <w:pPr>
        <w:spacing w:after="0"/>
        <w:ind w:firstLine="708" w:left="5664"/>
        <w:jc w:val="both"/>
        <w:rPr>
          <w:rFonts w:cs="Times New Roman" w:eastAsia="Calibri"/>
        </w:rPr>
      </w:pPr>
      <w:r w:rsidRPr="00AD5101">
        <w:rPr>
          <w:rFonts w:cs="Times New Roman" w:eastAsia="Calibri"/>
        </w:rPr>
        <w:t>STEČAJNI SUDAC</w:t>
      </w:r>
    </w:p>
    <w:p w:rsidRDefault="00AD5101" w:rsidP="00AD5101" w:rsidR="00AD5101" w:rsidRPr="00AD5101">
      <w:pPr>
        <w:spacing w:after="0"/>
        <w:jc w:val="both"/>
        <w:rPr>
          <w:rFonts w:cs="Times New Roman" w:eastAsia="Calibri"/>
        </w:rPr>
      </w:pPr>
      <w:r w:rsidRPr="00AD5101">
        <w:rPr>
          <w:rFonts w:cs="Times New Roman" w:eastAsia="Calibri"/>
        </w:rPr>
        <w:tab/>
      </w:r>
    </w:p>
    <w:p w:rsidRDefault="00AD5101" w:rsidP="00AD5101" w:rsidR="00AD5101" w:rsidRPr="00AD5101">
      <w:pPr>
        <w:spacing w:after="0"/>
        <w:ind w:firstLine="708" w:left="5664"/>
        <w:jc w:val="both"/>
        <w:rPr>
          <w:rFonts w:cs="Times New Roman" w:eastAsia="Calibri"/>
        </w:rPr>
      </w:pPr>
      <w:r w:rsidRPr="00AD5101">
        <w:rPr>
          <w:rFonts w:cs="Times New Roman" w:eastAsia="Calibri"/>
        </w:rPr>
        <w:lastRenderedPageBreak/>
        <w:t>Terezija Goreta</w:t>
      </w:r>
    </w:p>
    <w:p w:rsidRDefault="00AD5101" w:rsidP="00AD5101" w:rsidR="00AD5101" w:rsidRPr="00AD5101">
      <w:pPr>
        <w:spacing w:after="0"/>
        <w:jc w:val="both"/>
        <w:rPr>
          <w:rFonts w:cs="Times New Roman" w:eastAsia="Calibri"/>
        </w:rPr>
      </w:pPr>
    </w:p>
    <w:p w:rsidRDefault="00AD5101" w:rsidP="00AD5101" w:rsidR="00AD5101" w:rsidRPr="00AD5101">
      <w:pPr>
        <w:spacing w:after="0"/>
        <w:jc w:val="both"/>
        <w:rPr>
          <w:rFonts w:cs="Times New Roman" w:eastAsia="Calibri"/>
        </w:rPr>
      </w:pPr>
    </w:p>
    <w:p w:rsidRDefault="00AD5101" w:rsidP="00AD5101" w:rsidR="00AD5101" w:rsidRPr="00AD5101">
      <w:pPr>
        <w:spacing w:after="0"/>
        <w:jc w:val="both"/>
        <w:rPr>
          <w:rFonts w:cs="Times New Roman" w:eastAsia="Calibri"/>
        </w:rPr>
      </w:pPr>
    </w:p>
    <w:p w:rsidRDefault="00AD5101" w:rsidP="00AD5101" w:rsidR="00AD5101" w:rsidRPr="00AD5101">
      <w:pPr>
        <w:numPr>
          <w:ilvl w:val="0"/>
          <w:numId w:val="47"/>
        </w:numPr>
        <w:spacing w:lineRule="auto" w:line="276" w:after="0"/>
        <w:jc w:val="both"/>
        <w:rPr>
          <w:rFonts w:cs="Times New Roman" w:eastAsia="Calibri"/>
        </w:rPr>
      </w:pPr>
      <w:r w:rsidRPr="00AD5101">
        <w:rPr>
          <w:rFonts w:cs="Times New Roman" w:eastAsia="Calibri"/>
        </w:rPr>
        <w:t>2 -                                          9 St-579/13</w:t>
      </w:r>
    </w:p>
    <w:p w:rsidRDefault="00AD5101" w:rsidP="00AD5101" w:rsidR="00AD5101" w:rsidRPr="00AD5101">
      <w:pPr>
        <w:spacing w:after="0"/>
        <w:jc w:val="both"/>
        <w:rPr>
          <w:rFonts w:cs="Times New Roman" w:eastAsia="Calibri"/>
        </w:rPr>
      </w:pPr>
    </w:p>
    <w:p w:rsidRDefault="00AD5101" w:rsidP="00AD5101" w:rsidR="00AD5101" w:rsidRPr="00AD5101">
      <w:pPr>
        <w:spacing w:after="0"/>
        <w:jc w:val="both"/>
        <w:rPr>
          <w:rFonts w:cs="Times New Roman" w:eastAsia="Calibri"/>
        </w:rPr>
      </w:pPr>
    </w:p>
    <w:p w:rsidRDefault="00AD5101" w:rsidP="00AD5101" w:rsidR="00AD5101" w:rsidRPr="00AD5101">
      <w:pPr>
        <w:spacing w:after="0"/>
        <w:jc w:val="both"/>
        <w:rPr>
          <w:rFonts w:cs="Times New Roman" w:eastAsia="Calibri"/>
        </w:rPr>
      </w:pPr>
      <w:r w:rsidRPr="00AD5101">
        <w:rPr>
          <w:rFonts w:cs="Times New Roman" w:eastAsia="Calibri"/>
        </w:rPr>
        <w:t>POUKA O PRAVNOM LIJEKU:</w:t>
      </w:r>
    </w:p>
    <w:p w:rsidRDefault="00AD5101" w:rsidP="00AD5101" w:rsidR="00AD5101" w:rsidRPr="00AD5101">
      <w:pPr>
        <w:spacing w:after="0"/>
        <w:jc w:val="both"/>
        <w:rPr>
          <w:rFonts w:cs="Times New Roman" w:eastAsia="Calibri"/>
        </w:rPr>
      </w:pPr>
    </w:p>
    <w:p w:rsidRDefault="00AD5101" w:rsidP="00AD5101" w:rsidR="00AD5101" w:rsidRPr="00AD5101">
      <w:pPr>
        <w:spacing w:after="0"/>
        <w:jc w:val="both"/>
        <w:rPr>
          <w:rFonts w:cs="Times New Roman" w:eastAsia="Calibri"/>
        </w:rPr>
      </w:pPr>
      <w:r w:rsidRPr="00AD5101">
        <w:rPr>
          <w:rFonts w:cs="Times New Roman" w:eastAsia="Calibri"/>
        </w:rPr>
        <w:t xml:space="preserve">Protiv ovog rješenja pravo na žalbu ima stečajni upravitelj i svaki vjerovnik u dijelu koji se tiče njegove prijavljene tražbine i tražbine koju je osporio. Rok za žalbu iznosi 8 dana računajući od dana dostave pisanog </w:t>
      </w:r>
      <w:proofErr w:type="spellStart"/>
      <w:r w:rsidRPr="00AD5101">
        <w:rPr>
          <w:rFonts w:cs="Times New Roman" w:eastAsia="Calibri"/>
        </w:rPr>
        <w:t>otpravka</w:t>
      </w:r>
      <w:proofErr w:type="spellEnd"/>
      <w:r w:rsidRPr="00AD5101">
        <w:rPr>
          <w:rFonts w:cs="Times New Roman" w:eastAsia="Calibri"/>
        </w:rPr>
        <w:t xml:space="preserve"> ovog rješenja, a ista se podnosi ovom sudu u dva primjerka.</w:t>
      </w:r>
    </w:p>
    <w:p w:rsidRDefault="00AD5101" w:rsidP="00AD5101" w:rsidR="00AD5101" w:rsidRPr="00AD5101">
      <w:pPr>
        <w:spacing w:after="0"/>
        <w:jc w:val="both"/>
        <w:rPr>
          <w:rFonts w:cs="Times New Roman" w:eastAsia="Calibri"/>
        </w:rPr>
      </w:pPr>
    </w:p>
    <w:p w:rsidRDefault="00AD5101" w:rsidP="00AD5101" w:rsidR="00AD5101" w:rsidRPr="00AD5101">
      <w:pPr>
        <w:spacing w:after="0"/>
        <w:jc w:val="both"/>
        <w:rPr>
          <w:rFonts w:cs="Times New Roman" w:eastAsia="Calibri"/>
        </w:rPr>
      </w:pPr>
      <w:r w:rsidRPr="00AD5101">
        <w:rPr>
          <w:rFonts w:cs="Times New Roman" w:eastAsia="Calibri"/>
        </w:rPr>
        <w:t>Dostaviti:</w:t>
      </w:r>
    </w:p>
    <w:p w:rsidRDefault="00AD5101" w:rsidP="00AD5101" w:rsidR="00AD5101" w:rsidRPr="00AD5101">
      <w:pPr>
        <w:spacing w:after="0"/>
        <w:jc w:val="both"/>
        <w:rPr>
          <w:rFonts w:cs="Times New Roman" w:eastAsia="Calibri"/>
        </w:rPr>
      </w:pPr>
      <w:r w:rsidRPr="00AD5101">
        <w:rPr>
          <w:rFonts w:cs="Times New Roman" w:eastAsia="Calibri"/>
        </w:rPr>
        <w:t>-stečajnom upravitelju,</w:t>
      </w:r>
    </w:p>
    <w:p w:rsidRDefault="00AD5101" w:rsidP="00AD5101" w:rsidR="00AD5101" w:rsidRPr="00AD5101">
      <w:pPr>
        <w:spacing w:after="0"/>
        <w:jc w:val="both"/>
        <w:rPr>
          <w:rFonts w:cs="Times New Roman" w:eastAsia="Calibri"/>
        </w:rPr>
      </w:pPr>
      <w:r w:rsidRPr="00AD5101">
        <w:rPr>
          <w:rFonts w:cs="Times New Roman" w:eastAsia="Calibri"/>
        </w:rPr>
        <w:t>-ŽDO Šibenik</w:t>
      </w:r>
    </w:p>
    <w:p w:rsidRDefault="00AD5101" w:rsidP="00AD5101" w:rsidR="00AD5101" w:rsidRPr="00AD5101">
      <w:pPr>
        <w:spacing w:lineRule="auto" w:line="276" w:after="200"/>
        <w:rPr>
          <w:rFonts w:cs="Times New Roman" w:eastAsia="Calibri" w:hAnsi="Calibri" w:ascii="Calibri"/>
          <w:sz w:val="22"/>
          <w:szCs w:val="22"/>
        </w:rPr>
      </w:pPr>
      <w:r w:rsidRPr="00AD5101">
        <w:rPr>
          <w:rFonts w:cs="Times New Roman" w:eastAsia="Calibri" w:hAnsi="Calibri" w:ascii="Calibri"/>
          <w:sz w:val="22"/>
          <w:szCs w:val="22"/>
        </w:rPr>
        <w:t>-oglasna ploča,</w:t>
      </w:r>
    </w:p>
    <w:p w:rsidRDefault="00AD5101" w:rsidP="00AD5101" w:rsidR="00AD5101" w:rsidRPr="00AD5101">
      <w:pPr>
        <w:spacing w:lineRule="auto" w:line="276" w:after="200"/>
        <w:rPr>
          <w:rFonts w:cs="Times New Roman" w:eastAsia="Calibri" w:hAnsi="Calibri" w:ascii="Calibri"/>
          <w:sz w:val="22"/>
          <w:szCs w:val="22"/>
        </w:rPr>
      </w:pPr>
    </w:p>
    <w:p w:rsidRDefault="00AD5101" w:rsidP="00AD5101" w:rsidR="00AD5101" w:rsidRPr="00AD5101">
      <w:pPr>
        <w:spacing w:lineRule="auto" w:line="276" w:after="200"/>
        <w:rPr>
          <w:rFonts w:cs="Times New Roman" w:eastAsia="Calibri" w:hAnsi="Calibri" w:ascii="Calibri"/>
          <w:sz w:val="22"/>
          <w:szCs w:val="22"/>
        </w:rPr>
      </w:pPr>
    </w:p>
    <w:p w:rsidRDefault="00AD5101" w:rsidP="00AD5101" w:rsidR="00AD5101" w:rsidRPr="00AD5101">
      <w:pPr>
        <w:spacing w:lineRule="auto" w:line="276" w:after="200"/>
        <w:rPr>
          <w:rFonts w:cs="Times New Roman" w:eastAsia="Calibri" w:hAnsi="Calibri" w:ascii="Calibri"/>
          <w:sz w:val="22"/>
          <w:szCs w:val="22"/>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442375"/>
    <w:multiLevelType w:val="hybridMultilevel"/>
    <w:tmpl w:val="FFB446F6"/>
    <w:lvl w:tplc="A3AA3DD8" w:ilvl="0">
      <w:start w:val="9"/>
      <w:numFmt w:val="bullet"/>
      <w:lvlText w:val="-"/>
      <w:lvlJc w:val="left"/>
      <w:pPr>
        <w:ind w:hanging="360" w:left="4320"/>
      </w:pPr>
      <w:rPr>
        <w:rFonts w:cs="Times New Roman" w:eastAsia="Calibri" w:hAnsi="Times New Roman" w:ascii="Times New Roman" w:hint="default"/>
      </w:rPr>
    </w:lvl>
    <w:lvl w:tplc="041A0003" w:ilvl="1">
      <w:start w:val="1"/>
      <w:numFmt w:val="bullet"/>
      <w:lvlText w:val="o"/>
      <w:lvlJc w:val="left"/>
      <w:pPr>
        <w:ind w:hanging="360" w:left="5040"/>
      </w:pPr>
      <w:rPr>
        <w:rFonts w:cs="Courier New" w:hAnsi="Courier New" w:ascii="Courier New" w:hint="default"/>
      </w:rPr>
    </w:lvl>
    <w:lvl w:tplc="041A0005" w:ilvl="2">
      <w:start w:val="1"/>
      <w:numFmt w:val="bullet"/>
      <w:lvlText w:val=""/>
      <w:lvlJc w:val="left"/>
      <w:pPr>
        <w:ind w:hanging="360" w:left="5760"/>
      </w:pPr>
      <w:rPr>
        <w:rFonts w:hAnsi="Wingdings" w:ascii="Wingdings" w:hint="default"/>
      </w:rPr>
    </w:lvl>
    <w:lvl w:tplc="041A0001" w:ilvl="3">
      <w:start w:val="1"/>
      <w:numFmt w:val="bullet"/>
      <w:lvlText w:val=""/>
      <w:lvlJc w:val="left"/>
      <w:pPr>
        <w:ind w:hanging="360" w:left="6480"/>
      </w:pPr>
      <w:rPr>
        <w:rFonts w:hAnsi="Symbol" w:ascii="Symbol" w:hint="default"/>
      </w:rPr>
    </w:lvl>
    <w:lvl w:tplc="041A0003" w:ilvl="4">
      <w:start w:val="1"/>
      <w:numFmt w:val="bullet"/>
      <w:lvlText w:val="o"/>
      <w:lvlJc w:val="left"/>
      <w:pPr>
        <w:ind w:hanging="360" w:left="7200"/>
      </w:pPr>
      <w:rPr>
        <w:rFonts w:cs="Courier New" w:hAnsi="Courier New" w:ascii="Courier New" w:hint="default"/>
      </w:rPr>
    </w:lvl>
    <w:lvl w:tplc="041A0005" w:ilvl="5">
      <w:start w:val="1"/>
      <w:numFmt w:val="bullet"/>
      <w:lvlText w:val=""/>
      <w:lvlJc w:val="left"/>
      <w:pPr>
        <w:ind w:hanging="360" w:left="7920"/>
      </w:pPr>
      <w:rPr>
        <w:rFonts w:hAnsi="Wingdings" w:ascii="Wingdings" w:hint="default"/>
      </w:rPr>
    </w:lvl>
    <w:lvl w:tplc="041A0001" w:ilvl="6">
      <w:start w:val="1"/>
      <w:numFmt w:val="bullet"/>
      <w:lvlText w:val=""/>
      <w:lvlJc w:val="left"/>
      <w:pPr>
        <w:ind w:hanging="360" w:left="8640"/>
      </w:pPr>
      <w:rPr>
        <w:rFonts w:hAnsi="Symbol" w:ascii="Symbol" w:hint="default"/>
      </w:rPr>
    </w:lvl>
    <w:lvl w:tplc="041A0003" w:ilvl="7">
      <w:start w:val="1"/>
      <w:numFmt w:val="bullet"/>
      <w:lvlText w:val="o"/>
      <w:lvlJc w:val="left"/>
      <w:pPr>
        <w:ind w:hanging="360" w:left="9360"/>
      </w:pPr>
      <w:rPr>
        <w:rFonts w:cs="Courier New" w:hAnsi="Courier New" w:ascii="Courier New" w:hint="default"/>
      </w:rPr>
    </w:lvl>
    <w:lvl w:tplc="041A0005" w:ilvl="8">
      <w:start w:val="1"/>
      <w:numFmt w:val="bullet"/>
      <w:lvlText w:val=""/>
      <w:lvlJc w:val="left"/>
      <w:pPr>
        <w:ind w:hanging="360" w:left="10080"/>
      </w:pPr>
      <w:rPr>
        <w:rFonts w:hAnsi="Wingdings" w:ascii="Wingdings" w:hint="default"/>
      </w:r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7"/>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101"/>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45539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St-579/2013-73</izvorni_sadrzaj>
    <derivirana_varijabla naziv="DomainObject.Oznaka_1">St-579/2013-73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izvorni_sadrzaj>
    <derivirana_varijabla naziv="DomainObject.Predmet.Broj_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2013.</izvorni_sadrzaj>
    <derivirana_varijabla naziv="DomainObject.Predmet.DatumOsnivanja_1">16.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St-579/2013</izvorni_sadrzaj>
    <derivirana_varijabla naziv="DomainObject.Predmet.OznakaBroj_1">St-579/2013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26.10.16.- kod suca</izvorni_sadrzaj>
    <derivirana_varijabla naziv="DomainObject.Predmet.PrimjedbaSuca_1">- uvid 26.10.16.- kod suca</derivirana_varijabla>
  </DomainObject.Predmet.PrimjedbaSuca>
  <DomainObject.Predmet.PrimjedbaUpisnicara>
    <izvorni_sadrzaj/>
    <derivirana_varijabla naziv="DomainObject.Predmet.PrimjedbaUpisnicara_1"/>
  </DomainObject.Predmet.PrimjedbaUpisnicara>
  <DomainObject.Predmet.ProtustrankaFormated>
    <izvorni_sadrzaj>  DINARA dioničko društvo za građevinsku djelatnost zastupanog po punomoćniku Tedi Slamić</izvorni_sadrzaj>
    <derivirana_varijabla naziv="DomainObject.Predmet.ProtustrankaFormated_1">  DINARA dioničko društvo za građevinsku djelatnost zastupanog po punomoćniku Tedi Slamić</derivirana_varijabla>
  </DomainObject.Predmet.ProtustrankaFormated>
  <DomainObject.Predmet.ProtustrankaFormatedOIB>
    <izvorni_sadrzaj>  DINARA dioničko društvo za građevinsku djelatnost, OIB 59713524252 zastupanog po punomoćniku Tedi Slamić</izvorni_sadrzaj>
    <derivirana_varijabla naziv="DomainObject.Predmet.ProtustrankaFormatedOIB_1">  DINARA dioničko društvo za građevinsku djelatnost, OIB 59713524252 zastupanog po punomoćniku Tedi Slamić</derivirana_varijabla>
  </DomainObject.Predmet.ProtustrankaFormatedOIB>
  <DomainObject.Predmet.ProtustrankaFormatedWithAdress>
    <izvorni_sadrzaj> DINARA dioničko društvo za građevinsku djelatnost, Dr. Franje Tuđmana 11, Knin zastupanog po punomoćniku Tedi Slamić</izvorni_sadrzaj>
    <derivirana_varijabla naziv="DomainObject.Predmet.ProtustrankaFormatedWithAdress_1"> DINARA dioničko društvo za građevinsku djelatnost, Dr. Franje Tuđmana 11, Knin zastupanog po punomoćniku Tedi Slamić</derivirana_varijabla>
  </DomainObject.Predmet.ProtustrankaFormatedWithAdress>
  <DomainObject.Predmet.ProtustrankaFormatedWithAdressOIB>
    <izvorni_sadrzaj> DINARA dioničko društvo za građevinsku djelatnost, OIB 59713524252, Dr. Franje Tuđmana 11, Knin zastupanog po punomoćniku Tedi Slamić</izvorni_sadrzaj>
    <derivirana_varijabla naziv="DomainObject.Predmet.ProtustrankaFormatedWithAdressOIB_1"> DINARA dioničko društvo za građevinsku djelatnost, OIB 59713524252, Dr. Franje Tuđmana 11, Knin zastupanog po punomoćniku Tedi Slamić</derivirana_varijabla>
  </DomainObject.Predmet.ProtustrankaFormatedWithAdressOIB>
  <DomainObject.Predmet.ProtustrankaWithAdress>
    <izvorni_sadrzaj>DINARA dioničko društvo za građevinsku djelatnost Dr. Franje Tuđmana 11, Knin</izvorni_sadrzaj>
    <derivirana_varijabla naziv="DomainObject.Predmet.ProtustrankaWithAdress_1">DINARA dioničko društvo za građevinsku djelatnost Dr. Franje Tuđmana 11, Knin</derivirana_varijabla>
  </DomainObject.Predmet.ProtustrankaWithAdress>
  <DomainObject.Predmet.ProtustrankaWithAdressOIB>
    <izvorni_sadrzaj>DINARA dioničko društvo za građevinsku djelatnost, OIB 59713524252, Dr. Franje Tuđmana 11, Knin</izvorni_sadrzaj>
    <derivirana_varijabla naziv="DomainObject.Predmet.ProtustrankaWithAdressOIB_1">DINARA dioničko društvo za građevinsku djelatnost, OIB 59713524252, Dr. Franje Tuđmana 11, Knin</derivirana_varijabla>
  </DomainObject.Predmet.ProtustrankaWithAdressOIB>
  <DomainObject.Predmet.ProtustrankaNazivFormated>
    <izvorni_sadrzaj>DINARA dioničko društvo za građevinsku djelatnost</izvorni_sadrzaj>
    <derivirana_varijabla naziv="DomainObject.Predmet.ProtustrankaNazivFormated_1">DINARA dioničko društvo za građevinsku djelatnost</derivirana_varijabla>
  </DomainObject.Predmet.ProtustrankaNazivFormated>
  <DomainObject.Predmet.ProtustrankaNazivFormatedOIB>
    <izvorni_sadrzaj>DINARA dioničko društvo za građevinsku djelatnost, OIB 59713524252</izvorni_sadrzaj>
    <derivirana_varijabla naziv="DomainObject.Predmet.ProtustrankaNazivFormatedOIB_1">DINARA dioničko društvo za građevinsku djelatnost, OIB 59713524252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ŽDO U ŠIBENIKU, Građansko-upravni odjel</izvorni_sadrzaj>
    <derivirana_varijabla naziv="DomainObject.Predmet.StrankaFormated_1">  ŽDO U ŠIBENIKU, Građansko-upravni odjel</derivirana_varijabla>
  </DomainObject.Predmet.StrankaFormated>
  <DomainObject.Predmet.StrankaFormatedOIB>
    <izvorni_sadrzaj>  ŽDO U ŠIBENIKU, Građansko-upravni odjel, OIB 62915793914</izvorni_sadrzaj>
    <derivirana_varijabla naziv="DomainObject.Predmet.StrankaFormatedOIB_1">  ŽDO U ŠIBENIKU, Građansko-upravni odjel, OIB 62915793914</derivirana_varijabla>
  </DomainObject.Predmet.StrankaFormatedOIB>
  <DomainObject.Predmet.StrankaFormatedWithAdress>
    <izvorni_sadrzaj> ŽDO U ŠIBENIKU, Građansko-upravni odjel</izvorni_sadrzaj>
    <derivirana_varijabla naziv="DomainObject.Predmet.StrankaFormatedWithAdress_1"> ŽDO U ŠIBENIKU, Građansko-upravni odjel</derivirana_varijabla>
  </DomainObject.Predmet.StrankaFormatedWithAdress>
  <DomainObject.Predmet.StrankaFormatedWithAdressOIB>
    <izvorni_sadrzaj> ŽDO U ŠIBENIKU, Građansko-upravni odjel, OIB 62915793914</izvorni_sadrzaj>
    <derivirana_varijabla naziv="DomainObject.Predmet.StrankaFormatedWithAdressOIB_1"> ŽDO U ŠIBENIKU, Građansko-upravni odjel, OIB 62915793914</derivirana_varijabla>
  </DomainObject.Predmet.StrankaFormatedWithAdressOIB>
  <DomainObject.Predmet.StrankaWithAdress>
    <izvorni_sadrzaj>ŽDO U ŠIBENIKU, Građansko-upravni odjel </izvorni_sadrzaj>
    <derivirana_varijabla naziv="DomainObject.Predmet.StrankaWithAdress_1">ŽDO U ŠIBENIKU, Građansko-upravni odjel </derivirana_varijabla>
  </DomainObject.Predmet.StrankaWithAdress>
  <DomainObject.Predmet.StrankaWithAdressOIB>
    <izvorni_sadrzaj>ŽDO U ŠIBENIKU, Građansko-upravni odjel, OIB 62915793914</izvorni_sadrzaj>
    <derivirana_varijabla naziv="DomainObject.Predmet.StrankaWithAdressOIB_1">ŽDO U ŠIBENIKU, Građansko-upravni odjel, OIB 62915793914</derivirana_varijabla>
  </DomainObject.Predmet.StrankaWithAdressOIB>
  <DomainObject.Predmet.StrankaNazivFormated>
    <izvorni_sadrzaj>ŽDO U ŠIBENIKU, Građansko-upravni odjel</izvorni_sadrzaj>
    <derivirana_varijabla naziv="DomainObject.Predmet.StrankaNazivFormated_1">ŽDO U ŠIBENIKU, Građansko-upravni odjel</derivirana_varijabla>
  </DomainObject.Predmet.StrankaNazivFormated>
  <DomainObject.Predmet.StrankaNazivFormatedOIB>
    <izvorni_sadrzaj>ŽDO U ŠIBENIKU, Građansko-upravni odjel, OIB 62915793914</izvorni_sadrzaj>
    <derivirana_varijabla naziv="DomainObject.Predmet.StrankaNazivFormatedOIB_1">ŽDO U ŠIBENIKU, Građansko-upravni odjel, OIB 62915793914</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ŽDO U ŠIBENIKU, Građansko-upravni odjel</item>
    </izvorni_sadrzaj>
    <derivirana_varijabla naziv="DomainObject.Predmet.StrankaListFormated_1">
      <item>ŽDO U ŠIBENIKU, Građansko-upravni odjel</item>
    </derivirana_varijabla>
  </DomainObject.Predmet.StrankaListFormated>
  <DomainObject.Predmet.StrankaListFormatedOIB>
    <izvorni_sadrzaj>
      <item>ŽDO U ŠIBENIKU, Građansko-upravni odjel, OIB 62915793914</item>
    </izvorni_sadrzaj>
    <derivirana_varijabla naziv="DomainObject.Predmet.StrankaListFormatedOIB_1">
      <item>ŽDO U ŠIBENIKU, Građansko-upravni odjel, OIB 62915793914</item>
    </derivirana_varijabla>
  </DomainObject.Predmet.StrankaListFormatedOIB>
  <DomainObject.Predmet.StrankaListFormatedWithAdress>
    <izvorni_sadrzaj>
      <item>ŽDO U ŠIBENIKU, Građansko-upravni odjel</item>
    </izvorni_sadrzaj>
    <derivirana_varijabla naziv="DomainObject.Predmet.StrankaListFormatedWithAdress_1">
      <item>ŽDO U ŠIBENIKU, Građansko-upravni odjel</item>
    </derivirana_varijabla>
  </DomainObject.Predmet.StrankaListFormatedWithAdress>
  <DomainObject.Predmet.StrankaListFormatedWithAdressOIB>
    <izvorni_sadrzaj>
      <item>ŽDO U ŠIBENIKU, Građansko-upravni odjel, OIB 62915793914</item>
    </izvorni_sadrzaj>
    <derivirana_varijabla naziv="DomainObject.Predmet.StrankaListFormatedWithAdressOIB_1">
      <item>ŽDO U ŠIBENIKU, Građansko-upravni odjel, OIB 62915793914</item>
    </derivirana_varijabla>
  </DomainObject.Predmet.StrankaListFormatedWithAdressOIB>
  <DomainObject.Predmet.StrankaListNazivFormated>
    <izvorni_sadrzaj>
      <item>ŽDO U ŠIBENIKU, Građansko-upravni odjel</item>
    </izvorni_sadrzaj>
    <derivirana_varijabla naziv="DomainObject.Predmet.StrankaListNazivFormated_1">
      <item>ŽDO U ŠIBENIKU, Građansko-upravni odjel</item>
    </derivirana_varijabla>
  </DomainObject.Predmet.StrankaListNazivFormated>
  <DomainObject.Predmet.StrankaListNazivFormatedOIB>
    <izvorni_sadrzaj>
      <item>ŽDO U ŠIBENIKU, Građansko-upravni odjel, OIB 62915793914</item>
    </izvorni_sadrzaj>
    <derivirana_varijabla naziv="DomainObject.Predmet.StrankaListNazivFormatedOIB_1">
      <item>ŽDO U ŠIBENIKU, Građansko-upravni odjel, OIB 62915793914</item>
    </derivirana_varijabla>
  </DomainObject.Predmet.StrankaListNazivFormatedOIB>
  <DomainObject.Predmet.ProtuStrankaListFormated>
    <izvorni_sadrzaj>
      <item>DINARA dioničko društvo za građevinsku djelatnost zastupanog po punomoćniku Tedi Slamić</item>
    </izvorni_sadrzaj>
    <derivirana_varijabla naziv="DomainObject.Predmet.ProtuStrankaListFormated_1">
      <item>DINARA dioničko društvo za građevinsku djelatnost zastupanog po punomoćniku Tedi Slamić</item>
    </derivirana_varijabla>
  </DomainObject.Predmet.ProtuStrankaListFormated>
  <DomainObject.Predmet.ProtuStrankaListFormatedOIB>
    <izvorni_sadrzaj>
      <item>DINARA dioničko društvo za građevinsku djelatnost, OIB 59713524252 zastupanog po punomoćniku Tedi Slamić</item>
    </izvorni_sadrzaj>
    <derivirana_varijabla naziv="DomainObject.Predmet.ProtuStrankaListFormatedOIB_1">
      <item>DINARA dioničko društvo za građevinsku djelatnost, OIB 59713524252 zastupanog po punomoćniku Tedi Slamić</item>
    </derivirana_varijabla>
  </DomainObject.Predmet.ProtuStrankaListFormatedOIB>
  <DomainObject.Predmet.ProtuStrankaListFormatedWithAdress>
    <izvorni_sadrzaj>
      <item>DINARA dioničko društvo za građevinsku djelatnost, Dr. Franje Tuđmana 11, Knin zastupanog po punomoćniku Tedi Slamić</item>
    </izvorni_sadrzaj>
    <derivirana_varijabla naziv="DomainObject.Predmet.ProtuStrankaListFormatedWithAdress_1">
      <item>DINARA dioničko društvo za građevinsku djelatnost, Dr. Franje Tuđmana 11, Knin zastupanog po punomoćniku Tedi Slamić</item>
    </derivirana_varijabla>
  </DomainObject.Predmet.ProtuStrankaListFormatedWithAdress>
  <DomainObject.Predmet.ProtuStrankaListFormatedWithAdressOIB>
    <izvorni_sadrzaj>
      <item>DINARA dioničko društvo za građevinsku djelatnost, OIB 59713524252, Dr. Franje Tuđmana 11, Knin zastupanog po punomoćniku Tedi Slamić</item>
    </izvorni_sadrzaj>
    <derivirana_varijabla naziv="DomainObject.Predmet.ProtuStrankaListFormatedWithAdressOIB_1">
      <item>DINARA dioničko društvo za građevinsku djelatnost, OIB 59713524252, Dr. Franje Tuđmana 11, Knin zastupanog po punomoćniku Tedi Slamić</item>
    </derivirana_varijabla>
  </DomainObject.Predmet.ProtuStrankaListFormatedWithAdressOIB>
  <DomainObject.Predmet.ProtuStrankaListNazivFormated>
    <izvorni_sadrzaj>
      <item>DINARA dioničko društvo za građevinsku djelatnost</item>
    </izvorni_sadrzaj>
    <derivirana_varijabla naziv="DomainObject.Predmet.ProtuStrankaListNazivFormated_1">
      <item>DINARA dioničko društvo za građevinsku djelatnost</item>
    </derivirana_varijabla>
  </DomainObject.Predmet.ProtuStrankaListNazivFormated>
  <DomainObject.Predmet.ProtuStrankaListNazivFormatedOIB>
    <izvorni_sadrzaj>
      <item>DINARA dioničko društvo za građevinsku djelatnost, OIB 59713524252</item>
    </izvorni_sadrzaj>
    <derivirana_varijabla naziv="DomainObject.Predmet.ProtuStrankaListNazivFormatedOIB_1">
      <item>DINARA dioničko društvo za građevinsku djelatnost, OIB 59713524252</item>
    </derivirana_varijabla>
  </DomainObject.Predmet.ProtuStrankaListNazivFormatedOIB>
  <DomainObject.Predmet.OstaliListFormated>
    <izvorni_sadrzaj>
      <item>Radojka Danek</item>
      <item>Tedi Slamić punomoćnik sudionika u postupku DINARA dioničko društvo za građevinsku djelatnost</item>
    </izvorni_sadrzaj>
    <derivirana_varijabla naziv="DomainObject.Predmet.OstaliListFormated_1">
      <item>Radojka Danek</item>
      <item>Tedi Slamić punomoćnik sudionika u postupku DINARA dioničko društvo za građevinsku djelatnost</item>
    </derivirana_varijabla>
  </DomainObject.Predmet.OstaliListFormated>
  <DomainObject.Predmet.OstaliListFormatedOIB>
    <izvorni_sadrzaj>
      <item>Radojka Danek, OIB 78988701424</item>
      <item>Tedi Slamić, OIB 56804433253 punomoćnik sudionika u postupku DINARA dioničko društvo za građevinsku djelatnost</item>
    </izvorni_sadrzaj>
    <derivirana_varijabla naziv="DomainObject.Predmet.OstaliListFormatedOIB_1">
      <item>Radojka Danek, OIB 78988701424</item>
      <item>Tedi Slamić, OIB 56804433253 punomoćnik sudionika u postupku DINARA dioničko društvo za građevinsku djelatnost</item>
    </derivirana_varijabla>
  </DomainObject.Predmet.OstaliListFormatedOIB>
  <DomainObject.Predmet.OstaliListFormatedWithAdress>
    <izvorni_sadrzaj>
      <item>Radojka Danek, Petra Preradovića 6, 22000 Šibenik</item>
      <item>Tedi Slamić, Bana Josipa Jelačića 13c, 22000 Šibenik punomoćnik sudionika u postupku DINARA dioničko društvo za građevinsku djelatnost</item>
    </izvorni_sadrzaj>
    <derivirana_varijabla naziv="DomainObject.Predmet.OstaliListFormatedWithAdress_1">
      <item>Radojka Danek, Petra Preradovića 6, 22000 Šibenik</item>
      <item>Tedi Slamić, Bana Josipa Jelačića 13c, 22000 Šibenik punomoćnik sudionika u postupku DINARA dioničko društvo za građevinsku djelatnost</item>
    </derivirana_varijabla>
  </DomainObject.Predmet.OstaliListFormatedWithAdress>
  <DomainObject.Predmet.OstaliListFormatedWithAdressOIB>
    <izvorni_sadrzaj>
      <item>Radojka Danek, OIB 78988701424, Petra Preradovića 6, 22000 Šibenik</item>
      <item>Tedi Slamić, OIB 56804433253, Bana Josipa Jelačića 13c, 22000 Šibenik punomoćnik sudionika u postupku DINARA dioničko društvo za građevinsku djelatnost</item>
    </izvorni_sadrzaj>
    <derivirana_varijabla naziv="DomainObject.Predmet.OstaliListFormatedWithAdressOIB_1">
      <item>Radojka Danek, OIB 78988701424, Petra Preradovića 6, 22000 Šibenik</item>
      <item>Tedi Slamić, OIB 56804433253, Bana Josipa Jelačića 13c, 22000 Šibenik punomoćnik sudionika u postupku DINARA dioničko društvo za građevinsku djelatnost</item>
    </derivirana_varijabla>
  </DomainObject.Predmet.OstaliListFormatedWithAdressOIB>
  <DomainObject.Predmet.OstaliListNazivFormated>
    <izvorni_sadrzaj>
      <item>Radojka Danek</item>
      <item>Tedi Slamić</item>
    </izvorni_sadrzaj>
    <derivirana_varijabla naziv="DomainObject.Predmet.OstaliListNazivFormated_1">
      <item>Radojka Danek</item>
      <item>Tedi Slamić</item>
    </derivirana_varijabla>
  </DomainObject.Predmet.OstaliListNazivFormated>
  <DomainObject.Predmet.OstaliListNazivFormatedOIB>
    <izvorni_sadrzaj>
      <item>Radojka Danek, OIB 78988701424</item>
      <item>Tedi Slamić, OIB 56804433253</item>
    </izvorni_sadrzaj>
    <derivirana_varijabla naziv="DomainObject.Predmet.OstaliListNazivFormatedOIB_1">
      <item>Radojka Danek, OIB 78988701424</item>
      <item>Tedi Slamić, OIB 56804433253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St-579/2013-73</izvorni_sadrzaj>
    <derivirana_varijabla naziv="DomainObject.PoslovniBrojDokumenta_1">St-579/2013-73</derivirana_varijabla>
  </DomainObject.PoslovniBrojDokumenta>
  <DomainObject.Predmet.StrankaIDrugi>
    <izvorni_sadrzaj>ŽDO U ŠIBENIKU, Građansko-upravni odjel</izvorni_sadrzaj>
    <derivirana_varijabla naziv="DomainObject.Predmet.StrankaIDrugi_1">ŽDO U ŠIBENIKU, Građansko-upravni odjel</derivirana_varijabla>
  </DomainObject.Predmet.StrankaIDrugi>
  <DomainObject.Predmet.ProtustrankaIDrugi>
    <izvorni_sadrzaj>DINARA dioničko društvo za građevinsku djelatnost</izvorni_sadrzaj>
    <derivirana_varijabla naziv="DomainObject.Predmet.ProtustrankaIDrugi_1">DINARA dioničko društvo za građevinsku djelatnost</derivirana_varijabla>
  </DomainObject.Predmet.ProtustrankaIDrugi>
  <DomainObject.Predmet.StrankaIDrugiAdressOIB>
    <izvorni_sadrzaj>ŽDO U ŠIBENIKU, Građansko-upravni odjel, OIB 62915793914</izvorni_sadrzaj>
    <derivirana_varijabla naziv="DomainObject.Predmet.StrankaIDrugiAdressOIB_1">ŽDO U ŠIBENIKU, Građansko-upravni odjel, OIB 62915793914</derivirana_varijabla>
  </DomainObject.Predmet.StrankaIDrugiAdressOIB>
  <DomainObject.Predmet.ProtustrankaIDrugiAdressOIB>
    <izvorni_sadrzaj>DINARA dioničko društvo za građevinsku djelatnost, OIB 59713524252, Dr. Franje Tuđmana 11, Knin</izvorni_sadrzaj>
    <derivirana_varijabla naziv="DomainObject.Predmet.ProtustrankaIDrugiAdressOIB_1">DINARA dioničko društvo za građevinsku djelatnost, OIB 59713524252, Dr. Franje Tuđmana 11,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DINARA dioničko društvo za građevinsku djelatnost</item>
      <item>ŽDO U ŠIBENIKU, Građansko-upravni odjel</item>
      <item>Radojka Danek</item>
      <item>Tedi Slamić</item>
    </izvorni_sadrzaj>
    <derivirana_varijabla naziv="DomainObject.Predmet.SudioniciListNaziv_1">
      <item>DINARA dioničko društvo za građevinsku djelatnost</item>
      <item>ŽDO U ŠIBENIKU, Građansko-upravni odjel</item>
      <item>Radojka Danek</item>
      <item>Tedi Slamić</item>
    </derivirana_varijabla>
  </DomainObject.Predmet.SudioniciListNaziv>
  <DomainObject.Predmet.SudioniciListAdressOIB>
    <izvorni_sadrzaj>
      <item>DINARA dioničko društvo za građevinsku djelatnost, OIB 59713524252, Dr. Franje Tuđmana 11,Knin</item>
      <item>ŽDO U ŠIBENIKU, Građansko-upravni odjel, OIB 62915793914</item>
      <item>Radojka Danek, OIB 78988701424, Petra Preradovića 6,22000 Šibenik</item>
      <item>Tedi Slamić, OIB 56804433253, Bana Josipa Jelačića 13c,22000 Šibenik</item>
    </izvorni_sadrzaj>
    <derivirana_varijabla naziv="DomainObject.Predmet.SudioniciListAdressOIB_1">
      <item>DINARA dioničko društvo za građevinsku djelatnost, OIB 59713524252, Dr. Franje Tuđmana 11,Knin</item>
      <item>ŽDO U ŠIBENIKU, Građansko-upravni odjel, OIB 62915793914</item>
      <item>Radojka Danek, OIB 78988701424, Petra Preradovića 6,22000 Šibenik</item>
      <item>Tedi Slamić, OIB 56804433253, Bana Josipa Jelačića 13c,22000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B75A96-3AAC-4E68-994B-D5367EC01C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302</properties:Words>
  <properties:Characters>1646</properties:Characters>
  <properties:Lines>70</properties:Lines>
  <properties:Paragraphs>22</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2016-11-18T09:47:00Z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St-579/2013-73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