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158f" w14:paraId="a11158f" w:rsidRDefault="00817CCF" w:rsidP="00817CCF" w:rsidR="00817CC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Broj: 6 St-124/18-11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17CCF" w:rsidR="00857D02" w:rsidRPr="00817CC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817CCF">
        <w:rPr>
          <w:b/>
        </w:rPr>
        <w:t>FLEIS PROMET j.d.o.o. za trgovinu i usluge, Osijek, Ružina 41, MBS: 030167009, OIB: 21012373533</w:t>
      </w:r>
      <w:r w:rsidR="006139EC">
        <w:t xml:space="preserve">, </w:t>
      </w:r>
      <w:r w:rsidR="003B4C28">
        <w:t xml:space="preserve">dana </w:t>
      </w:r>
      <w:r w:rsidR="00817CCF">
        <w:t>14. svibnja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817CCF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817CCF">
      <w:pPr>
        <w:pStyle w:val="Tijeloteksta"/>
      </w:pPr>
      <w:r>
        <w:tab/>
      </w:r>
    </w:p>
    <w:p w:rsidRDefault="009B61F0" w:rsidP="00817CCF" w:rsidR="00817CCF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817CCF">
        <w:rPr>
          <w:b/>
        </w:rPr>
        <w:t xml:space="preserve">FLEIS PROMET j.d.o.o. za trgovinu i usluge, Osijek, Ružina 41, MBS: 030167009, OIB: 21012373533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0C543C" w:rsidRPr="000C543C">
        <w:rPr>
          <w:b/>
        </w:rPr>
        <w:t>610-17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817CCF">
        <w:rPr>
          <w:b/>
        </w:rPr>
        <w:t>24.783,00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>
        <w:t>na ime predujma za pokriće troškova kako prethodnog tako i otvorenog stečajnog postupka</w:t>
      </w:r>
      <w:r w:rsidR="00817CCF">
        <w:t xml:space="preserve"> a koji iznos se sastoji od:</w:t>
      </w:r>
    </w:p>
    <w:p w:rsidRDefault="00817CCF" w:rsidP="00817CCF" w:rsidR="00817CCF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817CCF" w:rsidP="00817CCF" w:rsidR="00817CCF">
      <w:pPr>
        <w:pStyle w:val="Default"/>
      </w:pPr>
    </w:p>
    <w:tbl>
      <w:tblPr>
        <w:tblW w:type="auto" w:w="0"/>
        <w:tblInd w:type="dxa" w:w="-108"/>
        <w:tblLayout w:type="fixed"/>
        <w:tblLook w:val="04A0" w:noVBand="1" w:noHBand="0" w:lastColumn="0" w:firstColumn="1" w:lastRow="0" w:firstRow="1"/>
      </w:tblPr>
      <w:tblGrid>
        <w:gridCol w:w="534"/>
        <w:gridCol w:w="7087"/>
        <w:gridCol w:w="1373"/>
      </w:tblGrid>
      <w:tr w:rsidTr="00817CCF" w:rsidR="00817CCF">
        <w:trPr>
          <w:trHeight w:val="717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817CCF" w:rsidR="00817CCF">
            <w:pPr>
              <w:pStyle w:val="Default"/>
              <w:spacing w:lineRule="auto" w:line="254"/>
              <w:jc w:val="center"/>
              <w:rPr>
                <w:color w:val="auto"/>
                <w:lang w:eastAsia="en-US"/>
              </w:rPr>
            </w:pPr>
            <w:r>
              <w:rPr>
                <w:b/>
                <w:bCs/>
                <w:color w:val="auto"/>
              </w:rPr>
              <w:t>r. br.</w:t>
            </w:r>
          </w:p>
        </w:tc>
        <w:tc>
          <w:tcPr>
            <w:tcW w:type="dxa" w:w="70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</w:tcPr>
          <w:p w:rsidRDefault="00817CCF" w:rsidR="00817CCF">
            <w:pPr>
              <w:pStyle w:val="Default"/>
              <w:spacing w:lineRule="auto" w:line="254"/>
              <w:jc w:val="center"/>
              <w:rPr>
                <w:b/>
                <w:bCs/>
                <w:color w:val="auto"/>
              </w:rPr>
            </w:pPr>
          </w:p>
          <w:p w:rsidRDefault="00817CCF" w:rsidR="00817CCF">
            <w:pPr>
              <w:pStyle w:val="Default"/>
              <w:spacing w:lineRule="auto" w:line="254"/>
              <w:jc w:val="center"/>
              <w:rPr>
                <w:color w:val="auto"/>
                <w:lang w:eastAsia="en-US"/>
              </w:rPr>
            </w:pPr>
            <w:r>
              <w:rPr>
                <w:b/>
                <w:bCs/>
                <w:color w:val="auto"/>
              </w:rPr>
              <w:t>Opis i specifikacija troška</w:t>
            </w:r>
          </w:p>
        </w:tc>
        <w:tc>
          <w:tcPr>
            <w:tcW w:type="dxa" w:w="13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</w:tcPr>
          <w:p w:rsidRDefault="00817CCF" w:rsidR="00817CCF">
            <w:pPr>
              <w:pStyle w:val="Default"/>
              <w:spacing w:lineRule="auto" w:line="254"/>
              <w:jc w:val="center"/>
              <w:rPr>
                <w:b/>
                <w:bCs/>
                <w:color w:val="auto"/>
              </w:rPr>
            </w:pPr>
          </w:p>
          <w:p w:rsidRDefault="00817CCF" w:rsidR="00817CCF">
            <w:pPr>
              <w:pStyle w:val="Default"/>
              <w:spacing w:lineRule="auto" w:line="254"/>
              <w:jc w:val="center"/>
              <w:rPr>
                <w:color w:val="auto"/>
                <w:lang w:eastAsia="en-US"/>
              </w:rPr>
            </w:pPr>
            <w:r>
              <w:rPr>
                <w:b/>
                <w:bCs/>
                <w:color w:val="auto"/>
              </w:rPr>
              <w:t>Iznos troška</w:t>
            </w:r>
          </w:p>
        </w:tc>
      </w:tr>
      <w:tr w:rsidTr="00817CCF" w:rsidR="00817CCF">
        <w:trPr>
          <w:trHeight w:val="199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lang w:eastAsia="en-US"/>
              </w:rPr>
            </w:pPr>
            <w:r>
              <w:rPr>
                <w:b/>
                <w:bCs/>
              </w:rPr>
              <w:t xml:space="preserve">1. </w:t>
            </w:r>
          </w:p>
        </w:tc>
        <w:tc>
          <w:tcPr>
            <w:tcW w:type="dxa" w:w="70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lang w:eastAsia="en-US"/>
              </w:rPr>
            </w:pPr>
            <w:r>
              <w:rPr>
                <w:b/>
                <w:bCs/>
              </w:rPr>
              <w:t xml:space="preserve">Trošak računovodstvenih usluga: </w:t>
            </w:r>
            <w:r>
              <w:t xml:space="preserve">- mjesečni trošak knjigovodstvenog servisa od 600,00 kn + PDV, za 12 mjeseci) </w:t>
            </w:r>
          </w:p>
        </w:tc>
        <w:tc>
          <w:tcPr>
            <w:tcW w:type="dxa" w:w="13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lang w:eastAsia="en-US"/>
              </w:rPr>
            </w:pPr>
            <w:r>
              <w:rPr>
                <w:b/>
                <w:bCs/>
              </w:rPr>
              <w:t xml:space="preserve">9.000,00 kn </w:t>
            </w:r>
          </w:p>
        </w:tc>
      </w:tr>
      <w:tr w:rsidTr="00817CCF" w:rsidR="00817CCF">
        <w:trPr>
          <w:trHeight w:val="377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lang w:eastAsia="en-US"/>
              </w:rPr>
            </w:pPr>
            <w:r>
              <w:rPr>
                <w:b/>
                <w:bCs/>
              </w:rPr>
              <w:t xml:space="preserve">2. </w:t>
            </w:r>
          </w:p>
        </w:tc>
        <w:tc>
          <w:tcPr>
            <w:tcW w:type="dxa" w:w="7087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lang w:eastAsia="en-US"/>
              </w:rPr>
            </w:pPr>
            <w:r>
              <w:rPr>
                <w:b/>
                <w:bCs/>
              </w:rPr>
              <w:t xml:space="preserve">Trošak otvaranja, vođenja i zatvaranja računa: </w:t>
            </w:r>
          </w:p>
        </w:tc>
        <w:tc>
          <w:tcPr>
            <w:tcW w:type="dxa" w:w="137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lang w:eastAsia="en-US"/>
              </w:rPr>
            </w:pPr>
            <w:r>
              <w:rPr>
                <w:b/>
                <w:bCs/>
              </w:rPr>
              <w:t xml:space="preserve">2.028,00 kn </w:t>
            </w:r>
          </w:p>
        </w:tc>
      </w:tr>
      <w:tr w:rsidTr="00817CCF" w:rsidR="00817CCF">
        <w:trPr>
          <w:trHeight w:val="106"/>
        </w:trPr>
        <w:tc>
          <w:tcPr>
            <w:tcW w:type="dxa" w:w="7621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color w:themeShade="80" w:themeColor="background1" w:val="808080"/>
                <w:lang w:eastAsia="en-US"/>
              </w:rPr>
            </w:pPr>
            <w:r>
              <w:rPr>
                <w:color w:themeShade="80" w:themeColor="background1" w:val="808080"/>
              </w:rPr>
              <w:t xml:space="preserve">Trošak otvaranja računa </w:t>
            </w:r>
          </w:p>
        </w:tc>
        <w:tc>
          <w:tcPr>
            <w:tcW w:type="dxa" w:w="137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color w:themeShade="80" w:themeColor="background1" w:val="808080"/>
                <w:lang w:eastAsia="en-US"/>
              </w:rPr>
            </w:pPr>
            <w:r>
              <w:rPr>
                <w:color w:themeShade="80" w:themeColor="background1" w:val="808080"/>
              </w:rPr>
              <w:t xml:space="preserve">200,00 kn </w:t>
            </w:r>
          </w:p>
        </w:tc>
      </w:tr>
      <w:tr w:rsidTr="00817CCF" w:rsidR="00817CCF">
        <w:trPr>
          <w:trHeight w:val="100"/>
        </w:trPr>
        <w:tc>
          <w:tcPr>
            <w:tcW w:type="dxa" w:w="7621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color w:themeShade="80" w:themeColor="background1" w:val="808080"/>
                <w:lang w:eastAsia="en-US"/>
              </w:rPr>
            </w:pPr>
            <w:r>
              <w:rPr>
                <w:color w:themeShade="80" w:themeColor="background1" w:val="808080"/>
              </w:rPr>
              <w:t xml:space="preserve">Naknada za vođenje računa i usluge e i e mobilnog bankarstva, mjesečno 90 kn, za 12 mjeseci </w:t>
            </w:r>
          </w:p>
        </w:tc>
        <w:tc>
          <w:tcPr>
            <w:tcW w:type="dxa" w:w="137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color w:themeShade="80" w:themeColor="background1" w:val="808080"/>
                <w:lang w:eastAsia="en-US"/>
              </w:rPr>
            </w:pPr>
            <w:r>
              <w:rPr>
                <w:color w:themeShade="80" w:themeColor="background1" w:val="808080"/>
              </w:rPr>
              <w:t xml:space="preserve">1.080,00 kn </w:t>
            </w:r>
          </w:p>
        </w:tc>
      </w:tr>
      <w:tr w:rsidTr="00817CCF" w:rsidR="00817CCF">
        <w:trPr>
          <w:trHeight w:val="107"/>
        </w:trPr>
        <w:tc>
          <w:tcPr>
            <w:tcW w:type="dxa" w:w="7621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color w:themeShade="80" w:themeColor="background1" w:val="808080"/>
                <w:lang w:eastAsia="en-US"/>
              </w:rPr>
            </w:pPr>
            <w:r>
              <w:rPr>
                <w:color w:themeShade="80" w:themeColor="background1" w:val="808080"/>
              </w:rPr>
              <w:t xml:space="preserve">Zatvaranje računa </w:t>
            </w:r>
          </w:p>
        </w:tc>
        <w:tc>
          <w:tcPr>
            <w:tcW w:type="dxa" w:w="137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color w:themeShade="80" w:themeColor="background1" w:val="808080"/>
                <w:lang w:eastAsia="en-US"/>
              </w:rPr>
            </w:pPr>
            <w:r>
              <w:rPr>
                <w:color w:themeShade="80" w:themeColor="background1" w:val="808080"/>
              </w:rPr>
              <w:t xml:space="preserve">100,00 kn </w:t>
            </w:r>
          </w:p>
        </w:tc>
      </w:tr>
      <w:tr w:rsidTr="00817CCF" w:rsidR="00817CCF">
        <w:trPr>
          <w:trHeight w:val="110"/>
        </w:trPr>
        <w:tc>
          <w:tcPr>
            <w:tcW w:type="dxa" w:w="7621"/>
            <w:gridSpan w:val="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color w:themeShade="80" w:themeColor="background1" w:val="808080"/>
                <w:lang w:eastAsia="en-US"/>
              </w:rPr>
            </w:pPr>
            <w:r>
              <w:rPr>
                <w:color w:themeShade="80" w:themeColor="background1" w:val="808080"/>
              </w:rPr>
              <w:t xml:space="preserve">Potrebni certifikati FINA - e 54,00 kn mjesečno, za 12 mjeseci 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color w:themeShade="80" w:themeColor="background1" w:val="808080"/>
                <w:lang w:eastAsia="en-US"/>
              </w:rPr>
            </w:pPr>
            <w:r>
              <w:rPr>
                <w:color w:themeShade="80" w:themeColor="background1" w:val="808080"/>
              </w:rPr>
              <w:t xml:space="preserve">648,00 kn </w:t>
            </w:r>
          </w:p>
        </w:tc>
      </w:tr>
      <w:tr w:rsidTr="00817CCF" w:rsidR="00817CCF">
        <w:trPr>
          <w:trHeight w:val="280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lang w:eastAsia="en-US"/>
              </w:rPr>
            </w:pPr>
            <w:r>
              <w:rPr>
                <w:b/>
                <w:bCs/>
              </w:rPr>
              <w:t xml:space="preserve">3. </w:t>
            </w:r>
          </w:p>
        </w:tc>
        <w:tc>
          <w:tcPr>
            <w:tcW w:type="dxa" w:w="7087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lang w:eastAsia="en-US"/>
              </w:rPr>
            </w:pPr>
            <w:r>
              <w:rPr>
                <w:b/>
                <w:bCs/>
              </w:rPr>
              <w:t xml:space="preserve">Materijalni troškovi: </w:t>
            </w:r>
          </w:p>
        </w:tc>
        <w:tc>
          <w:tcPr>
            <w:tcW w:type="dxa" w:w="137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lang w:eastAsia="en-US"/>
              </w:rPr>
            </w:pPr>
            <w:r>
              <w:rPr>
                <w:b/>
                <w:bCs/>
              </w:rPr>
              <w:t xml:space="preserve">5.955,00 kn </w:t>
            </w:r>
          </w:p>
        </w:tc>
      </w:tr>
      <w:tr w:rsidTr="00817CCF" w:rsidR="00817CCF">
        <w:trPr>
          <w:trHeight w:val="639"/>
        </w:trPr>
        <w:tc>
          <w:tcPr>
            <w:tcW w:type="dxa" w:w="7621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color w:themeShade="80" w:themeColor="background1" w:val="808080"/>
                <w:lang w:eastAsia="en-US"/>
              </w:rPr>
            </w:pPr>
            <w:r>
              <w:rPr>
                <w:color w:themeShade="80" w:themeColor="background1" w:val="808080"/>
              </w:rPr>
              <w:t xml:space="preserve">Trošak pristupa stečajnog upravitelja u Osijek osobnim automobilom. Trošak jednog puta se sastoji od troška prijevoza osobnim automobilom od 388 kn (Sl. Brod - Osijek - Sl. Brod = 194 km x 2kn/km) i cestarine od 70,00 kn (2x35,00 kn), ukupno 458,00 kn neto, odnosno 795,00 kn bruto (porezni status drugog dohotka). Trošak se predviđa za 5 pristupa u Osijek (ispitno i izvještajno ročište, završno ročište, konzultacije s vjerovnicima i drugo) </w:t>
            </w:r>
          </w:p>
        </w:tc>
        <w:tc>
          <w:tcPr>
            <w:tcW w:type="dxa" w:w="137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color w:themeShade="80" w:themeColor="background1" w:val="808080"/>
                <w:lang w:eastAsia="en-US"/>
              </w:rPr>
            </w:pPr>
            <w:r>
              <w:rPr>
                <w:color w:themeShade="80" w:themeColor="background1" w:val="808080"/>
              </w:rPr>
              <w:t xml:space="preserve">3.975,00 kn </w:t>
            </w:r>
          </w:p>
        </w:tc>
      </w:tr>
      <w:tr w:rsidTr="00817CCF" w:rsidR="00817CCF">
        <w:trPr>
          <w:trHeight w:val="107"/>
        </w:trPr>
        <w:tc>
          <w:tcPr>
            <w:tcW w:type="dxa" w:w="7621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color w:themeShade="80" w:themeColor="background1" w:val="808080"/>
                <w:lang w:eastAsia="en-US"/>
              </w:rPr>
            </w:pPr>
            <w:r>
              <w:rPr>
                <w:color w:themeShade="80" w:themeColor="background1" w:val="808080"/>
              </w:rPr>
              <w:lastRenderedPageBreak/>
              <w:t xml:space="preserve">Trošak izrade žigova ( dva žiga po cijeni od 150, kn po žigu) </w:t>
            </w:r>
          </w:p>
        </w:tc>
        <w:tc>
          <w:tcPr>
            <w:tcW w:type="dxa" w:w="137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color w:themeShade="80" w:themeColor="background1" w:val="808080"/>
                <w:lang w:eastAsia="en-US"/>
              </w:rPr>
            </w:pPr>
            <w:r>
              <w:rPr>
                <w:color w:themeShade="80" w:themeColor="background1" w:val="808080"/>
              </w:rPr>
              <w:t xml:space="preserve">300,00 kn </w:t>
            </w:r>
          </w:p>
        </w:tc>
      </w:tr>
      <w:tr w:rsidTr="00817CCF" w:rsidR="00817CCF">
        <w:trPr>
          <w:trHeight w:val="106"/>
        </w:trPr>
        <w:tc>
          <w:tcPr>
            <w:tcW w:type="dxa" w:w="7621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color w:themeShade="80" w:themeColor="background1" w:val="808080"/>
                <w:lang w:eastAsia="en-US"/>
              </w:rPr>
            </w:pPr>
            <w:r>
              <w:rPr>
                <w:color w:themeShade="80" w:themeColor="background1" w:val="808080"/>
              </w:rPr>
              <w:t xml:space="preserve">Trošak uredskog poslovanja (toneri, papir, poštarina, preslike, takse i dr.) </w:t>
            </w:r>
          </w:p>
        </w:tc>
        <w:tc>
          <w:tcPr>
            <w:tcW w:type="dxa" w:w="137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color w:themeShade="80" w:themeColor="background1" w:val="808080"/>
                <w:lang w:eastAsia="en-US"/>
              </w:rPr>
            </w:pPr>
            <w:r>
              <w:rPr>
                <w:color w:themeShade="80" w:themeColor="background1" w:val="808080"/>
              </w:rPr>
              <w:t xml:space="preserve">1.000,00 kn </w:t>
            </w:r>
          </w:p>
        </w:tc>
      </w:tr>
      <w:tr w:rsidTr="00817CCF" w:rsidR="00817CCF">
        <w:trPr>
          <w:trHeight w:val="109"/>
        </w:trPr>
        <w:tc>
          <w:tcPr>
            <w:tcW w:type="dxa" w:w="7621"/>
            <w:gridSpan w:val="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color w:themeShade="80" w:themeColor="background1" w:val="808080"/>
                <w:lang w:eastAsia="en-US"/>
              </w:rPr>
            </w:pPr>
            <w:r>
              <w:rPr>
                <w:color w:themeShade="80" w:themeColor="background1" w:val="808080"/>
              </w:rPr>
              <w:t xml:space="preserve">Trošak FINA -e za objavu GFI POD (2 x - za početni i završni račun) 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color w:themeShade="80" w:themeColor="background1" w:val="808080"/>
                <w:lang w:eastAsia="en-US"/>
              </w:rPr>
            </w:pPr>
            <w:r>
              <w:rPr>
                <w:color w:themeShade="80" w:themeColor="background1" w:val="808080"/>
              </w:rPr>
              <w:t xml:space="preserve">680,00 kn </w:t>
            </w:r>
          </w:p>
        </w:tc>
      </w:tr>
      <w:tr w:rsidTr="00817CCF" w:rsidR="00817CCF">
        <w:trPr>
          <w:trHeight w:val="311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lang w:eastAsia="en-US"/>
              </w:rPr>
            </w:pPr>
            <w:r>
              <w:rPr>
                <w:b/>
                <w:bCs/>
              </w:rPr>
              <w:t xml:space="preserve">4. </w:t>
            </w:r>
          </w:p>
        </w:tc>
        <w:tc>
          <w:tcPr>
            <w:tcW w:type="dxa" w:w="70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lang w:eastAsia="en-US"/>
              </w:rPr>
            </w:pPr>
            <w:r>
              <w:rPr>
                <w:b/>
                <w:bCs/>
              </w:rPr>
              <w:t xml:space="preserve">Trošak arhiviranja poslovne dokumentacije: </w:t>
            </w:r>
            <w:r>
              <w:t xml:space="preserve">(arhiviranje i izlučivanje dokumentacije od za to ovlaštene osobe, te eventualno čuvanje trajne arhivske građe) </w:t>
            </w:r>
          </w:p>
        </w:tc>
        <w:tc>
          <w:tcPr>
            <w:tcW w:type="dxa" w:w="13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lang w:eastAsia="en-US"/>
              </w:rPr>
            </w:pPr>
            <w:r>
              <w:rPr>
                <w:b/>
                <w:bCs/>
              </w:rPr>
              <w:t xml:space="preserve">3.000,00 kn </w:t>
            </w:r>
          </w:p>
        </w:tc>
      </w:tr>
      <w:tr w:rsidTr="00817CCF" w:rsidR="00817CCF">
        <w:trPr>
          <w:trHeight w:val="309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lang w:eastAsia="en-US"/>
              </w:rPr>
            </w:pPr>
            <w:r>
              <w:t xml:space="preserve">5. </w:t>
            </w:r>
          </w:p>
        </w:tc>
        <w:tc>
          <w:tcPr>
            <w:tcW w:type="dxa" w:w="70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lang w:eastAsia="en-US"/>
              </w:rPr>
            </w:pPr>
            <w:r>
              <w:rPr>
                <w:b/>
                <w:bCs/>
              </w:rPr>
              <w:t xml:space="preserve">Trošak nagrade stečajnom upravitelju: </w:t>
            </w:r>
            <w:r>
              <w:t xml:space="preserve">(trošak nagrade za unovčenje od 30.000 kn (projekcija), sukladno čl. 7. Uredbe o kriterijima i načinu obračuna i plaćanja nagrade stečajnim upraviteljima). </w:t>
            </w:r>
          </w:p>
        </w:tc>
        <w:tc>
          <w:tcPr>
            <w:tcW w:type="dxa" w:w="13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7CCF" w:rsidR="00817CCF">
            <w:pPr>
              <w:pStyle w:val="Default"/>
              <w:spacing w:lineRule="auto" w:line="254"/>
              <w:rPr>
                <w:lang w:eastAsia="en-US"/>
              </w:rPr>
            </w:pPr>
            <w:r>
              <w:rPr>
                <w:b/>
                <w:bCs/>
              </w:rPr>
              <w:t xml:space="preserve">4.800,00 kn </w:t>
            </w:r>
          </w:p>
        </w:tc>
      </w:tr>
    </w:tbl>
    <w:p w:rsidRDefault="00817CCF" w:rsidP="00817CCF" w:rsidR="00817CCF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817CCF" w:rsidP="00817CCF" w:rsidR="00817CCF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025E45" w:rsidP="00817CCF" w:rsidR="00BB2037">
      <w:pPr>
        <w:pStyle w:val="Odlomakpopisa"/>
        <w:overflowPunct w:val="false"/>
        <w:autoSpaceDE w:val="false"/>
        <w:autoSpaceDN w:val="false"/>
        <w:adjustRightInd w:val="false"/>
        <w:jc w:val="both"/>
      </w:pPr>
      <w:r>
        <w:t xml:space="preserve"> </w:t>
      </w:r>
      <w:r w:rsidR="009B61F0"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0C543C" w:rsidP="00817CCF" w:rsidR="000C543C"/>
    <w:p w:rsidRDefault="000C543C" w:rsidP="00FD3ED7" w:rsidR="000C543C">
      <w:pPr>
        <w:jc w:val="center"/>
      </w:pPr>
    </w:p>
    <w:p w:rsidRDefault="009B61F0" w:rsidP="00FD3ED7" w:rsidR="009B61F0" w:rsidRPr="000C543C">
      <w:pPr>
        <w:jc w:val="center"/>
      </w:pPr>
      <w:r w:rsidRPr="000C543C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817CCF">
        <w:t>RH MF Porezna uprava zastupani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817CCF">
        <w:t>12. siječnja 2018. g.</w:t>
      </w:r>
      <w:r w:rsidRPr="00DD2365">
        <w:t xml:space="preserve"> prijedlog za otvaranje stečajnog postupka nad dužnikom </w:t>
      </w:r>
      <w:r w:rsidR="00817CCF">
        <w:rPr>
          <w:b/>
        </w:rPr>
        <w:t>FLEIS PROMET j.d.o.o. za trgovinu i usluge, Osijek, Ružina 41, MBS: 030167009, OIB: 21012373533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C543C" w:rsidR="00C43FA3" w:rsidRPr="000C543C">
      <w:pPr>
        <w:ind w:firstLine="720"/>
        <w:jc w:val="both"/>
      </w:pPr>
      <w:r>
        <w:t xml:space="preserve">Sukladno Izvješću privremenog stečajnog upravitelja određenog rješenjem ovog suda </w:t>
      </w:r>
      <w:r w:rsidR="00817CCF">
        <w:t xml:space="preserve">6 </w:t>
      </w:r>
      <w:r>
        <w:t>St-</w:t>
      </w:r>
      <w:r w:rsidR="00817CCF">
        <w:t>124/18-6 od 23. ožujka 2018. g.</w:t>
      </w:r>
      <w:r>
        <w:t xml:space="preserve"> koje je usmeno iznio na ročištu održanom dana </w:t>
      </w:r>
      <w:r w:rsidR="000C543C">
        <w:t xml:space="preserve">10. </w:t>
      </w:r>
      <w:r w:rsidR="00817CCF">
        <w:t>svibnja</w:t>
      </w:r>
      <w:r w:rsidR="000C543C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817CCF">
        <w:rPr>
          <w:b/>
        </w:rPr>
        <w:t>24.783,00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817CCF">
        <w:t>14. svibnja</w:t>
      </w:r>
      <w:r w:rsidR="000C543C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7242C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C543C">
        <w:t>17.2.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5DB" w:rsidR="008555DB">
      <w:r>
        <w:separator/>
      </w:r>
    </w:p>
  </w:endnote>
  <w:endnote w:id="0" w:type="continuationSeparator">
    <w:p w:rsidRDefault="008555DB" w:rsidR="00855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5DB" w:rsidR="008555DB">
      <w:r>
        <w:separator/>
      </w:r>
    </w:p>
  </w:footnote>
  <w:footnote w:id="0" w:type="continuationSeparator">
    <w:p w:rsidRDefault="008555DB" w:rsidR="008555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E3BF7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3BF7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4E29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17CCF"/>
    <w:rsid w:val="008267B8"/>
    <w:rsid w:val="00845777"/>
    <w:rsid w:val="0084757E"/>
    <w:rsid w:val="008555DB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customStyle="true" w:styleId="Default" w:type="paragraph">
    <w:name w:val="Default"/>
    <w:rsid w:val="00817CCF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1E3B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3B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BF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B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B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customStyle="1" w:styleId="Default" w:type="paragraph">
    <w:name w:val="Default"/>
    <w:rsid w:val="00817CCF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1E3B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3B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BF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B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B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73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6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65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FLEIS PROMET jednostavno društvo s ograničenom odgovornošću za trgovinu i usluge</izvorni_sadrzaj>
    <derivirana_varijabla naziv="DomainObject.Predmet.ProtustrankaFormated_1">  FLEIS PROMET jednostavno društvo s ograničenom odgovornošću za trgovinu i usluge</derivirana_varijabla>
  </DomainObject.Predmet.ProtustrankaFormated>
  <DomainObject.Predmet.ProtustrankaFormatedOIB>
    <izvorni_sadrzaj>  FLEIS PROMET jednostavno društvo s ograničenom odgovornošću za trgovinu i usluge, OIB 21012373533</izvorni_sadrzaj>
    <derivirana_varijabla naziv="DomainObject.Predmet.ProtustrankaFormatedOIB_1">  FLEIS PROMET jednostavno društvo s ograničenom odgovornošću za trgovinu i usluge, OIB 21012373533</derivirana_varijabla>
  </DomainObject.Predmet.ProtustrankaFormatedOIB>
  <DomainObject.Predmet.ProtustrankaFormatedWithAdress>
    <izvorni_sadrzaj> FLEIS PROMET jednostavno društvo s ograničenom odgovornošću za trgovinu i usluge, Ružina 41, 31000 Osijek</izvorni_sadrzaj>
    <derivirana_varijabla naziv="DomainObject.Predmet.ProtustrankaFormatedWithAdress_1"> FLEIS PROMET jednostavno društvo s ograničenom odgovornošću za trgovinu i usluge, Ružina 41, 31000 Osijek</derivirana_varijabla>
  </DomainObject.Predmet.ProtustrankaFormatedWithAdress>
  <DomainObject.Predmet.ProtustrankaFormatedWithAdressOIB>
    <izvorni_sadrzaj> FLEIS PROMET jednostavno društvo s ograničenom odgovornošću za trgovinu i usluge, OIB 21012373533, Ružina 41, 31000 Osijek</izvorni_sadrzaj>
    <derivirana_varijabla naziv="DomainObject.Predmet.ProtustrankaFormatedWithAdressOIB_1"> FLEIS PROMET jednostavno društvo s ograničenom odgovornošću za trgovinu i usluge, OIB 21012373533, Ružina 41, 31000 Osijek</derivirana_varijabla>
  </DomainObject.Predmet.ProtustrankaFormatedWithAdressOIB>
  <DomainObject.Predmet.ProtustrankaWithAdress>
    <izvorni_sadrzaj>FLEIS PROMET jednostavno društvo s ograničenom odgovornošću za trgovinu i usluge Ružina 41, 31000 Osijek</izvorni_sadrzaj>
    <derivirana_varijabla naziv="DomainObject.Predmet.ProtustrankaWithAdress_1">FLEIS PROMET jednostavno društvo s ograničenom odgovornošću za trgovinu i usluge Ružina 41, 31000 Osijek</derivirana_varijabla>
  </DomainObject.Predmet.ProtustrankaWithAdress>
  <DomainObject.Predmet.ProtustrankaWithAdressOIB>
    <izvorni_sadrzaj>FLEIS PROMET jednostavno društvo s ograničenom odgovornošću za trgovinu i usluge, OIB 21012373533, Ružina 41, 31000 Osijek</izvorni_sadrzaj>
    <derivirana_varijabla naziv="DomainObject.Predmet.ProtustrankaWithAdressOIB_1">FLEIS PROMET jednostavno društvo s ograničenom odgovornošću za trgovinu i usluge, OIB 21012373533, Ružina 41, 31000 Osijek</derivirana_varijabla>
  </DomainObject.Predmet.ProtustrankaWithAdressOIB>
  <DomainObject.Predmet.ProtustrankaNazivFormated>
    <izvorni_sadrzaj>FLEIS PROMET jednostavno društvo s ograničenom odgovornošću za trgovinu i usluge</izvorni_sadrzaj>
    <derivirana_varijabla naziv="DomainObject.Predmet.ProtustrankaNazivFormated_1">FLEIS PROMET jednostavno društvo s ograničenom odgovornošću za trgovinu i usluge</derivirana_varijabla>
  </DomainObject.Predmet.ProtustrankaNazivFormated>
  <DomainObject.Predmet.ProtustrankaNazivFormatedOIB>
    <izvorni_sadrzaj>FLEIS PROMET jednostavno društvo s ograničenom odgovornošću za trgovinu i usluge, OIB 21012373533</izvorni_sadrzaj>
    <derivirana_varijabla naziv="DomainObject.Predmet.ProtustrankaNazivFormatedOIB_1">FLEIS PROMET jednostavno društvo s ograničenom odgovornošću za trgovinu i usluge, OIB 21012373533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FLEIS PROMET jednostavno društvo s ograničenom odgovornošću za trgovinu i usluge</item>
    </izvorni_sadrzaj>
    <derivirana_varijabla naziv="DomainObject.Predmet.ProtuStrankaListFormated_1">
      <item>FLEIS PROMET jednostavno društvo s ograničenom odgovornošću za trgovinu i usluge</item>
    </derivirana_varijabla>
  </DomainObject.Predmet.ProtuStrankaListFormated>
  <DomainObject.Predmet.ProtuStrankaListFormatedOIB>
    <izvorni_sadrzaj>
      <item>FLEIS PROMET jednostavno društvo s ograničenom odgovornošću za trgovinu i usluge, OIB 21012373533</item>
    </izvorni_sadrzaj>
    <derivirana_varijabla naziv="DomainObject.Predmet.ProtuStrankaListFormatedOIB_1">
      <item>FLEIS PROMET jednostavno društvo s ograničenom odgovornošću za trgovinu i usluge, OIB 21012373533</item>
    </derivirana_varijabla>
  </DomainObject.Predmet.ProtuStrankaListFormatedOIB>
  <DomainObject.Predmet.ProtuStrankaListFormatedWithAdress>
    <izvorni_sadrzaj>
      <item>FLEIS PROMET jednostavno društvo s ograničenom odgovornošću za trgovinu i usluge, Ružina 41, 31000 Osijek</item>
    </izvorni_sadrzaj>
    <derivirana_varijabla naziv="DomainObject.Predmet.ProtuStrankaListFormatedWithAdress_1">
      <item>FLEIS PROMET jednostavno društvo s ograničenom odgovornošću za trgovinu i usluge, Ružina 41, 31000 Osijek</item>
    </derivirana_varijabla>
  </DomainObject.Predmet.ProtuStrankaListFormatedWithAdress>
  <DomainObject.Predmet.ProtuStrankaListFormatedWithAdressOIB>
    <izvorni_sadrzaj>
      <item>FLEIS PROMET jednostavno društvo s ograničenom odgovornošću za trgovinu i usluge, OIB 21012373533, Ružina 41, 31000 Osijek</item>
    </izvorni_sadrzaj>
    <derivirana_varijabla naziv="DomainObject.Predmet.ProtuStrankaListFormatedWithAdressOIB_1">
      <item>FLEIS PROMET jednostavno društvo s ograničenom odgovornošću za trgovinu i usluge, OIB 21012373533, Ružina 41, 31000 Osijek</item>
    </derivirana_varijabla>
  </DomainObject.Predmet.ProtuStrankaListFormatedWithAdressOIB>
  <DomainObject.Predmet.ProtuStrankaListNazivFormated>
    <izvorni_sadrzaj>
      <item>FLEIS PROMET jednostavno društvo s ograničenom odgovornošću za trgovinu i usluge</item>
    </izvorni_sadrzaj>
    <derivirana_varijabla naziv="DomainObject.Predmet.ProtuStrankaListNazivFormated_1">
      <item>FLEIS PROMET jednostavno društvo s ograničenom odgovornošću za trgovinu i usluge</item>
    </derivirana_varijabla>
  </DomainObject.Predmet.ProtuStrankaListNazivFormated>
  <DomainObject.Predmet.ProtuStrankaListNazivFormatedOIB>
    <izvorni_sadrzaj>
      <item>FLEIS PROMET jednostavno društvo s ograničenom odgovornošću za trgovinu i usluge, OIB 21012373533</item>
    </izvorni_sadrzaj>
    <derivirana_varijabla naziv="DomainObject.Predmet.ProtuStrankaListNazivFormatedOIB_1">
      <item>FLEIS PROMET jednostavno društvo s ograničenom odgovornošću za trgovinu i usluge, OIB 21012373533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FLEIS PROMET jednostavno društvo s ograničenom odgovornošću za trgovinu i usluge</izvorni_sadrzaj>
    <derivirana_varijabla naziv="DomainObject.Predmet.ProtustrankaIDrugi_1">FLEIS PROMET jednostavno društvo s ograničenom odgovornošću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FLEIS PROMET jednostavno društvo s ograničenom odgovornošću za trgovinu i usluge, OIB 21012373533, Ružina 41, 31000 Osijek</izvorni_sadrzaj>
    <derivirana_varijabla naziv="DomainObject.Predmet.ProtustrankaIDrugiAdressOIB_1">FLEIS PROMET jednostavno društvo s ograničenom odgovornošću za trgovinu i usluge, OIB 21012373533,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FLEIS PROMET jednostavno društvo s ograničenom odgovornošću za trgovinu i usluge</item>
      <item>RH MF PU PODRUČNI URED OSIJEK</item>
    </izvorni_sadrzaj>
    <derivirana_varijabla naziv="DomainObject.Predmet.SudioniciListNaziv_1">
      <item>FLEIS PROMET jednostavno društvo s ograničenom odgovornošću za trgovinu i usluge</item>
      <item>RH MF PU PODRUČNI URED OSIJEK</item>
    </derivirana_varijabla>
  </DomainObject.Predmet.SudioniciListNaziv>
  <DomainObject.Predmet.SudioniciListAdressOIB>
    <izvorni_sadrzaj>
      <item>FLEIS PROMET jednostavno društvo s ograničenom odgovornošću za trgovinu i usluge, OIB 21012373533, Ružina 41,31000 Osijek</item>
      <item>RH MF PU PODRUČNI URED OSIJEK, OIB 18683136487</item>
    </izvorni_sadrzaj>
    <derivirana_varijabla naziv="DomainObject.Predmet.SudioniciListAdressOIB_1">
      <item>FLEIS PROMET jednostavno društvo s ograničenom odgovornošću za trgovinu i usluge, OIB 21012373533, Ružina 41,31000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21012373533</item>
      <item>, OIB 18683136487</item>
    </izvorni_sadrzaj>
    <derivirana_varijabla naziv="DomainObject.Predmet.SudioniciListNazivOIB_1">
      <item>, OIB 21012373533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61AD4C-0CAE-497C-B303-1D175C2DE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688</properties:Words>
  <properties:Characters>3580</properties:Characters>
  <properties:Lines>146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2018-05-14T06:04:00Z</dcterms:created>
  <dc:creator>hermanj</dc:creator>
  <cp:lastModifiedBy>Danijela Sekulić</cp:lastModifiedBy>
  <cp:lastPrinted>2018-05-14T06:03:00Z</cp:lastPrinted>
  <dcterms:modified xmlns:xsi="http://www.w3.org/2001/XMLSchema-instance" xsi:type="dcterms:W3CDTF">2018-05-14T06:05:00Z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(TOMAC.docx)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