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2ce9f" w14:paraId="bd2ce9f" w:rsidRDefault="005F7730" w:rsidP="005F7730" w:rsidR="005F7730" w:rsidRPr="00C11472">
      <w:pPr>
        <w:pStyle w:val="Tijeloteksta"/>
        <w:jc w:val="both"/>
        <w:outlineLvl w:val="0"/>
        <w15:collapsed w:val="false"/>
        <w:rPr>
          <w:rFonts w:cs="Times New Roman" w:hAnsi="Times New Roman" w:ascii="Times New Roman"/>
          <w:sz w:val="24"/>
        </w:rPr>
      </w:pPr>
      <w:bookmarkStart w:name="_GoBack" w:id="0"/>
      <w:bookmarkEnd w:id="0"/>
      <w:r w:rsidRPr="00C11472">
        <w:rPr>
          <w:rFonts w:cs="Times New Roman" w:hAnsi="Times New Roman" w:ascii="Times New Roman"/>
          <w:sz w:val="24"/>
        </w:rPr>
        <w:t xml:space="preserve">                </w:t>
      </w:r>
      <w:r w:rsidRPr="00C11472">
        <w:rPr>
          <w:rFonts w:cs="Times New Roman" w:hAnsi="Times New Roman" w:ascii="Times New Roman"/>
          <w:noProof/>
          <w:sz w:val="24"/>
        </w:rPr>
        <w:t xml:space="preserve">    </w:t>
      </w:r>
      <w:r w:rsidRPr="00C11472">
        <w:rPr>
          <w:rFonts w:cs="Times New Roman" w:hAnsi="Times New Roman" w:ascii="Times New Roman"/>
          <w:noProof/>
          <w:sz w:val="24"/>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Pr="00C11472">
        <w:rPr>
          <w:rFonts w:cs="Times New Roman" w:hAnsi="Times New Roman" w:ascii="Times New Roman"/>
          <w:sz w:val="24"/>
        </w:rPr>
        <w:t xml:space="preserve"> </w:t>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r>
      <w:r w:rsidRPr="00C11472">
        <w:rPr>
          <w:rFonts w:cs="Times New Roman" w:hAnsi="Times New Roman" w:ascii="Times New Roman"/>
          <w:sz w:val="24"/>
        </w:rPr>
        <w:tab/>
        <w:t>20. St-4917/16-13</w:t>
      </w:r>
    </w:p>
    <w:tbl>
      <w:tblPr>
        <w:tblpPr w:tblpY="1" w:vertAnchor="text" w:rightFromText="180" w:leftFromText="180"/>
        <w:tblOverlap w:val="never"/>
        <w:tblW w:type="auto" w:w="0"/>
        <w:tblLook w:val="01E0" w:noVBand="0" w:noHBand="0" w:lastColumn="1" w:firstColumn="1" w:lastRow="1" w:firstRow="1"/>
      </w:tblPr>
      <w:tblGrid>
        <w:gridCol w:w="3398"/>
      </w:tblGrid>
      <w:tr w:rsidTr="005173AB" w:rsidR="005F7730" w:rsidRPr="00C11472">
        <w:trPr>
          <w:trHeight w:val="1427"/>
        </w:trPr>
        <w:tc>
          <w:tcPr>
            <w:tcW w:type="dxa" w:w="3398"/>
          </w:tcPr>
          <w:p w:rsidRDefault="005F7730" w:rsidP="005173AB" w:rsidR="005F7730" w:rsidRPr="00C11472">
            <w:pPr>
              <w:pStyle w:val="Naslov2"/>
              <w:rPr>
                <w:b w:val="false"/>
                <w:bCs w:val="false"/>
                <w:sz w:val="24"/>
                <w:lang w:eastAsia="en-US"/>
              </w:rPr>
            </w:pPr>
          </w:p>
          <w:p w:rsidRDefault="005F7730" w:rsidP="005173AB" w:rsidR="005F7730" w:rsidRPr="00C11472">
            <w:pPr>
              <w:pStyle w:val="Naslov2"/>
              <w:rPr>
                <w:b w:val="false"/>
                <w:bCs w:val="false"/>
                <w:sz w:val="24"/>
                <w:lang w:eastAsia="en-US"/>
              </w:rPr>
            </w:pPr>
            <w:r w:rsidRPr="00C11472">
              <w:rPr>
                <w:b w:val="false"/>
                <w:bCs w:val="false"/>
                <w:sz w:val="24"/>
                <w:lang w:eastAsia="en-US"/>
              </w:rPr>
              <w:t>REPUBLIKA HRVATSKA</w:t>
            </w:r>
          </w:p>
          <w:p w:rsidRDefault="005F7730" w:rsidP="005173AB" w:rsidR="005F7730" w:rsidRPr="00C11472">
            <w:pPr>
              <w:jc w:val="center"/>
              <w:rPr>
                <w:sz w:val="24"/>
                <w:szCs w:val="24"/>
                <w:lang w:eastAsia="en-US"/>
              </w:rPr>
            </w:pPr>
            <w:r w:rsidRPr="00C11472">
              <w:rPr>
                <w:sz w:val="24"/>
                <w:szCs w:val="24"/>
                <w:lang w:eastAsia="en-US"/>
              </w:rPr>
              <w:t>Trgovački sud u Zagrebu</w:t>
            </w:r>
          </w:p>
          <w:p w:rsidRDefault="005F7730" w:rsidP="005173AB" w:rsidR="005F7730" w:rsidRPr="00C11472">
            <w:pPr>
              <w:jc w:val="center"/>
              <w:rPr>
                <w:sz w:val="24"/>
                <w:szCs w:val="24"/>
                <w:lang w:eastAsia="en-US"/>
              </w:rPr>
            </w:pPr>
            <w:r w:rsidRPr="00C11472">
              <w:rPr>
                <w:sz w:val="24"/>
                <w:szCs w:val="24"/>
                <w:lang w:eastAsia="en-US"/>
              </w:rPr>
              <w:t>Zagreb, Amruševa 2/II (pp.432)</w:t>
            </w:r>
          </w:p>
        </w:tc>
      </w:tr>
    </w:tbl>
    <w:p w:rsidRDefault="005F7730" w:rsidP="005F7730" w:rsidR="005F7730" w:rsidRPr="00C11472">
      <w:pPr>
        <w:rPr>
          <w:b/>
          <w:sz w:val="24"/>
          <w:szCs w:val="24"/>
        </w:rPr>
      </w:pPr>
      <w:r w:rsidRPr="00C11472">
        <w:rPr>
          <w:b/>
          <w:sz w:val="24"/>
          <w:szCs w:val="24"/>
        </w:rPr>
        <w:br w:clear="all" w:type="textWrapping"/>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b/>
          <w:sz w:val="24"/>
          <w:szCs w:val="24"/>
        </w:rPr>
        <w:tab/>
      </w:r>
      <w:r w:rsidRPr="00C11472">
        <w:rPr>
          <w:sz w:val="24"/>
          <w:szCs w:val="24"/>
        </w:rPr>
        <w:tab/>
      </w:r>
      <w:r w:rsidRPr="00C11472">
        <w:rPr>
          <w:sz w:val="24"/>
          <w:szCs w:val="24"/>
        </w:rPr>
        <w:tab/>
        <w:t xml:space="preserve">               </w:t>
      </w:r>
    </w:p>
    <w:p w:rsidRDefault="005F7730" w:rsidP="005F7730" w:rsidR="005F7730" w:rsidRPr="00C11472">
      <w:pPr>
        <w:jc w:val="center"/>
        <w:rPr>
          <w:sz w:val="24"/>
          <w:szCs w:val="24"/>
        </w:rPr>
      </w:pPr>
      <w:r w:rsidRPr="00C11472">
        <w:rPr>
          <w:sz w:val="24"/>
          <w:szCs w:val="24"/>
        </w:rPr>
        <w:t xml:space="preserve">R E P U B L I K A   H R V A T S K A </w:t>
      </w:r>
    </w:p>
    <w:p w:rsidRDefault="005F7730" w:rsidP="005F7730" w:rsidR="005F7730" w:rsidRPr="00C11472">
      <w:pPr>
        <w:ind w:left="2880"/>
        <w:jc w:val="right"/>
        <w:rPr>
          <w:sz w:val="24"/>
          <w:szCs w:val="24"/>
        </w:rPr>
      </w:pPr>
    </w:p>
    <w:p w:rsidRDefault="005F7730" w:rsidP="005F7730" w:rsidR="005F7730" w:rsidRPr="00C11472">
      <w:pPr>
        <w:jc w:val="center"/>
        <w:rPr>
          <w:sz w:val="24"/>
          <w:szCs w:val="24"/>
        </w:rPr>
      </w:pPr>
      <w:r w:rsidRPr="00C11472">
        <w:rPr>
          <w:sz w:val="24"/>
          <w:szCs w:val="24"/>
        </w:rPr>
        <w:t>R J E Š E NJ E</w:t>
      </w:r>
    </w:p>
    <w:p w:rsidRDefault="005F7730" w:rsidP="005F7730" w:rsidR="005F7730" w:rsidRPr="00C11472">
      <w:pPr>
        <w:jc w:val="both"/>
        <w:rPr>
          <w:sz w:val="24"/>
          <w:szCs w:val="24"/>
        </w:rPr>
      </w:pPr>
      <w:r w:rsidRPr="00C11472">
        <w:rPr>
          <w:sz w:val="24"/>
          <w:szCs w:val="24"/>
        </w:rPr>
        <w:tab/>
      </w:r>
    </w:p>
    <w:p w:rsidRDefault="005F7730" w:rsidP="005F7730" w:rsidR="005F7730" w:rsidRPr="00C11472">
      <w:pPr>
        <w:ind w:firstLine="708"/>
        <w:jc w:val="both"/>
        <w:rPr>
          <w:sz w:val="24"/>
          <w:szCs w:val="24"/>
        </w:rPr>
      </w:pPr>
      <w:r w:rsidRPr="00C11472">
        <w:rPr>
          <w:sz w:val="24"/>
          <w:szCs w:val="24"/>
        </w:rPr>
        <w:t>TRGOVAČKI SUD U ZAGREBU, po sucu pojedincu Luciji Butigan, postupajući po prijedlogu Financijske agencije Zagreb, Regionalni centar Zagreb, Trg svibanjskih žrtava 1995. 1, u stečajnom postupku nad dužnikom PROMES, mesarsko kobasičarsko društvo s ograničenom odgovornošću, Zagreb, Ilica 204, OIB: 78689255854, dana 24. studenog 2017.</w:t>
      </w:r>
    </w:p>
    <w:p w:rsidRDefault="005F7730" w:rsidP="005F7730" w:rsidR="005F7730" w:rsidRPr="00C11472">
      <w:pPr>
        <w:jc w:val="both"/>
        <w:rPr>
          <w:b/>
          <w:sz w:val="24"/>
          <w:szCs w:val="24"/>
        </w:rPr>
      </w:pPr>
    </w:p>
    <w:p w:rsidRDefault="005F7730" w:rsidP="005F7730" w:rsidR="005F7730" w:rsidRPr="00C11472">
      <w:pPr>
        <w:jc w:val="center"/>
        <w:rPr>
          <w:sz w:val="24"/>
          <w:szCs w:val="24"/>
        </w:rPr>
      </w:pPr>
      <w:r w:rsidRPr="00C11472">
        <w:rPr>
          <w:sz w:val="24"/>
          <w:szCs w:val="24"/>
        </w:rPr>
        <w:t xml:space="preserve">r i j e š i o    j e </w:t>
      </w:r>
    </w:p>
    <w:p w:rsidRDefault="005F7730" w:rsidP="005F7730" w:rsidR="005F7730" w:rsidRPr="00C11472">
      <w:pPr>
        <w:jc w:val="both"/>
        <w:rPr>
          <w:b/>
          <w:color w:val="000000"/>
          <w:sz w:val="24"/>
          <w:szCs w:val="24"/>
        </w:rPr>
      </w:pPr>
    </w:p>
    <w:p w:rsidRDefault="005F7730" w:rsidP="005F7730" w:rsidR="005F7730">
      <w:pPr>
        <w:pStyle w:val="Odlomakpopisa"/>
        <w:numPr>
          <w:ilvl w:val="0"/>
          <w:numId w:val="2"/>
        </w:numPr>
        <w:overflowPunct/>
        <w:autoSpaceDE/>
        <w:autoSpaceDN/>
        <w:adjustRightInd/>
        <w:ind w:hanging="709" w:left="709"/>
        <w:contextualSpacing w:val="false"/>
        <w:jc w:val="both"/>
        <w:rPr>
          <w:color w:val="000000"/>
          <w:sz w:val="24"/>
          <w:szCs w:val="24"/>
        </w:rPr>
      </w:pPr>
      <w:r w:rsidRPr="005F7730">
        <w:rPr>
          <w:color w:val="000000"/>
          <w:sz w:val="24"/>
          <w:szCs w:val="24"/>
        </w:rPr>
        <w:t xml:space="preserve">U prethodnom postupku pokrenutim nad dužnikom </w:t>
      </w:r>
      <w:r w:rsidRPr="005F7730">
        <w:rPr>
          <w:sz w:val="24"/>
          <w:szCs w:val="24"/>
        </w:rPr>
        <w:t>PROMES, mesarsko kobasičarsko društvo s ograničenom odgovornošću, Zagreb, Ilica 204, OIB: 78689255854</w:t>
      </w:r>
      <w:r w:rsidRPr="005F7730">
        <w:rPr>
          <w:color w:val="000000"/>
          <w:sz w:val="24"/>
          <w:szCs w:val="24"/>
        </w:rPr>
        <w:t>, za privremenog stečajnog upravitelja imenuje se Krešimir Fučkar, Sladojevci, Braće Radića 63, OIB: 01195634741.</w:t>
      </w:r>
    </w:p>
    <w:p w:rsidRDefault="00EA681A" w:rsidP="00EA681A" w:rsidR="00EA681A" w:rsidRPr="005F7730">
      <w:pPr>
        <w:pStyle w:val="Odlomakpopisa"/>
        <w:overflowPunct/>
        <w:autoSpaceDE/>
        <w:autoSpaceDN/>
        <w:adjustRightInd/>
        <w:ind w:left="709"/>
        <w:contextualSpacing w:val="false"/>
        <w:jc w:val="both"/>
        <w:rPr>
          <w:color w:val="000000"/>
          <w:sz w:val="24"/>
          <w:szCs w:val="24"/>
        </w:rPr>
      </w:pPr>
    </w:p>
    <w:p w:rsidRDefault="005F7730" w:rsidP="005F7730" w:rsidR="005F7730">
      <w:pPr>
        <w:pStyle w:val="Odlomakpopisa"/>
        <w:numPr>
          <w:ilvl w:val="0"/>
          <w:numId w:val="2"/>
        </w:numPr>
        <w:overflowPunct/>
        <w:autoSpaceDE/>
        <w:autoSpaceDN/>
        <w:adjustRightInd/>
        <w:ind w:left="709"/>
        <w:contextualSpacing w:val="false"/>
        <w:jc w:val="both"/>
        <w:rPr>
          <w:color w:val="000000"/>
          <w:sz w:val="24"/>
          <w:szCs w:val="24"/>
        </w:rPr>
      </w:pPr>
      <w:r w:rsidRPr="005F7730">
        <w:rPr>
          <w:color w:val="000000"/>
          <w:sz w:val="24"/>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A681A" w:rsidP="00EA681A" w:rsidR="00EA681A" w:rsidRPr="005F7730">
      <w:pPr>
        <w:pStyle w:val="Odlomakpopisa"/>
        <w:overflowPunct/>
        <w:autoSpaceDE/>
        <w:autoSpaceDN/>
        <w:adjustRightInd/>
        <w:ind w:left="709"/>
        <w:contextualSpacing w:val="false"/>
        <w:jc w:val="both"/>
        <w:rPr>
          <w:color w:val="000000"/>
          <w:sz w:val="24"/>
          <w:szCs w:val="24"/>
        </w:rPr>
      </w:pPr>
    </w:p>
    <w:p w:rsidRDefault="005F7730" w:rsidP="005F7730" w:rsidR="005F7730">
      <w:pPr>
        <w:pStyle w:val="Odlomakpopisa"/>
        <w:numPr>
          <w:ilvl w:val="0"/>
          <w:numId w:val="2"/>
        </w:numPr>
        <w:overflowPunct/>
        <w:autoSpaceDE/>
        <w:autoSpaceDN/>
        <w:adjustRightInd/>
        <w:ind w:left="709"/>
        <w:contextualSpacing w:val="false"/>
        <w:jc w:val="both"/>
        <w:rPr>
          <w:color w:val="000000"/>
          <w:sz w:val="24"/>
          <w:szCs w:val="24"/>
        </w:rPr>
      </w:pPr>
      <w:r w:rsidRPr="005F7730">
        <w:rPr>
          <w:color w:val="000000"/>
          <w:sz w:val="24"/>
          <w:szCs w:val="24"/>
        </w:rPr>
        <w:t xml:space="preserve">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w:t>
      </w:r>
      <w:r>
        <w:rPr>
          <w:color w:val="000000"/>
          <w:sz w:val="24"/>
          <w:szCs w:val="24"/>
        </w:rPr>
        <w:t>zaključenje stečajnog postupka.</w:t>
      </w:r>
    </w:p>
    <w:p w:rsidRDefault="00EA681A" w:rsidP="00EA681A" w:rsidR="00EA681A" w:rsidRPr="00EA681A">
      <w:pPr>
        <w:pStyle w:val="Odlomakpopisa"/>
        <w:rPr>
          <w:color w:val="000000"/>
          <w:sz w:val="24"/>
          <w:szCs w:val="24"/>
        </w:rPr>
      </w:pPr>
    </w:p>
    <w:p w:rsidRDefault="005F7730" w:rsidP="005F7730" w:rsidR="005F7730" w:rsidRPr="005F7730">
      <w:pPr>
        <w:pStyle w:val="Odlomakpopisa"/>
        <w:numPr>
          <w:ilvl w:val="0"/>
          <w:numId w:val="2"/>
        </w:numPr>
        <w:overflowPunct/>
        <w:autoSpaceDE/>
        <w:autoSpaceDN/>
        <w:adjustRightInd/>
        <w:ind w:left="709"/>
        <w:contextualSpacing w:val="false"/>
        <w:jc w:val="both"/>
        <w:rPr>
          <w:color w:val="000000"/>
          <w:sz w:val="24"/>
          <w:szCs w:val="24"/>
        </w:rPr>
      </w:pPr>
      <w:r w:rsidRPr="005F7730">
        <w:rPr>
          <w:color w:val="000000"/>
          <w:sz w:val="24"/>
          <w:szCs w:val="24"/>
        </w:rPr>
        <w:t>Zakazuje se ročište radi rasprave o pretpostavkama za otvaranje stečajnog postupka kod dužnika za dan:</w:t>
      </w:r>
    </w:p>
    <w:p w:rsidRDefault="005F7730" w:rsidP="005F7730" w:rsidR="005F7730">
      <w:pPr>
        <w:pStyle w:val="Odlomakpopisa"/>
        <w:ind w:left="709"/>
        <w:jc w:val="both"/>
        <w:rPr>
          <w:color w:val="000000"/>
          <w:sz w:val="24"/>
          <w:szCs w:val="24"/>
        </w:rPr>
      </w:pPr>
    </w:p>
    <w:p w:rsidRDefault="00EA681A" w:rsidP="005F7730" w:rsidR="00EA681A" w:rsidRPr="00C11472">
      <w:pPr>
        <w:pStyle w:val="Odlomakpopisa"/>
        <w:ind w:left="709"/>
        <w:jc w:val="both"/>
        <w:rPr>
          <w:color w:val="000000"/>
          <w:sz w:val="24"/>
          <w:szCs w:val="24"/>
        </w:rPr>
      </w:pPr>
    </w:p>
    <w:p w:rsidRDefault="005F7730" w:rsidP="005F7730" w:rsidR="005F7730">
      <w:pPr>
        <w:ind w:firstLine="720"/>
        <w:jc w:val="center"/>
        <w:rPr>
          <w:b/>
          <w:color w:val="000000"/>
          <w:sz w:val="24"/>
          <w:szCs w:val="24"/>
          <w:u w:val="single"/>
        </w:rPr>
      </w:pPr>
      <w:r>
        <w:rPr>
          <w:b/>
          <w:color w:val="000000"/>
          <w:sz w:val="24"/>
          <w:szCs w:val="24"/>
          <w:u w:val="single"/>
        </w:rPr>
        <w:t>7</w:t>
      </w:r>
      <w:r w:rsidRPr="00C11472">
        <w:rPr>
          <w:b/>
          <w:color w:val="000000"/>
          <w:sz w:val="24"/>
          <w:szCs w:val="24"/>
          <w:u w:val="single"/>
        </w:rPr>
        <w:t xml:space="preserve">. </w:t>
      </w:r>
      <w:r>
        <w:rPr>
          <w:b/>
          <w:color w:val="000000"/>
          <w:sz w:val="24"/>
          <w:szCs w:val="24"/>
          <w:u w:val="single"/>
        </w:rPr>
        <w:t>veljače</w:t>
      </w:r>
      <w:r w:rsidRPr="00C11472">
        <w:rPr>
          <w:b/>
          <w:color w:val="000000"/>
          <w:sz w:val="24"/>
          <w:szCs w:val="24"/>
          <w:u w:val="single"/>
        </w:rPr>
        <w:t xml:space="preserve"> 201</w:t>
      </w:r>
      <w:r>
        <w:rPr>
          <w:b/>
          <w:color w:val="000000"/>
          <w:sz w:val="24"/>
          <w:szCs w:val="24"/>
          <w:u w:val="single"/>
        </w:rPr>
        <w:t>8</w:t>
      </w:r>
      <w:r w:rsidRPr="00C11472">
        <w:rPr>
          <w:b/>
          <w:color w:val="000000"/>
          <w:sz w:val="24"/>
          <w:szCs w:val="24"/>
          <w:u w:val="single"/>
        </w:rPr>
        <w:t xml:space="preserve">. godine u </w:t>
      </w:r>
      <w:r>
        <w:rPr>
          <w:b/>
          <w:color w:val="000000"/>
          <w:sz w:val="24"/>
          <w:szCs w:val="24"/>
          <w:u w:val="single"/>
        </w:rPr>
        <w:t>9</w:t>
      </w:r>
      <w:r w:rsidRPr="00C11472">
        <w:rPr>
          <w:b/>
          <w:color w:val="000000"/>
          <w:sz w:val="24"/>
          <w:szCs w:val="24"/>
          <w:u w:val="single"/>
        </w:rPr>
        <w:t>,</w:t>
      </w:r>
      <w:r>
        <w:rPr>
          <w:b/>
          <w:color w:val="000000"/>
          <w:sz w:val="24"/>
          <w:szCs w:val="24"/>
          <w:u w:val="single"/>
        </w:rPr>
        <w:t>30</w:t>
      </w:r>
      <w:r w:rsidRPr="00C11472">
        <w:rPr>
          <w:b/>
          <w:color w:val="000000"/>
          <w:sz w:val="24"/>
          <w:szCs w:val="24"/>
          <w:u w:val="single"/>
        </w:rPr>
        <w:t xml:space="preserve"> sati</w:t>
      </w:r>
    </w:p>
    <w:p w:rsidRDefault="00EA681A" w:rsidP="005F7730" w:rsidR="00EA681A" w:rsidRPr="00C11472">
      <w:pPr>
        <w:ind w:firstLine="720"/>
        <w:jc w:val="center"/>
        <w:rPr>
          <w:b/>
          <w:color w:val="000000"/>
          <w:sz w:val="24"/>
          <w:szCs w:val="24"/>
          <w:u w:val="single"/>
        </w:rPr>
      </w:pPr>
    </w:p>
    <w:p w:rsidRDefault="005F7730" w:rsidP="005F7730" w:rsidR="005F7730" w:rsidRPr="00C11472">
      <w:pPr>
        <w:ind w:firstLine="720"/>
        <w:jc w:val="center"/>
        <w:rPr>
          <w:color w:val="000000"/>
          <w:sz w:val="24"/>
          <w:szCs w:val="24"/>
        </w:rPr>
      </w:pPr>
    </w:p>
    <w:p w:rsidRDefault="005F7730" w:rsidP="005F7730" w:rsidR="005F7730" w:rsidRPr="00C11472">
      <w:pPr>
        <w:ind w:firstLine="720"/>
        <w:jc w:val="both"/>
        <w:rPr>
          <w:color w:val="000000"/>
          <w:sz w:val="24"/>
          <w:szCs w:val="24"/>
        </w:rPr>
      </w:pPr>
      <w:r w:rsidRPr="00C11472">
        <w:rPr>
          <w:color w:val="000000"/>
          <w:sz w:val="24"/>
          <w:szCs w:val="24"/>
        </w:rPr>
        <w:t>na Trgovačkom sudu u Zagrebu, soba 91 (II kat) u zgradi ovog suda u Zagrebu, Petrinjska 8, na koje se pozivaju dostavom ovog rješenja:</w:t>
      </w:r>
    </w:p>
    <w:p w:rsidRDefault="005F7730" w:rsidP="005F7730" w:rsidR="005F7730" w:rsidRPr="00C11472">
      <w:pPr>
        <w:ind w:firstLine="720"/>
        <w:jc w:val="both"/>
        <w:rPr>
          <w:color w:val="000000"/>
          <w:sz w:val="24"/>
          <w:szCs w:val="24"/>
        </w:rPr>
      </w:pPr>
    </w:p>
    <w:p w:rsidRDefault="005F7730" w:rsidP="005F7730" w:rsidR="005F7730"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Predlagatelj, Financijska agencija,</w:t>
      </w:r>
    </w:p>
    <w:p w:rsidRDefault="005F7730" w:rsidP="005F7730" w:rsidR="005F7730"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Privremeni stečajni upravitelj </w:t>
      </w:r>
    </w:p>
    <w:p w:rsidRDefault="005F7730" w:rsidP="005F7730" w:rsidR="005F7730"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lastRenderedPageBreak/>
        <w:t>Dužnik</w:t>
      </w:r>
    </w:p>
    <w:p w:rsidRDefault="005F7730" w:rsidP="005F7730" w:rsidR="005F7730" w:rsidRPr="00C11472">
      <w:pPr>
        <w:pStyle w:val="Odlomakpopisa"/>
        <w:numPr>
          <w:ilvl w:val="0"/>
          <w:numId w:val="3"/>
        </w:numPr>
        <w:overflowPunct/>
        <w:autoSpaceDE/>
        <w:autoSpaceDN/>
        <w:adjustRightInd/>
        <w:contextualSpacing w:val="false"/>
        <w:rPr>
          <w:color w:val="000000"/>
          <w:sz w:val="24"/>
          <w:szCs w:val="24"/>
        </w:rPr>
      </w:pPr>
      <w:r w:rsidRPr="00C11472">
        <w:rPr>
          <w:color w:val="000000"/>
          <w:sz w:val="24"/>
          <w:szCs w:val="24"/>
        </w:rPr>
        <w:t xml:space="preserve">Zakonski zastupnik dužnika </w:t>
      </w:r>
      <w:r>
        <w:rPr>
          <w:color w:val="000000"/>
          <w:sz w:val="24"/>
          <w:szCs w:val="24"/>
        </w:rPr>
        <w:t>Igor Serdarević, Zagreb, Trg Senskih uskoka 7</w:t>
      </w:r>
    </w:p>
    <w:p w:rsidRDefault="005F7730" w:rsidP="005F7730" w:rsidR="005F7730">
      <w:pPr>
        <w:jc w:val="center"/>
        <w:rPr>
          <w:color w:val="000000"/>
          <w:sz w:val="24"/>
          <w:szCs w:val="24"/>
        </w:rPr>
      </w:pPr>
    </w:p>
    <w:p w:rsidRDefault="005F7730" w:rsidP="005F7730" w:rsidR="005F7730">
      <w:pPr>
        <w:jc w:val="center"/>
        <w:rPr>
          <w:color w:val="000000"/>
          <w:sz w:val="24"/>
          <w:szCs w:val="24"/>
        </w:rPr>
      </w:pPr>
    </w:p>
    <w:p w:rsidRDefault="00EA681A" w:rsidP="005F7730" w:rsidR="005F7730">
      <w:pPr>
        <w:jc w:val="center"/>
        <w:rPr>
          <w:color w:val="000000"/>
          <w:sz w:val="24"/>
          <w:szCs w:val="24"/>
        </w:rPr>
      </w:pPr>
      <w:r>
        <w:rPr>
          <w:color w:val="000000"/>
          <w:sz w:val="24"/>
          <w:szCs w:val="24"/>
        </w:rPr>
        <w:t>Obrazloženje</w:t>
      </w:r>
    </w:p>
    <w:p w:rsidRDefault="00EA681A" w:rsidP="005F7730" w:rsidR="00EA681A" w:rsidRPr="00C11472">
      <w:pPr>
        <w:jc w:val="center"/>
        <w:rPr>
          <w:color w:val="000000"/>
          <w:sz w:val="24"/>
          <w:szCs w:val="24"/>
        </w:rPr>
      </w:pPr>
    </w:p>
    <w:p w:rsidRDefault="005F7730" w:rsidP="005F7730" w:rsidR="005F7730">
      <w:pPr>
        <w:ind w:firstLine="709"/>
        <w:jc w:val="both"/>
        <w:rPr>
          <w:sz w:val="24"/>
          <w:szCs w:val="24"/>
        </w:rPr>
      </w:pPr>
      <w:r w:rsidRPr="00C11472">
        <w:rPr>
          <w:color w:val="000000"/>
          <w:sz w:val="24"/>
          <w:szCs w:val="24"/>
        </w:rPr>
        <w:tab/>
      </w:r>
      <w:r>
        <w:rPr>
          <w:sz w:val="24"/>
          <w:szCs w:val="24"/>
        </w:rPr>
        <w:t>Financijska agencija, Regionalni centar Zagreb, podnijela je ovom sudu prijedlog za otvaranje stečajnog postupka nad dužnikom PROMES, mesarsko kobasičarsko društvo s ograničenom odgovornošću, Zagreb, Ilica 204, OIB: 78689255854.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5F7730" w:rsidP="005F7730" w:rsidR="005F7730">
      <w:pPr>
        <w:pStyle w:val="Odlomakpopisa"/>
        <w:numPr>
          <w:ilvl w:val="0"/>
          <w:numId w:val="5"/>
        </w:numPr>
        <w:jc w:val="both"/>
        <w:rPr>
          <w:sz w:val="24"/>
          <w:szCs w:val="24"/>
        </w:rPr>
      </w:pPr>
      <w:r>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5F7730" w:rsidP="005F7730" w:rsidR="005F7730">
      <w:pPr>
        <w:pStyle w:val="Odlomakpopisa"/>
        <w:numPr>
          <w:ilvl w:val="0"/>
          <w:numId w:val="5"/>
        </w:numPr>
        <w:jc w:val="both"/>
        <w:rPr>
          <w:sz w:val="24"/>
          <w:szCs w:val="24"/>
        </w:rPr>
      </w:pPr>
      <w:r>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5F7730" w:rsidP="005F7730" w:rsidR="005F7730">
      <w:pPr>
        <w:ind w:firstLine="709"/>
        <w:jc w:val="both"/>
        <w:rPr>
          <w:sz w:val="24"/>
          <w:szCs w:val="24"/>
        </w:rPr>
      </w:pPr>
      <w:r>
        <w:rPr>
          <w:sz w:val="24"/>
          <w:szCs w:val="24"/>
        </w:rPr>
        <w:t xml:space="preserve">Financijska agencija, kao predlagatelj, navela je u prijedlogu za otvaranje stečajnog postupka kako dužnik PROMES, mesarsko kobasičarsko društvo s ograničenom odgovornošću, Zagreb, Ilica 204, OIB: 78689255854, na dan 1. rujna 2015. u Očevidniku redoslijeda osnova za plaćanje ima evidentirane neizvršene osnove za plaćanje u neprekinutom razdoblju od 4874 dana, u ukupnom iznosu od 5.442.383,28 kn, kao i da dužnik ima 2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F7730" w:rsidP="005F7730" w:rsidR="005F7730" w:rsidRPr="00C11472">
      <w:pPr>
        <w:ind w:firstLine="708"/>
        <w:jc w:val="both"/>
        <w:rPr>
          <w:color w:val="000000"/>
          <w:sz w:val="24"/>
          <w:szCs w:val="24"/>
        </w:rPr>
      </w:pPr>
      <w:r w:rsidRPr="00C11472">
        <w:rPr>
          <w:color w:val="000000"/>
          <w:sz w:val="24"/>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5F7730" w:rsidP="005F7730" w:rsidR="005F7730" w:rsidRPr="005F7730">
      <w:pPr>
        <w:ind w:firstLine="720"/>
        <w:jc w:val="both"/>
        <w:rPr>
          <w:color w:val="000000"/>
          <w:sz w:val="24"/>
          <w:szCs w:val="24"/>
        </w:rPr>
      </w:pPr>
      <w:r w:rsidRPr="00C11472">
        <w:rPr>
          <w:color w:val="000000"/>
          <w:sz w:val="24"/>
          <w:szCs w:val="24"/>
        </w:rPr>
        <w:t xml:space="preserve">Na ročištu radi očitovanja </w:t>
      </w:r>
      <w:r>
        <w:rPr>
          <w:color w:val="000000"/>
          <w:sz w:val="24"/>
          <w:szCs w:val="24"/>
        </w:rPr>
        <w:t xml:space="preserve">predlagatelj se pisano očitovao da ostaje kod podnesenog prijedloga za otvaranje </w:t>
      </w:r>
      <w:r w:rsidRPr="005F7730">
        <w:rPr>
          <w:color w:val="000000"/>
          <w:sz w:val="24"/>
          <w:szCs w:val="24"/>
        </w:rPr>
        <w:t xml:space="preserve">stečajnog postupka. Zakonski zastupnik dužnika očitovao se da je djelatnost dužnika bila prerada i prodaja mesnih proizvoda, ali da se djelatnost ne obavlja još od 1995. godine, a sve to iz tehničkih razloga, te da u odnosu na imovinu dužnika se vode postupci, odnosno postupak radi povrata imovine, a koja odluka još uvijek nije konačna. </w:t>
      </w:r>
    </w:p>
    <w:p w:rsidRDefault="005F7730" w:rsidP="005F7730" w:rsidR="005F7730" w:rsidRPr="005F7730">
      <w:pPr>
        <w:ind w:firstLine="720"/>
        <w:jc w:val="both"/>
        <w:rPr>
          <w:sz w:val="24"/>
          <w:szCs w:val="24"/>
        </w:rPr>
      </w:pPr>
      <w:r w:rsidRPr="005F7730">
        <w:rPr>
          <w:sz w:val="24"/>
          <w:szCs w:val="24"/>
        </w:rPr>
        <w:t>Sud je imenovao privremenog stečajnog upravitelja sukladno čl. 118. st. 2. toč. 1., čl. 119. st. 2. toč. 6. SZ-a, a u svezi s čl. 84. st. 1. SZ-a, odnosno izbor je izvršen metodom slučajnog odabira s liste A stečajnih upravitelja za područje nadležnog suda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F7730" w:rsidP="005F7730" w:rsidR="005F7730" w:rsidRPr="005F7730">
      <w:pPr>
        <w:ind w:firstLine="720"/>
        <w:jc w:val="both"/>
        <w:rPr>
          <w:sz w:val="24"/>
          <w:szCs w:val="24"/>
        </w:rPr>
      </w:pPr>
      <w:r w:rsidRPr="005F7730">
        <w:rPr>
          <w:sz w:val="24"/>
          <w:szCs w:val="24"/>
        </w:rPr>
        <w:lastRenderedPageBreak/>
        <w:t>Sukladno odredbi članka 128. SZ-a odmah je određeno i drugo ročište radi rasprave o pretpostavkama za otvaranje stečajnog postupka.</w:t>
      </w:r>
    </w:p>
    <w:p w:rsidRDefault="005F7730" w:rsidP="005F7730" w:rsidR="005F7730" w:rsidRPr="005F7730">
      <w:pPr>
        <w:jc w:val="both"/>
        <w:rPr>
          <w:sz w:val="24"/>
          <w:szCs w:val="24"/>
        </w:rPr>
      </w:pPr>
    </w:p>
    <w:p w:rsidRDefault="005F7730" w:rsidP="005F7730" w:rsidR="005F7730" w:rsidRPr="005F7730">
      <w:pPr>
        <w:jc w:val="both"/>
        <w:rPr>
          <w:color w:val="000000"/>
          <w:sz w:val="24"/>
          <w:szCs w:val="24"/>
        </w:rPr>
      </w:pPr>
    </w:p>
    <w:p w:rsidRDefault="005F7730" w:rsidP="005F7730" w:rsidR="005F7730" w:rsidRPr="00C11472">
      <w:pPr>
        <w:jc w:val="center"/>
        <w:rPr>
          <w:color w:val="000000"/>
          <w:sz w:val="24"/>
          <w:szCs w:val="24"/>
        </w:rPr>
      </w:pPr>
      <w:r w:rsidRPr="00C11472">
        <w:rPr>
          <w:color w:val="000000"/>
          <w:sz w:val="24"/>
          <w:szCs w:val="24"/>
        </w:rPr>
        <w:t xml:space="preserve">U  Zagrebu, </w:t>
      </w:r>
      <w:r w:rsidR="00EA681A">
        <w:rPr>
          <w:color w:val="000000"/>
          <w:sz w:val="24"/>
          <w:szCs w:val="24"/>
        </w:rPr>
        <w:t>24</w:t>
      </w:r>
      <w:r w:rsidRPr="00C11472">
        <w:rPr>
          <w:color w:val="000000"/>
          <w:sz w:val="24"/>
          <w:szCs w:val="24"/>
        </w:rPr>
        <w:t xml:space="preserve">. </w:t>
      </w:r>
      <w:r w:rsidR="00EA681A">
        <w:rPr>
          <w:color w:val="000000"/>
          <w:sz w:val="24"/>
          <w:szCs w:val="24"/>
        </w:rPr>
        <w:t>studenog</w:t>
      </w:r>
      <w:r w:rsidRPr="00C11472">
        <w:rPr>
          <w:color w:val="000000"/>
          <w:sz w:val="24"/>
          <w:szCs w:val="24"/>
        </w:rPr>
        <w:t xml:space="preserve"> 2017.</w:t>
      </w:r>
    </w:p>
    <w:p w:rsidRDefault="005F7730" w:rsidP="005F7730" w:rsidR="005F7730" w:rsidRPr="00C11472">
      <w:pPr>
        <w:jc w:val="center"/>
        <w:rPr>
          <w:color w:val="000000"/>
          <w:sz w:val="24"/>
          <w:szCs w:val="24"/>
        </w:rPr>
      </w:pPr>
    </w:p>
    <w:p w:rsidRDefault="005F7730" w:rsidP="005F7730" w:rsidR="005F7730" w:rsidRPr="00C11472">
      <w:pPr>
        <w:jc w:val="center"/>
        <w:rPr>
          <w:color w:val="000000"/>
          <w:sz w:val="24"/>
          <w:szCs w:val="24"/>
        </w:rPr>
      </w:pPr>
    </w:p>
    <w:p w:rsidRDefault="005F7730" w:rsidP="005F7730" w:rsidR="005F7730" w:rsidRPr="00C11472">
      <w:pPr>
        <w:jc w:val="both"/>
        <w:rPr>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w:t>
      </w:r>
      <w:r w:rsidRPr="00C11472">
        <w:rPr>
          <w:color w:val="000000"/>
          <w:sz w:val="24"/>
          <w:szCs w:val="24"/>
        </w:rPr>
        <w:tab/>
        <w:t xml:space="preserve">          SUDAC:</w:t>
      </w:r>
    </w:p>
    <w:p w:rsidRDefault="005F7730" w:rsidP="005F7730" w:rsidR="005F7730" w:rsidRPr="00C11472">
      <w:pPr>
        <w:jc w:val="both"/>
        <w:rPr>
          <w:color w:val="000000"/>
          <w:sz w:val="24"/>
          <w:szCs w:val="24"/>
        </w:rPr>
      </w:pP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LUCIJA BUTIGAN, v.r.</w:t>
      </w:r>
    </w:p>
    <w:p w:rsidRDefault="005F7730" w:rsidP="005F7730" w:rsidR="005F7730" w:rsidRPr="00C11472">
      <w:pPr>
        <w:jc w:val="both"/>
        <w:rPr>
          <w:i/>
          <w:color w:val="000000"/>
          <w:sz w:val="24"/>
          <w:szCs w:val="24"/>
        </w:rPr>
      </w:pPr>
    </w:p>
    <w:p w:rsidRDefault="005F7730" w:rsidP="005F7730" w:rsidR="005F7730" w:rsidRPr="00C11472">
      <w:pPr>
        <w:ind w:left="4332"/>
        <w:rPr>
          <w:color w:val="000000"/>
          <w:sz w:val="24"/>
          <w:szCs w:val="24"/>
          <w:lang w:val="en-GB"/>
        </w:rPr>
      </w:pPr>
      <w:r w:rsidRPr="00C11472">
        <w:rPr>
          <w:color w:val="000000"/>
          <w:sz w:val="24"/>
          <w:szCs w:val="24"/>
        </w:rPr>
        <w:t xml:space="preserve">              Za točnost otpravka-ovlašteni službenik:</w:t>
      </w:r>
    </w:p>
    <w:p w:rsidRDefault="005F7730" w:rsidP="005F7730" w:rsidR="005F7730" w:rsidRPr="00C11472">
      <w:pPr>
        <w:jc w:val="both"/>
        <w:rPr>
          <w:color w:val="000000"/>
          <w:sz w:val="24"/>
          <w:szCs w:val="24"/>
        </w:rPr>
      </w:pPr>
      <w:r w:rsidRPr="00C11472">
        <w:rPr>
          <w:color w:val="000000"/>
          <w:sz w:val="24"/>
          <w:szCs w:val="24"/>
        </w:rPr>
        <w:t xml:space="preserve">  </w:t>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r>
      <w:r w:rsidRPr="00C11472">
        <w:rPr>
          <w:color w:val="000000"/>
          <w:sz w:val="24"/>
          <w:szCs w:val="24"/>
        </w:rPr>
        <w:tab/>
        <w:t xml:space="preserve">                                             (</w:t>
      </w:r>
      <w:r w:rsidR="00EA681A">
        <w:rPr>
          <w:color w:val="000000"/>
          <w:sz w:val="24"/>
          <w:szCs w:val="24"/>
        </w:rPr>
        <w:t>Antonija Fuš</w:t>
      </w:r>
      <w:r w:rsidRPr="00C11472">
        <w:rPr>
          <w:color w:val="000000"/>
          <w:sz w:val="24"/>
          <w:szCs w:val="24"/>
        </w:rPr>
        <w:t>)</w:t>
      </w:r>
    </w:p>
    <w:p w:rsidRDefault="005F7730" w:rsidP="005F7730" w:rsidR="005F7730" w:rsidRPr="00C11472">
      <w:pPr>
        <w:jc w:val="both"/>
        <w:rPr>
          <w:color w:val="000000"/>
          <w:sz w:val="24"/>
          <w:szCs w:val="24"/>
        </w:rPr>
      </w:pPr>
    </w:p>
    <w:p w:rsidRDefault="005F7730" w:rsidP="005F7730" w:rsidR="005F7730" w:rsidRPr="00C11472">
      <w:pPr>
        <w:jc w:val="both"/>
        <w:rPr>
          <w:color w:val="000000"/>
          <w:sz w:val="24"/>
          <w:szCs w:val="24"/>
        </w:rPr>
      </w:pPr>
      <w:r w:rsidRPr="00C11472">
        <w:rPr>
          <w:color w:val="000000"/>
          <w:sz w:val="24"/>
          <w:szCs w:val="24"/>
        </w:rPr>
        <w:t>Uputa o pravnom lijeku:</w:t>
      </w:r>
    </w:p>
    <w:p w:rsidRDefault="005F7730" w:rsidP="005F7730" w:rsidR="005F7730" w:rsidRPr="00C11472">
      <w:pPr>
        <w:jc w:val="both"/>
        <w:rPr>
          <w:color w:val="000000"/>
          <w:sz w:val="24"/>
          <w:szCs w:val="24"/>
        </w:rPr>
      </w:pPr>
      <w:r w:rsidRPr="00C11472">
        <w:rPr>
          <w:color w:val="000000"/>
          <w:sz w:val="24"/>
          <w:szCs w:val="24"/>
        </w:rPr>
        <w:t>Protiv ovog dopuštena je žalba koja se podnosi ovome sudu u tri primjerka u roku od 8 dana od dana dostave prijepisa rješenja, a o istoj odlučuje Visoki trgovački sud RH.</w:t>
      </w:r>
    </w:p>
    <w:p w:rsidRDefault="005F7730" w:rsidP="005F7730" w:rsidR="005F7730" w:rsidRPr="00C11472">
      <w:pPr>
        <w:ind w:left="4332"/>
        <w:rPr>
          <w:color w:val="FFFFFF"/>
          <w:sz w:val="24"/>
          <w:szCs w:val="24"/>
        </w:rPr>
      </w:pPr>
    </w:p>
    <w:p w:rsidRDefault="00EA681A" w:rsidP="00EA681A" w:rsidR="00EA681A">
      <w:pPr>
        <w:jc w:val="center"/>
        <w:rPr>
          <w:color w:val="000000"/>
          <w:sz w:val="24"/>
          <w:szCs w:val="24"/>
        </w:rPr>
      </w:pPr>
    </w:p>
    <w:p w:rsidRDefault="005F7730" w:rsidP="005F7730" w:rsidR="005F7730" w:rsidRPr="00C11472">
      <w:pPr>
        <w:rPr>
          <w:sz w:val="24"/>
          <w:szCs w:val="24"/>
        </w:rPr>
      </w:pPr>
    </w:p>
    <w:p w:rsidRDefault="00E33188" w:rsidR="00E33188"/>
    <w:sectPr w:rsidSect="00EA681A"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81A" w:rsidP="00EA681A" w:rsidR="00EA681A">
      <w:r>
        <w:separator/>
      </w:r>
    </w:p>
  </w:endnote>
  <w:endnote w:id="0" w:type="continuationSeparator">
    <w:p w:rsidRDefault="00EA681A" w:rsidP="00EA681A" w:rsidR="00EA6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81A" w:rsidP="00EA681A" w:rsidR="00EA681A">
      <w:r>
        <w:separator/>
      </w:r>
    </w:p>
  </w:footnote>
  <w:footnote w:id="0" w:type="continuationSeparator">
    <w:p w:rsidRDefault="00EA681A" w:rsidP="00EA681A" w:rsidR="00EA6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81A" w:rsidP="00EA681A" w:rsidR="00EA681A" w:rsidRPr="00EA681A">
    <w:pPr>
      <w:pStyle w:val="Zaglavlje"/>
      <w:tabs>
        <w:tab w:pos="7088" w:val="left"/>
      </w:tabs>
      <w:rPr>
        <w:sz w:val="24"/>
        <w:szCs w:val="24"/>
      </w:rPr>
    </w:pPr>
    <w:r>
      <w:tab/>
    </w:r>
    <w:sdt>
      <w:sdtPr>
        <w:id w:val="1779523985"/>
        <w:docPartObj>
          <w:docPartGallery w:val="Page Numbers (Top of Page)"/>
          <w:docPartUnique/>
        </w:docPartObj>
      </w:sdtPr>
      <w:sdtEndPr>
        <w:rPr>
          <w:sz w:val="24"/>
          <w:szCs w:val="24"/>
        </w:rPr>
      </w:sdtEndPr>
      <w:sdtContent>
        <w:r w:rsidRPr="00EA681A">
          <w:rPr>
            <w:sz w:val="24"/>
            <w:szCs w:val="24"/>
          </w:rPr>
          <w:fldChar w:fldCharType="begin"/>
        </w:r>
        <w:r w:rsidRPr="00EA681A">
          <w:rPr>
            <w:sz w:val="24"/>
            <w:szCs w:val="24"/>
          </w:rPr>
          <w:instrText>PAGE   \* MERGEFORMAT</w:instrText>
        </w:r>
        <w:r w:rsidRPr="00EA681A">
          <w:rPr>
            <w:sz w:val="24"/>
            <w:szCs w:val="24"/>
          </w:rPr>
          <w:fldChar w:fldCharType="separate"/>
        </w:r>
        <w:r w:rsidR="00413727">
          <w:rPr>
            <w:noProof/>
            <w:sz w:val="24"/>
            <w:szCs w:val="24"/>
          </w:rPr>
          <w:t>3</w:t>
        </w:r>
        <w:r w:rsidRPr="00EA681A">
          <w:rPr>
            <w:sz w:val="24"/>
            <w:szCs w:val="24"/>
          </w:rPr>
          <w:fldChar w:fldCharType="end"/>
        </w:r>
      </w:sdtContent>
    </w:sdt>
    <w:r w:rsidRPr="00EA681A">
      <w:rPr>
        <w:sz w:val="24"/>
        <w:szCs w:val="24"/>
      </w:rPr>
      <w:tab/>
      <w:t>20. St-4917/16-13</w:t>
    </w:r>
  </w:p>
  <w:p w:rsidRDefault="00EA681A" w:rsidR="00EA681A" w:rsidRPr="00EA681A">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3">
    <w:nsid w:val="6A185F03"/>
    <w:multiLevelType w:val="hybridMultilevel"/>
    <w:tmpl w:val="FD8681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19D6"/>
    <w:rsid w:val="00331AD6"/>
    <w:rsid w:val="00413727"/>
    <w:rsid w:val="005F7730"/>
    <w:rsid w:val="007E19D6"/>
    <w:rsid w:val="00BE3772"/>
    <w:rsid w:val="00CE0253"/>
    <w:rsid w:val="00D964F7"/>
    <w:rsid w:val="00E33188"/>
    <w:rsid w:val="00EA6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7730"/>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F7730"/>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5F7730"/>
    <w:rPr>
      <w:rFonts w:cs="Times New Roman" w:eastAsia="Times New Roman"/>
      <w:b/>
      <w:bCs/>
      <w:sz w:val="28"/>
      <w:szCs w:val="24"/>
      <w:lang w:eastAsia="hr-HR"/>
    </w:rPr>
  </w:style>
  <w:style w:styleId="Tijeloteksta" w:type="paragraph">
    <w:name w:val="Body Text"/>
    <w:basedOn w:val="Normal"/>
    <w:link w:val="TijelotekstaChar"/>
    <w:semiHidden/>
    <w:unhideWhenUsed/>
    <w:rsid w:val="005F773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5F7730"/>
    <w:rPr>
      <w:rFonts w:cs="Arial" w:eastAsia="Times New Roman" w:hAnsi="Arial" w:ascii="Arial"/>
      <w:sz w:val="22"/>
      <w:szCs w:val="24"/>
      <w:lang w:eastAsia="hr-HR"/>
    </w:rPr>
  </w:style>
  <w:style w:styleId="Odlomakpopisa" w:type="paragraph">
    <w:name w:val="List Paragraph"/>
    <w:basedOn w:val="Normal"/>
    <w:uiPriority w:val="34"/>
    <w:qFormat/>
    <w:rsid w:val="005F7730"/>
    <w:pPr>
      <w:ind w:left="720"/>
      <w:contextualSpacing/>
    </w:pPr>
  </w:style>
  <w:style w:styleId="Tekstbalonia" w:type="paragraph">
    <w:name w:val="Balloon Text"/>
    <w:basedOn w:val="Normal"/>
    <w:link w:val="TekstbaloniaChar"/>
    <w:uiPriority w:val="99"/>
    <w:semiHidden/>
    <w:unhideWhenUsed/>
    <w:rsid w:val="005F77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773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A681A"/>
    <w:pPr>
      <w:tabs>
        <w:tab w:pos="4536" w:val="center"/>
        <w:tab w:pos="9072" w:val="right"/>
      </w:tabs>
    </w:pPr>
  </w:style>
  <w:style w:customStyle="true" w:styleId="ZaglavljeChar" w:type="character">
    <w:name w:val="Zaglavlje Char"/>
    <w:basedOn w:val="Zadanifontodlomka"/>
    <w:link w:val="Zaglavlje"/>
    <w:uiPriority w:val="99"/>
    <w:rsid w:val="00EA681A"/>
    <w:rPr>
      <w:rFonts w:cs="Times New Roman" w:eastAsia="Times New Roman"/>
      <w:sz w:val="20"/>
      <w:szCs w:val="20"/>
      <w:lang w:eastAsia="hr-HR"/>
    </w:rPr>
  </w:style>
  <w:style w:styleId="Podnoje" w:type="paragraph">
    <w:name w:val="footer"/>
    <w:basedOn w:val="Normal"/>
    <w:link w:val="PodnojeChar"/>
    <w:uiPriority w:val="99"/>
    <w:unhideWhenUsed/>
    <w:rsid w:val="00EA681A"/>
    <w:pPr>
      <w:tabs>
        <w:tab w:pos="4536" w:val="center"/>
        <w:tab w:pos="9072" w:val="right"/>
      </w:tabs>
    </w:pPr>
  </w:style>
  <w:style w:customStyle="true" w:styleId="PodnojeChar" w:type="character">
    <w:name w:val="Podnožje Char"/>
    <w:basedOn w:val="Zadanifontodlomka"/>
    <w:link w:val="Podnoje"/>
    <w:uiPriority w:val="99"/>
    <w:rsid w:val="00EA681A"/>
    <w:rPr>
      <w:rFonts w:cs="Times New Roman" w:eastAsia="Times New Roman"/>
      <w:sz w:val="20"/>
      <w:szCs w:val="20"/>
      <w:lang w:eastAsia="hr-HR"/>
    </w:rPr>
  </w:style>
  <w:style w:styleId="Tekstrezerviranogmjesta" w:type="character">
    <w:name w:val="Placeholder Text"/>
    <w:basedOn w:val="Zadanifontodlomka"/>
    <w:uiPriority w:val="99"/>
    <w:semiHidden/>
    <w:rsid w:val="00413727"/>
    <w:rPr>
      <w:color w:val="808080"/>
      <w:bdr w:space="0" w:sz="0" w:color="auto" w:val="none"/>
      <w:shd w:fill="auto" w:color="auto" w:val="clear"/>
    </w:rPr>
  </w:style>
  <w:style w:customStyle="true" w:styleId="eSPISCCParagraphDefaultFont" w:type="character">
    <w:name w:val="eSPIS_CC_Paragraph Default Font"/>
    <w:basedOn w:val="Zadanifontodlomka"/>
    <w:rsid w:val="004137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372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137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37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7730"/>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5F7730"/>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5F7730"/>
    <w:rPr>
      <w:rFonts w:cs="Times New Roman" w:eastAsia="Times New Roman"/>
      <w:b/>
      <w:bCs/>
      <w:sz w:val="28"/>
      <w:szCs w:val="24"/>
      <w:lang w:eastAsia="hr-HR"/>
    </w:rPr>
  </w:style>
  <w:style w:styleId="Tijeloteksta" w:type="paragraph">
    <w:name w:val="Body Text"/>
    <w:basedOn w:val="Normal"/>
    <w:link w:val="TijelotekstaChar"/>
    <w:semiHidden/>
    <w:unhideWhenUsed/>
    <w:rsid w:val="005F773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5F7730"/>
    <w:rPr>
      <w:rFonts w:ascii="Arial" w:cs="Arial" w:eastAsia="Times New Roman" w:hAnsi="Arial"/>
      <w:sz w:val="22"/>
      <w:szCs w:val="24"/>
      <w:lang w:eastAsia="hr-HR"/>
    </w:rPr>
  </w:style>
  <w:style w:styleId="Odlomakpopisa" w:type="paragraph">
    <w:name w:val="List Paragraph"/>
    <w:basedOn w:val="Normal"/>
    <w:uiPriority w:val="34"/>
    <w:qFormat/>
    <w:rsid w:val="005F7730"/>
    <w:pPr>
      <w:ind w:left="720"/>
      <w:contextualSpacing/>
    </w:pPr>
  </w:style>
  <w:style w:styleId="Tekstbalonia" w:type="paragraph">
    <w:name w:val="Balloon Text"/>
    <w:basedOn w:val="Normal"/>
    <w:link w:val="TekstbaloniaChar"/>
    <w:uiPriority w:val="99"/>
    <w:semiHidden/>
    <w:unhideWhenUsed/>
    <w:rsid w:val="005F7730"/>
    <w:rPr>
      <w:rFonts w:ascii="Tahoma" w:cs="Tahoma" w:hAnsi="Tahoma"/>
      <w:sz w:val="16"/>
      <w:szCs w:val="16"/>
    </w:rPr>
  </w:style>
  <w:style w:customStyle="1" w:styleId="TekstbaloniaChar" w:type="character">
    <w:name w:val="Tekst balončića Char"/>
    <w:basedOn w:val="Zadanifontodlomka"/>
    <w:link w:val="Tekstbalonia"/>
    <w:uiPriority w:val="99"/>
    <w:semiHidden/>
    <w:rsid w:val="005F773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A681A"/>
    <w:pPr>
      <w:tabs>
        <w:tab w:pos="4536" w:val="center"/>
        <w:tab w:pos="9072" w:val="right"/>
      </w:tabs>
    </w:pPr>
  </w:style>
  <w:style w:customStyle="1" w:styleId="ZaglavljeChar" w:type="character">
    <w:name w:val="Zaglavlje Char"/>
    <w:basedOn w:val="Zadanifontodlomka"/>
    <w:link w:val="Zaglavlje"/>
    <w:uiPriority w:val="99"/>
    <w:rsid w:val="00EA681A"/>
    <w:rPr>
      <w:rFonts w:cs="Times New Roman" w:eastAsia="Times New Roman"/>
      <w:sz w:val="20"/>
      <w:szCs w:val="20"/>
      <w:lang w:eastAsia="hr-HR"/>
    </w:rPr>
  </w:style>
  <w:style w:styleId="Podnoje" w:type="paragraph">
    <w:name w:val="footer"/>
    <w:basedOn w:val="Normal"/>
    <w:link w:val="PodnojeChar"/>
    <w:uiPriority w:val="99"/>
    <w:unhideWhenUsed/>
    <w:rsid w:val="00EA681A"/>
    <w:pPr>
      <w:tabs>
        <w:tab w:pos="4536" w:val="center"/>
        <w:tab w:pos="9072" w:val="right"/>
      </w:tabs>
    </w:pPr>
  </w:style>
  <w:style w:customStyle="1" w:styleId="PodnojeChar" w:type="character">
    <w:name w:val="Podnožje Char"/>
    <w:basedOn w:val="Zadanifontodlomka"/>
    <w:link w:val="Podnoje"/>
    <w:uiPriority w:val="99"/>
    <w:rsid w:val="00EA681A"/>
    <w:rPr>
      <w:rFonts w:cs="Times New Roman" w:eastAsia="Times New Roman"/>
      <w:sz w:val="20"/>
      <w:szCs w:val="20"/>
      <w:lang w:eastAsia="hr-HR"/>
    </w:rPr>
  </w:style>
  <w:style w:styleId="Tekstrezerviranogmjesta" w:type="character">
    <w:name w:val="Placeholder Text"/>
    <w:basedOn w:val="Zadanifontodlomka"/>
    <w:uiPriority w:val="99"/>
    <w:semiHidden/>
    <w:rsid w:val="00413727"/>
    <w:rPr>
      <w:color w:val="808080"/>
      <w:bdr w:color="auto" w:space="0" w:sz="0" w:val="none"/>
      <w:shd w:color="auto" w:fill="auto" w:val="clear"/>
    </w:rPr>
  </w:style>
  <w:style w:customStyle="1" w:styleId="eSPISCCParagraphDefaultFont" w:type="character">
    <w:name w:val="eSPIS_CC_Paragraph Default Font"/>
    <w:basedOn w:val="Zadanifontodlomka"/>
    <w:rsid w:val="004137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3727"/>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137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37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6226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4917</izvorni_sadrzaj>
    <derivirana_varijabla naziv="DomainObject.Predmet.Broj_1">4917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u ref.
preslika spisa uz II-stupanjsku odluku u ref.</izvorni_sadrzaj>
    <derivirana_varijabla naziv="DomainObject.Predmet.Opis_1">orginal spisa u ref.
preslika spisa uz II-stupanjsku odluku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St-4917/2016</izvorni_sadrzaj>
    <derivirana_varijabla naziv="DomainObject.Predmet.OznakaBroj_1">St-4917/2016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PROMES, d.o.o.</izvorni_sadrzaj>
    <derivirana_varijabla naziv="DomainObject.Predmet.ProtustrankaFormated_1">  PROMES, d.o.o.</derivirana_varijabla>
  </DomainObject.Predmet.ProtustrankaFormated>
  <DomainObject.Predmet.ProtustrankaFormatedOIB>
    <izvorni_sadrzaj>  PROMES, d.o.o., OIB 78689255854</izvorni_sadrzaj>
    <derivirana_varijabla naziv="DomainObject.Predmet.ProtustrankaFormatedOIB_1">  PROMES, d.o.o., OIB 78689255854</derivirana_varijabla>
  </DomainObject.Predmet.ProtustrankaFormatedOIB>
  <DomainObject.Predmet.ProtustrankaFormatedWithAdress>
    <izvorni_sadrzaj> PROMES, d.o.o., Ilica 204, 10000 Zagreb</izvorni_sadrzaj>
    <derivirana_varijabla naziv="DomainObject.Predmet.ProtustrankaFormatedWithAdress_1"> PROMES, d.o.o., Ilica 204, 10000 Zagreb</derivirana_varijabla>
  </DomainObject.Predmet.ProtustrankaFormatedWithAdress>
  <DomainObject.Predmet.ProtustrankaFormatedWithAdressOIB>
    <izvorni_sadrzaj> PROMES, d.o.o., OIB 78689255854, Ilica 204, 10000 Zagreb</izvorni_sadrzaj>
    <derivirana_varijabla naziv="DomainObject.Predmet.ProtustrankaFormatedWithAdressOIB_1"> PROMES, d.o.o., OIB 78689255854, Ilica 204, 10000 Zagreb</derivirana_varijabla>
  </DomainObject.Predmet.ProtustrankaFormatedWithAdressOIB>
  <DomainObject.Predmet.ProtustrankaWithAdress>
    <izvorni_sadrzaj>PROMES, d.o.o. Ilica 204, 10000 Zagreb</izvorni_sadrzaj>
    <derivirana_varijabla naziv="DomainObject.Predmet.ProtustrankaWithAdress_1">PROMES, d.o.o. Ilica 204, 10000 Zagreb</derivirana_varijabla>
  </DomainObject.Predmet.ProtustrankaWithAdress>
  <DomainObject.Predmet.ProtustrankaWithAdressOIB>
    <izvorni_sadrzaj>PROMES, d.o.o., OIB 78689255854, Ilica 204, 10000 Zagreb</izvorni_sadrzaj>
    <derivirana_varijabla naziv="DomainObject.Predmet.ProtustrankaWithAdressOIB_1">PROMES, d.o.o., OIB 78689255854, Ilica 204, 10000 Zagreb</derivirana_varijabla>
  </DomainObject.Predmet.ProtustrankaWithAdressOIB>
  <DomainObject.Predmet.ProtustrankaNazivFormated>
    <izvorni_sadrzaj>PROMES, d.o.o.</izvorni_sadrzaj>
    <derivirana_varijabla naziv="DomainObject.Predmet.ProtustrankaNazivFormated_1">PROMES, d.o.o.</derivirana_varijabla>
  </DomainObject.Predmet.ProtustrankaNazivFormated>
  <DomainObject.Predmet.ProtustrankaNazivFormatedOIB>
    <izvorni_sadrzaj>PROMES, d.o.o., OIB 78689255854</izvorni_sadrzaj>
    <derivirana_varijabla naziv="DomainObject.Predmet.ProtustrankaNazivFormatedOIB_1">PROMES, d.o.o., OIB 78689255854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PROMES, d.o.o.</item>
    </izvorni_sadrzaj>
    <derivirana_varijabla naziv="DomainObject.Predmet.ProtuStrankaListFormated_1">
      <item>PROMES, d.o.o.</item>
    </derivirana_varijabla>
  </DomainObject.Predmet.ProtuStrankaListFormated>
  <DomainObject.Predmet.ProtuStrankaListFormatedOIB>
    <izvorni_sadrzaj>
      <item>PROMES, d.o.o., OIB 78689255854</item>
    </izvorni_sadrzaj>
    <derivirana_varijabla naziv="DomainObject.Predmet.ProtuStrankaListFormatedOIB_1">
      <item>PROMES, d.o.o., OIB 78689255854</item>
    </derivirana_varijabla>
  </DomainObject.Predmet.ProtuStrankaListFormatedOIB>
  <DomainObject.Predmet.ProtuStrankaListFormatedWithAdress>
    <izvorni_sadrzaj>
      <item>PROMES, d.o.o., Ilica 204, 10000 Zagreb</item>
    </izvorni_sadrzaj>
    <derivirana_varijabla naziv="DomainObject.Predmet.ProtuStrankaListFormatedWithAdress_1">
      <item>PROMES, d.o.o., Ilica 204, 10000 Zagreb</item>
    </derivirana_varijabla>
  </DomainObject.Predmet.ProtuStrankaListFormatedWithAdress>
  <DomainObject.Predmet.ProtuStrankaListFormatedWithAdressOIB>
    <izvorni_sadrzaj>
      <item>PROMES, d.o.o., OIB 78689255854, Ilica 204, 10000 Zagreb</item>
    </izvorni_sadrzaj>
    <derivirana_varijabla naziv="DomainObject.Predmet.ProtuStrankaListFormatedWithAdressOIB_1">
      <item>PROMES, d.o.o., OIB 78689255854, Ilica 204, 10000 Zagreb</item>
    </derivirana_varijabla>
  </DomainObject.Predmet.ProtuStrankaListFormatedWithAdressOIB>
  <DomainObject.Predmet.ProtuStrankaListNazivFormated>
    <izvorni_sadrzaj>
      <item>PROMES, d.o.o.</item>
    </izvorni_sadrzaj>
    <derivirana_varijabla naziv="DomainObject.Predmet.ProtuStrankaListNazivFormated_1">
      <item>PROMES, d.o.o.</item>
    </derivirana_varijabla>
  </DomainObject.Predmet.ProtuStrankaListNazivFormated>
  <DomainObject.Predmet.ProtuStrankaListNazivFormatedOIB>
    <izvorni_sadrzaj>
      <item>PROMES, d.o.o., OIB 78689255854</item>
    </izvorni_sadrzaj>
    <derivirana_varijabla naziv="DomainObject.Predmet.ProtuStrankaListNazivFormatedOIB_1">
      <item>PROMES, d.o.o., OIB 78689255854</item>
    </derivirana_varijabla>
  </DomainObject.Predmet.ProtuStrankaListNazivFormatedOIB>
  <DomainObject.Predmet.OstaliListFormated>
    <izvorni_sadrzaj>
      <item>Igor Serdarević</item>
    </izvorni_sadrzaj>
    <derivirana_varijabla naziv="DomainObject.Predmet.OstaliListFormated_1">
      <item>Igor Serdarević</item>
    </derivirana_varijabla>
  </DomainObject.Predmet.OstaliListFormated>
  <DomainObject.Predmet.OstaliListFormatedOIB>
    <izvorni_sadrzaj>
      <item>Igor Serdarević, OIB 53741477365</item>
    </izvorni_sadrzaj>
    <derivirana_varijabla naziv="DomainObject.Predmet.OstaliListFormatedOIB_1">
      <item>Igor Serdarević, OIB 53741477365</item>
    </derivirana_varijabla>
  </DomainObject.Predmet.OstaliListFormatedOIB>
  <DomainObject.Predmet.OstaliListFormatedWithAdress>
    <izvorni_sadrzaj>
      <item>Igor Serdarević, Teškovec 24, 10000 Zagreb</item>
    </izvorni_sadrzaj>
    <derivirana_varijabla naziv="DomainObject.Predmet.OstaliListFormatedWithAdress_1">
      <item>Igor Serdarević, Teškovec 24, 10000 Zagreb</item>
    </derivirana_varijabla>
  </DomainObject.Predmet.OstaliListFormatedWithAdress>
  <DomainObject.Predmet.OstaliListFormatedWithAdressOIB>
    <izvorni_sadrzaj>
      <item>Igor Serdarević, OIB 53741477365, Teškovec 24, 10000 Zagreb</item>
    </izvorni_sadrzaj>
    <derivirana_varijabla naziv="DomainObject.Predmet.OstaliListFormatedWithAdressOIB_1">
      <item>Igor Serdarević, OIB 53741477365, Teškovec 24, 10000 Zagreb</item>
    </derivirana_varijabla>
  </DomainObject.Predmet.OstaliListFormatedWithAdressOIB>
  <DomainObject.Predmet.OstaliListNazivFormated>
    <izvorni_sadrzaj>
      <item>Igor Serdarević</item>
    </izvorni_sadrzaj>
    <derivirana_varijabla naziv="DomainObject.Predmet.OstaliListNazivFormated_1">
      <item>Igor Serdarević</item>
    </derivirana_varijabla>
  </DomainObject.Predmet.OstaliListNazivFormated>
  <DomainObject.Predmet.OstaliListNazivFormatedOIB>
    <izvorni_sadrzaj>
      <item>Igor Serdarević, OIB 53741477365</item>
    </izvorni_sadrzaj>
    <derivirana_varijabla naziv="DomainObject.Predmet.OstaliListNazivFormatedOIB_1">
      <item>Igor Serdarević, OIB 53741477365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PROMES, d.o.o.</izvorni_sadrzaj>
    <derivirana_varijabla naziv="DomainObject.Predmet.ProtustrankaIDrugi_1">PROMES,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PROMES, d.o.o., OIB 78689255854, Ilica 204, 10000 Zagreb</izvorni_sadrzaj>
    <derivirana_varijabla naziv="DomainObject.Predmet.ProtustrankaIDrugiAdressOIB_1">PROMES, d.o.o., OIB 78689255854, Ilica 204,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PROMES, d.o.o.</item>
      <item>Igor Serdarević</item>
    </izvorni_sadrzaj>
    <derivirana_varijabla naziv="DomainObject.Predmet.SudioniciListNaziv_1">
      <item>FINA Regionalni centar Zagreb</item>
      <item>PROMES, d.o.o.</item>
      <item>Igor Serdarević</item>
    </derivirana_varijabla>
  </DomainObject.Predmet.SudioniciListNaziv>
  <DomainObject.Predmet.SudioniciListAdressOIB>
    <izvorni_sadrzaj>
      <item>FINA Regionalni centar Zagreb, OIB 85821130368, Trg svibanjskih žrtava 1995. br. 1,10000 Zagreb</item>
      <item>PROMES, d.o.o., OIB 78689255854, Ilica 204,10000 Zagreb</item>
      <item>Igor Serdarević, OIB 53741477365, Teškovec 24,10000 Zagreb</item>
    </izvorni_sadrzaj>
    <derivirana_varijabla naziv="DomainObject.Predmet.SudioniciListAdressOIB_1">
      <item>FINA Regionalni centar Zagreb, OIB 85821130368, Trg svibanjskih žrtava 1995. br. 1,10000 Zagreb</item>
      <item>PROMES, d.o.o., OIB 78689255854, Ilica 204,10000 Zagreb</item>
      <item>Igor Serdarević, OIB 53741477365, Teškovec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78689255854</item>
      <item>, OIB 53741477365</item>
    </izvorni_sadrzaj>
    <derivirana_varijabla naziv="DomainObject.Predmet.SudioniciListNazivOIB_1">
      <item>, OIB 85821130368</item>
      <item>, OIB 78689255854</item>
      <item>, OIB 53741477365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4962</properties:Characters>
  <properties:Lines>115</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2017-11-24T13:36:00Z</dcterms:created>
  <dc:creator>Valentina Kranjčić</dc:creator>
  <dc:description/>
  <cp:keywords/>
  <cp:lastModifiedBy>Valentina Kranjčić</cp:lastModifiedBy>
  <dcterms:modified xmlns:xsi="http://www.w3.org/2001/XMLSchema-instance" xsi:type="dcterms:W3CDTF">2017-11-24T13:50:00Z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