
<file path=[Content_Types].xml><?xml version="1.0" encoding="utf-8"?>
<Types xmlns="http://schemas.openxmlformats.org/package/2006/content-types">
  <Default ContentType="image/jpeg" Extension="jpeg"/>
  <Default ContentType="image/png" Extension="pn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theme/themeOverride1.xml" ContentType="application/vnd.openxmlformats-officedocument.themeOverride+xml"/>
  <Override PartName="/word/theme/themeOverride2.xml" ContentType="application/vnd.openxmlformats-officedocument.themeOverrid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eb7336a" w14:paraId="eb7336a" w:rsidRDefault="00AB4602" w:rsidP="006252DC" w:rsidR="00AE649C" w:rsidRPr="00B76F3C">
      <w:pPr>
        <w:pStyle w:val="NormaleSPIS"/>
        <w:ind w:firstLine="0"/>
        <w15:collapsed w:val="false"/>
      </w:pPr>
      <w:r>
        <w:rPr>
          <w:noProof/>
        </w:rPr>
        <w:drawing>
          <wp:anchor allowOverlap="true" layoutInCell="true" locked="false" behindDoc="false" relativeHeight="251658240" simplePos="false" distR="114300" distL="114300" distB="0" distT="0">
            <wp:simplePos y="0" x="0"/>
            <wp:positionH relativeFrom="page">
              <wp:posOffset>1083945</wp:posOffset>
            </wp:positionH>
            <wp:positionV relativeFrom="page">
              <wp:posOffset>543560</wp:posOffset>
            </wp:positionV>
            <wp:extent cy="961200" cx="720000"/>
            <wp:effectExtent b="0" r="4445" t="0" l="0"/>
            <wp:wrapNone/>
            <wp:docPr hidden="true" name="eSPIS_GrbRH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image1.png" id="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y="0" x="0"/>
                      <a:ext cy="961200" cx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6252DC" w:rsidP="006252DC" w:rsidR="006252DC" w:rsidRPr="006252DC">
      <w:pPr>
        <w:tabs>
          <w:tab w:pos="4536" w:val="center"/>
          <w:tab w:pos="9072" w:val="right"/>
        </w:tabs>
        <w:spacing w:after="0"/>
        <w:ind w:right="360"/>
        <w:jc w:val="center"/>
        <w:rPr>
          <w:rFonts w:cs="Times New Roman" w:eastAsia="MS Gothic"/>
          <w:b/>
          <w:color w:val="548DD4"/>
          <w:sz w:val="52"/>
          <w:szCs w:val="52"/>
          <w:lang w:eastAsia="en-GB" w:val="en-US"/>
        </w:rPr>
      </w:pPr>
    </w:p>
    <w:p w:rsidRDefault="006252DC" w:rsidP="006252DC" w:rsidR="006252DC" w:rsidRPr="006252DC">
      <w:pPr>
        <w:tabs>
          <w:tab w:pos="4536" w:val="center"/>
          <w:tab w:pos="9072" w:val="right"/>
        </w:tabs>
        <w:spacing w:after="0"/>
        <w:ind w:right="360"/>
        <w:jc w:val="center"/>
        <w:rPr>
          <w:rFonts w:cs="Times New Roman" w:eastAsia="MS Gothic"/>
          <w:b/>
          <w:color w:val="548DD4"/>
          <w:sz w:val="52"/>
          <w:szCs w:val="52"/>
          <w:lang w:eastAsia="en-GB" w:val="en-US"/>
        </w:rPr>
      </w:pPr>
      <w:proofErr w:type="gramStart"/>
      <w:r w:rsidRPr="006252DC">
        <w:rPr>
          <w:rFonts w:cs="Times New Roman" w:eastAsia="MS Gothic"/>
          <w:b/>
          <w:color w:val="548DD4"/>
          <w:sz w:val="52"/>
          <w:szCs w:val="52"/>
          <w:lang w:eastAsia="en-GB" w:val="en-US"/>
        </w:rPr>
        <w:t>MATEO PRIDRAGA d.o.o.</w:t>
      </w:r>
      <w:proofErr w:type="gramEnd"/>
    </w:p>
    <w:p w:rsidRDefault="006252DC" w:rsidP="006252DC" w:rsidR="006252DC" w:rsidRPr="006252DC">
      <w:pPr>
        <w:tabs>
          <w:tab w:pos="4536" w:val="center"/>
          <w:tab w:pos="9072" w:val="right"/>
        </w:tabs>
        <w:spacing w:after="0"/>
        <w:ind w:right="360"/>
        <w:jc w:val="center"/>
        <w:rPr>
          <w:rFonts w:cs="Times New Roman" w:eastAsia="MS Gothic"/>
          <w:b/>
          <w:color w:val="548DD4"/>
          <w:sz w:val="52"/>
          <w:szCs w:val="52"/>
          <w:lang w:eastAsia="en-GB" w:val="en-GB"/>
        </w:rPr>
      </w:pPr>
    </w:p>
    <w:p w:rsidRDefault="006252DC" w:rsidP="006252DC" w:rsidR="006252DC" w:rsidRPr="006252DC">
      <w:pPr>
        <w:tabs>
          <w:tab w:pos="4536" w:val="center"/>
          <w:tab w:pos="9072" w:val="right"/>
        </w:tabs>
        <w:spacing w:after="0"/>
        <w:ind w:right="360"/>
        <w:jc w:val="center"/>
        <w:rPr>
          <w:rFonts w:cs="Times New Roman" w:eastAsia="MS Gothic"/>
          <w:color w:val="548DD4"/>
          <w:sz w:val="44"/>
          <w:szCs w:val="72"/>
          <w:lang w:eastAsia="en-GB" w:val="en-GB"/>
        </w:rPr>
      </w:pPr>
    </w:p>
    <w:p w:rsidRDefault="006252DC" w:rsidP="006252DC" w:rsidR="006252DC" w:rsidRPr="006252DC">
      <w:pPr>
        <w:tabs>
          <w:tab w:pos="4536" w:val="center"/>
          <w:tab w:pos="9072" w:val="right"/>
        </w:tabs>
        <w:spacing w:after="0"/>
        <w:ind w:right="360"/>
        <w:jc w:val="center"/>
        <w:rPr>
          <w:rFonts w:cs="Times New Roman" w:eastAsia="MS Gothic"/>
          <w:color w:val="548DD4"/>
          <w:sz w:val="44"/>
          <w:szCs w:val="72"/>
          <w:lang w:eastAsia="en-GB" w:val="en-GB"/>
        </w:rPr>
      </w:pPr>
      <w:r w:rsidRPr="006252DC">
        <w:rPr>
          <w:rFonts w:cs="Times New Roman" w:eastAsia="Calibri"/>
          <w:noProof/>
          <w:lang w:eastAsia="hr-HR"/>
        </w:rPr>
        <w:drawing>
          <wp:inline distR="0" distL="0" distB="0" distT="0">
            <wp:extent cy="2956560" cx="5257800"/>
            <wp:effectExtent b="0" r="0" t="0" l="0"/>
            <wp:docPr descr="Slikovni rezultat za radovi na gradilištu" name="Picture 5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Slikovni rezultat za radovi na gradilištu" name="Picture 5" id="0"/>
                    <pic:cNvPicPr>
                      <a:picLocks noChangeArrowheads="true" noChangeAspect="true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56560" cx="525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6252DC" w:rsidP="006252DC" w:rsidR="006252DC" w:rsidRPr="006252DC">
      <w:pPr>
        <w:tabs>
          <w:tab w:pos="4536" w:val="center"/>
          <w:tab w:pos="9072" w:val="right"/>
        </w:tabs>
        <w:spacing w:after="0"/>
        <w:ind w:right="360"/>
        <w:jc w:val="center"/>
        <w:rPr>
          <w:rFonts w:cs="Times New Roman" w:eastAsia="MS Gothic"/>
          <w:color w:val="548DD4"/>
          <w:sz w:val="44"/>
          <w:szCs w:val="72"/>
          <w:lang w:eastAsia="en-GB" w:val="en-GB"/>
        </w:rPr>
      </w:pPr>
    </w:p>
    <w:p w:rsidRDefault="006252DC" w:rsidP="006252DC" w:rsidR="006252DC" w:rsidRPr="006252DC">
      <w:pPr>
        <w:tabs>
          <w:tab w:pos="4536" w:val="center"/>
          <w:tab w:pos="9072" w:val="right"/>
        </w:tabs>
        <w:spacing w:after="0"/>
        <w:ind w:right="360"/>
        <w:jc w:val="center"/>
        <w:rPr>
          <w:rFonts w:cs="Times New Roman" w:eastAsia="MS Gothic"/>
          <w:color w:val="548DD4"/>
          <w:sz w:val="44"/>
          <w:szCs w:val="72"/>
          <w:lang w:eastAsia="en-GB" w:val="en-GB"/>
        </w:rPr>
      </w:pPr>
    </w:p>
    <w:p w:rsidRDefault="006252DC" w:rsidP="006252DC" w:rsidR="006252DC" w:rsidRPr="006252DC">
      <w:pPr>
        <w:tabs>
          <w:tab w:pos="4536" w:val="center"/>
          <w:tab w:pos="9072" w:val="right"/>
        </w:tabs>
        <w:spacing w:after="0"/>
        <w:ind w:right="360"/>
        <w:jc w:val="center"/>
        <w:rPr>
          <w:rFonts w:cs="Times New Roman" w:eastAsia="MS Gothic"/>
          <w:color w:val="548DD4"/>
          <w:sz w:val="44"/>
          <w:szCs w:val="72"/>
          <w:lang w:eastAsia="en-GB" w:val="en-GB"/>
        </w:rPr>
      </w:pPr>
      <w:r w:rsidRPr="006252DC">
        <w:rPr>
          <w:rFonts w:cs="Times New Roman" w:eastAsia="Calibri"/>
          <w:noProof/>
          <w:lang w:eastAsia="hr-HR"/>
        </w:rPr>
        <w:t xml:space="preserve"> </w:t>
      </w:r>
    </w:p>
    <w:p w:rsidRDefault="006252DC" w:rsidP="006252DC" w:rsidR="006252DC" w:rsidRPr="006252DC">
      <w:pPr>
        <w:tabs>
          <w:tab w:pos="4536" w:val="center"/>
          <w:tab w:pos="9072" w:val="right"/>
        </w:tabs>
        <w:spacing w:after="0"/>
        <w:ind w:right="360"/>
        <w:rPr>
          <w:rFonts w:cs="Times New Roman" w:eastAsia="MS Gothic"/>
          <w:color w:val="4F81BD"/>
          <w:sz w:val="44"/>
          <w:szCs w:val="72"/>
          <w:lang w:eastAsia="en-GB" w:val="en-GB"/>
        </w:rPr>
      </w:pPr>
    </w:p>
    <w:p w:rsidRDefault="006252DC" w:rsidP="006252DC" w:rsidR="006252DC" w:rsidRPr="006252DC">
      <w:pPr>
        <w:tabs>
          <w:tab w:pos="4536" w:val="center"/>
          <w:tab w:pos="9072" w:val="right"/>
        </w:tabs>
        <w:spacing w:after="0"/>
        <w:ind w:right="360"/>
        <w:jc w:val="center"/>
        <w:rPr>
          <w:rFonts w:cs="Times New Roman" w:eastAsia="MS Gothic"/>
          <w:color w:val="4F81BD"/>
          <w:sz w:val="48"/>
          <w:szCs w:val="48"/>
          <w:lang w:eastAsia="en-GB" w:val="en-GB"/>
        </w:rPr>
      </w:pPr>
      <w:r w:rsidRPr="006252DC">
        <w:rPr>
          <w:rFonts w:cs="Times New Roman" w:eastAsia="MS Gothic"/>
          <w:color w:val="4F81BD"/>
          <w:sz w:val="48"/>
          <w:szCs w:val="48"/>
          <w:lang w:eastAsia="en-GB" w:val="en-GB"/>
        </w:rPr>
        <w:t>Plan financijskog i operativnog restrukturiranja</w:t>
      </w:r>
    </w:p>
    <w:p w:rsidRDefault="006252DC" w:rsidP="006252DC" w:rsidR="006252DC" w:rsidRPr="006252DC">
      <w:pPr>
        <w:tabs>
          <w:tab w:pos="4536" w:val="center"/>
          <w:tab w:pos="9072" w:val="right"/>
        </w:tabs>
        <w:spacing w:after="0"/>
        <w:jc w:val="center"/>
        <w:rPr>
          <w:rFonts w:cs="Times New Roman" w:eastAsia="MS Gothic"/>
          <w:color w:val="548DD4"/>
          <w:sz w:val="48"/>
          <w:szCs w:val="48"/>
          <w:lang w:eastAsia="en-GB" w:val="en-GB"/>
        </w:rPr>
      </w:pPr>
      <w:r w:rsidRPr="006252DC">
        <w:rPr>
          <w:rFonts w:cs="Times New Roman" w:eastAsia="MS Gothic"/>
          <w:color w:val="548DD4"/>
          <w:sz w:val="48"/>
          <w:szCs w:val="48"/>
          <w:lang w:eastAsia="en-GB" w:val="en-GB"/>
        </w:rPr>
        <w:t>(2017. - 2022.)</w:t>
      </w:r>
    </w:p>
    <w:p w:rsidRDefault="006252DC" w:rsidP="006252DC" w:rsidR="006252DC" w:rsidRPr="006252DC">
      <w:pPr>
        <w:tabs>
          <w:tab w:pos="4536" w:val="center"/>
          <w:tab w:pos="9072" w:val="right"/>
        </w:tabs>
        <w:spacing w:after="0"/>
        <w:rPr>
          <w:rFonts w:cs="Times New Roman" w:eastAsia="MS Gothic"/>
          <w:color w:val="548DD4"/>
          <w:sz w:val="44"/>
          <w:szCs w:val="72"/>
          <w:lang w:eastAsia="en-GB" w:val="en-GB"/>
        </w:rPr>
      </w:pPr>
    </w:p>
    <w:p w:rsidRDefault="006252DC" w:rsidP="006252DC" w:rsidR="006252DC">
      <w:pPr>
        <w:jc w:val="right"/>
        <w:rPr>
          <w:rFonts w:cs="Times New Roman" w:eastAsia="Calibri"/>
          <w:noProof/>
          <w:color w:val="4F81BD"/>
          <w:sz w:val="40"/>
          <w:szCs w:val="40"/>
          <w:lang w:eastAsia="en-GB" w:val="en-GB"/>
        </w:rPr>
      </w:pPr>
      <w:r w:rsidRPr="006252DC">
        <w:rPr>
          <w:rFonts w:cs="Times New Roman" w:eastAsia="Calibri"/>
          <w:noProof/>
          <w:color w:val="4F81BD"/>
          <w:sz w:val="40"/>
          <w:szCs w:val="40"/>
          <w:lang w:eastAsia="en-GB" w:val="en-GB"/>
        </w:rPr>
        <w:t>22.05.2017.</w:t>
      </w:r>
      <w:bookmarkStart w:name="_Toc472012441" w:id="0"/>
      <w:bookmarkStart w:name="_Toc451235615" w:id="1"/>
    </w:p>
    <w:p w:rsidRDefault="006252DC" w:rsidP="006252DC" w:rsidR="006252DC">
      <w:pPr>
        <w:jc w:val="right"/>
        <w:rPr>
          <w:rFonts w:cs="Times New Roman" w:eastAsia="Calibri"/>
          <w:noProof/>
          <w:color w:val="4F81BD"/>
          <w:sz w:val="40"/>
          <w:szCs w:val="40"/>
          <w:lang w:eastAsia="en-GB" w:val="en-GB"/>
        </w:rPr>
      </w:pPr>
    </w:p>
    <w:p w:rsidRDefault="006252DC" w:rsidP="006252DC" w:rsidR="006252DC" w:rsidRPr="006252DC">
      <w:pPr>
        <w:jc w:val="right"/>
        <w:rPr>
          <w:rFonts w:cs="Times New Roman" w:eastAsia="Calibri"/>
          <w:noProof/>
          <w:color w:val="4F81BD"/>
          <w:sz w:val="40"/>
          <w:szCs w:val="40"/>
          <w:lang w:eastAsia="en-GB" w:val="en-GB"/>
        </w:rPr>
      </w:pPr>
    </w:p>
    <w:p w:rsidRDefault="006252DC" w:rsidP="006252DC" w:rsidR="006252DC" w:rsidRPr="006252DC">
      <w:pPr>
        <w:spacing w:after="0"/>
        <w:jc w:val="center"/>
        <w:rPr>
          <w:rFonts w:cs="Times New Roman" w:eastAsia="Times New Roman"/>
          <w:b/>
          <w:bCs/>
          <w:i/>
          <w:caps/>
          <w:sz w:val="28"/>
          <w:szCs w:val="28"/>
          <w:lang w:eastAsia="hr-HR"/>
        </w:rPr>
      </w:pPr>
      <w:r w:rsidRPr="006252DC">
        <w:rPr>
          <w:rFonts w:cs="Times New Roman" w:eastAsia="Times New Roman"/>
          <w:b/>
          <w:bCs/>
          <w:i/>
          <w:caps/>
          <w:sz w:val="28"/>
          <w:szCs w:val="28"/>
          <w:lang w:eastAsia="hr-HR"/>
        </w:rPr>
        <w:lastRenderedPageBreak/>
        <w:t>sadržaj:</w:t>
      </w:r>
    </w:p>
    <w:p w:rsidRDefault="006252DC" w:rsidP="006252DC" w:rsidR="006252DC" w:rsidRPr="006252DC">
      <w:pPr>
        <w:spacing w:after="0"/>
        <w:jc w:val="center"/>
        <w:rPr>
          <w:rFonts w:cs="Times New Roman" w:eastAsia="Times New Roman"/>
          <w:bCs/>
          <w:i/>
          <w:caps/>
          <w:sz w:val="21"/>
          <w:szCs w:val="20"/>
          <w:lang w:eastAsia="hr-HR"/>
        </w:rPr>
      </w:pPr>
    </w:p>
    <w:p w:rsidRDefault="006252DC" w:rsidP="006252DC" w:rsidR="006252DC" w:rsidRPr="006252DC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lang w:eastAsia="en-GB" w:val="en-GB"/>
        </w:rPr>
      </w:pPr>
      <w:r w:rsidRPr="006252DC">
        <w:rPr>
          <w:rFonts w:cs="Calibri" w:eastAsia="Times New Roman"/>
          <w:b/>
          <w:bCs/>
          <w:caps/>
          <w:sz w:val="28"/>
          <w:szCs w:val="28"/>
          <w:lang w:eastAsia="hr-HR"/>
        </w:rPr>
        <w:fldChar w:fldCharType="begin"/>
      </w:r>
      <w:r w:rsidRPr="006252DC">
        <w:rPr>
          <w:rFonts w:cs="Times New Roman" w:eastAsia="Times New Roman"/>
          <w:b/>
          <w:bCs/>
          <w:caps/>
          <w:lang w:eastAsia="hr-HR"/>
        </w:rPr>
        <w:instrText xml:space="preserve"> TOC \o "1-3" \h \z \u </w:instrText>
      </w:r>
      <w:r w:rsidRPr="006252DC">
        <w:rPr>
          <w:rFonts w:cs="Calibri" w:eastAsia="Times New Roman"/>
          <w:b/>
          <w:bCs/>
          <w:caps/>
          <w:sz w:val="28"/>
          <w:szCs w:val="28"/>
          <w:lang w:eastAsia="hr-HR"/>
        </w:rPr>
        <w:fldChar w:fldCharType="separate"/>
      </w:r>
      <w:hyperlink r:id="rId12" w:anchor="_Toc482047540" w:history="true">
        <w:r w:rsidRPr="006252DC">
          <w:rPr>
            <w:rFonts w:cs="Calibri" w:eastAsia="Times New Roman"/>
            <w:b/>
            <w:bCs/>
            <w:caps/>
            <w:noProof/>
            <w:color w:val="0000FF"/>
            <w:sz w:val="28"/>
            <w:szCs w:val="28"/>
            <w:u w:val="single"/>
            <w:lang w:eastAsia="hr-HR"/>
          </w:rPr>
          <w:t>POPIS PRILOGA</w:t>
        </w:r>
        <w:r w:rsidRPr="006252DC">
          <w:rPr>
            <w:rFonts w:cs="Calibri" w:eastAsia="Times New Roman"/>
            <w:b/>
            <w:bCs/>
            <w:caps/>
            <w:noProof/>
            <w:webHidden/>
            <w:sz w:val="28"/>
            <w:szCs w:val="28"/>
            <w:u w:val="single"/>
            <w:lang w:eastAsia="hr-HR"/>
          </w:rPr>
          <w:tab/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6252DC">
          <w:rPr>
            <w:rFonts w:cs="Calibri" w:eastAsia="Times New Roman"/>
            <w:b/>
            <w:bCs/>
            <w:caps/>
            <w:noProof/>
            <w:webHidden/>
            <w:sz w:val="28"/>
            <w:szCs w:val="28"/>
            <w:u w:val="single"/>
            <w:lang w:eastAsia="hr-HR"/>
          </w:rPr>
          <w:instrText xml:space="preserve"> PAGEREF _Toc482047540 \h </w:instrText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6252DC">
          <w:rPr>
            <w:rFonts w:cs="Calibri" w:eastAsia="Times New Roman"/>
            <w:b/>
            <w:bCs/>
            <w:caps/>
            <w:noProof/>
            <w:webHidden/>
            <w:sz w:val="28"/>
            <w:szCs w:val="28"/>
            <w:u w:val="single"/>
            <w:lang w:eastAsia="hr-HR"/>
          </w:rPr>
          <w:t>2</w:t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6252DC" w:rsidP="006252DC" w:rsidR="006252DC" w:rsidRPr="006252DC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lang w:eastAsia="en-GB" w:val="en-GB"/>
        </w:rPr>
      </w:pPr>
      <w:hyperlink r:id="rId13" w:anchor="_Toc482047541" w:history="true">
        <w:r w:rsidRPr="006252DC">
          <w:rPr>
            <w:rFonts w:cs="Calibri" w:eastAsia="Times New Roman"/>
            <w:b/>
            <w:bCs/>
            <w:caps/>
            <w:noProof/>
            <w:color w:val="0000FF"/>
            <w:sz w:val="28"/>
            <w:szCs w:val="28"/>
            <w:u w:val="single"/>
            <w:lang w:eastAsia="hr-HR"/>
          </w:rPr>
          <w:t>OBAVIJEST VJEROVNICIMA O PODNOŠENJU ZAHTJEVA ZA POKRETANJE PREDSTEČAJNOG POSTUPKA</w:t>
        </w:r>
        <w:r w:rsidRPr="006252DC">
          <w:rPr>
            <w:rFonts w:cs="Calibri" w:eastAsia="Times New Roman"/>
            <w:b/>
            <w:bCs/>
            <w:caps/>
            <w:noProof/>
            <w:webHidden/>
            <w:sz w:val="28"/>
            <w:szCs w:val="28"/>
            <w:u w:val="single"/>
            <w:lang w:eastAsia="hr-HR"/>
          </w:rPr>
          <w:tab/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6252DC">
          <w:rPr>
            <w:rFonts w:cs="Calibri" w:eastAsia="Times New Roman"/>
            <w:b/>
            <w:bCs/>
            <w:caps/>
            <w:noProof/>
            <w:webHidden/>
            <w:sz w:val="28"/>
            <w:szCs w:val="28"/>
            <w:u w:val="single"/>
            <w:lang w:eastAsia="hr-HR"/>
          </w:rPr>
          <w:instrText xml:space="preserve"> PAGEREF _Toc482047541 \h </w:instrText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6252DC">
          <w:rPr>
            <w:rFonts w:cs="Calibri" w:eastAsia="Times New Roman"/>
            <w:b/>
            <w:bCs/>
            <w:caps/>
            <w:noProof/>
            <w:webHidden/>
            <w:sz w:val="28"/>
            <w:szCs w:val="28"/>
            <w:u w:val="single"/>
            <w:lang w:eastAsia="hr-HR"/>
          </w:rPr>
          <w:t>3</w:t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6252DC" w:rsidP="006252DC" w:rsidR="006252DC" w:rsidRPr="006252DC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lang w:eastAsia="en-GB" w:val="en-GB"/>
        </w:rPr>
      </w:pPr>
      <w:hyperlink r:id="rId14" w:anchor="_Toc482047542" w:history="true">
        <w:r w:rsidRPr="006252DC">
          <w:rPr>
            <w:rFonts w:cs="Calibri" w:eastAsia="Times New Roman"/>
            <w:b/>
            <w:bCs/>
            <w:caps/>
            <w:noProof/>
            <w:color w:val="0000FF"/>
            <w:sz w:val="28"/>
            <w:szCs w:val="28"/>
            <w:u w:val="single"/>
            <w:lang w:eastAsia="hr-HR"/>
          </w:rPr>
          <w:t>1. UVOD</w:t>
        </w:r>
        <w:r w:rsidRPr="006252DC">
          <w:rPr>
            <w:rFonts w:cs="Calibri" w:eastAsia="Times New Roman"/>
            <w:b/>
            <w:bCs/>
            <w:caps/>
            <w:noProof/>
            <w:webHidden/>
            <w:sz w:val="28"/>
            <w:szCs w:val="28"/>
            <w:u w:val="single"/>
            <w:lang w:eastAsia="hr-HR"/>
          </w:rPr>
          <w:tab/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6252DC">
          <w:rPr>
            <w:rFonts w:cs="Calibri" w:eastAsia="Times New Roman"/>
            <w:b/>
            <w:bCs/>
            <w:caps/>
            <w:noProof/>
            <w:webHidden/>
            <w:sz w:val="28"/>
            <w:szCs w:val="28"/>
            <w:u w:val="single"/>
            <w:lang w:eastAsia="hr-HR"/>
          </w:rPr>
          <w:instrText xml:space="preserve"> PAGEREF _Toc482047542 \h </w:instrText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6252DC">
          <w:rPr>
            <w:rFonts w:cs="Calibri" w:eastAsia="Times New Roman"/>
            <w:b/>
            <w:bCs/>
            <w:caps/>
            <w:noProof/>
            <w:webHidden/>
            <w:sz w:val="28"/>
            <w:szCs w:val="28"/>
            <w:u w:val="single"/>
            <w:lang w:eastAsia="hr-HR"/>
          </w:rPr>
          <w:t>4</w:t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6252DC" w:rsidP="006252DC" w:rsidR="006252DC" w:rsidRPr="006252DC">
      <w:pPr>
        <w:numPr>
          <w:ilvl w:val="0"/>
          <w:numId w:val="44"/>
        </w:numPr>
        <w:tabs>
          <w:tab w:pos="1985" w:val="clear"/>
          <w:tab w:pos="960" w:val="left"/>
          <w:tab w:pos="1492" w:val="num"/>
          <w:tab w:pos="8914" w:leader="dot" w:val="right"/>
        </w:tabs>
        <w:spacing w:lineRule="auto" w:line="480" w:after="0"/>
        <w:ind w:firstLine="0" w:left="240"/>
        <w:rPr>
          <w:rFonts w:cs="Times New Roman" w:eastAsia="MS Mincho" w:hAnsi="Cambria" w:ascii="Cambria"/>
          <w:smallCaps/>
          <w:noProof/>
          <w:lang w:eastAsia="en-GB" w:val="en-GB"/>
        </w:rPr>
      </w:pPr>
      <w:hyperlink r:id="rId15" w:anchor="_Toc482047543" w:history="true">
        <w:r w:rsidRPr="006252DC">
          <w:rPr>
            <w:rFonts w:cs="Calibri" w:eastAsia="Times New Roman" w:hAnsi="Calibri" w:ascii="Calibri"/>
            <w:smallCaps/>
            <w:noProof/>
            <w:color w:val="0000FF"/>
            <w:sz w:val="20"/>
            <w:szCs w:val="20"/>
            <w:u w:val="single"/>
            <w:lang w:eastAsia="hr-HR"/>
          </w:rPr>
          <w:t>1.1.</w:t>
        </w:r>
        <w:r w:rsidRPr="006252DC">
          <w:rPr>
            <w:rFonts w:cs="Calibri" w:eastAsia="MS Mincho" w:hAnsi="Cambria" w:ascii="Cambria"/>
            <w:smallCaps/>
            <w:noProof/>
            <w:sz w:val="20"/>
            <w:szCs w:val="20"/>
            <w:u w:val="single"/>
            <w:lang w:eastAsia="en-GB" w:val="en-GB"/>
          </w:rPr>
          <w:tab/>
        </w:r>
        <w:r w:rsidRPr="006252DC">
          <w:rPr>
            <w:rFonts w:cs="Calibri" w:eastAsia="Times New Roman" w:hAnsi="Calibri" w:ascii="Calibri"/>
            <w:smallCaps/>
            <w:noProof/>
            <w:color w:val="0000FF"/>
            <w:sz w:val="20"/>
            <w:szCs w:val="20"/>
            <w:u w:val="single"/>
            <w:lang w:eastAsia="hr-HR"/>
          </w:rPr>
          <w:t>Opći podaci</w:t>
        </w:r>
        <w:r w:rsidRPr="006252DC">
          <w:rPr>
            <w:rFonts w:cs="Calibri" w:eastAsia="Times New Roman" w:hAnsi="Calibri" w:ascii="Calibri"/>
            <w:smallCaps/>
            <w:noProof/>
            <w:webHidden/>
            <w:sz w:val="20"/>
            <w:szCs w:val="20"/>
            <w:u w:val="single"/>
            <w:lang w:eastAsia="hr-HR"/>
          </w:rPr>
          <w:tab/>
        </w:r>
        <w:r w:rsidRPr="006252DC">
          <w:rPr>
            <w:rFonts w:cs="Calibri" w:eastAsia="Times New Roman" w:hAnsi="Calibri" w:ascii="Calibri"/>
            <w:smallCap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6252DC">
          <w:rPr>
            <w:rFonts w:cs="Calibri" w:eastAsia="Times New Roman" w:hAnsi="Calibri" w:ascii="Calibri"/>
            <w:smallCaps/>
            <w:noProof/>
            <w:webHidden/>
            <w:sz w:val="20"/>
            <w:szCs w:val="20"/>
            <w:u w:val="single"/>
            <w:lang w:eastAsia="hr-HR"/>
          </w:rPr>
          <w:instrText xml:space="preserve"> PAGEREF _Toc482047543 \h </w:instrText>
        </w:r>
        <w:r w:rsidRPr="006252DC">
          <w:rPr>
            <w:rFonts w:cs="Calibri" w:eastAsia="Times New Roman" w:hAnsi="Calibri" w:ascii="Calibri"/>
            <w:smallCaps/>
            <w:color w:val="0000FF"/>
            <w:sz w:val="20"/>
            <w:szCs w:val="20"/>
            <w:u w:val="single"/>
            <w:lang w:eastAsia="hr-HR"/>
          </w:rPr>
        </w:r>
        <w:r w:rsidRPr="006252DC">
          <w:rPr>
            <w:rFonts w:cs="Calibri" w:eastAsia="Times New Roman" w:hAnsi="Calibri" w:ascii="Calibri"/>
            <w:smallCap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6252DC">
          <w:rPr>
            <w:rFonts w:cs="Calibri" w:eastAsia="Times New Roman" w:hAnsi="Calibri" w:ascii="Calibri"/>
            <w:smallCaps/>
            <w:noProof/>
            <w:webHidden/>
            <w:sz w:val="20"/>
            <w:szCs w:val="20"/>
            <w:u w:val="single"/>
            <w:lang w:eastAsia="hr-HR"/>
          </w:rPr>
          <w:t>5</w:t>
        </w:r>
        <w:r w:rsidRPr="006252DC">
          <w:rPr>
            <w:rFonts w:cs="Calibri" w:eastAsia="Times New Roman" w:hAnsi="Calibri" w:ascii="Calibri"/>
            <w:smallCap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6252DC" w:rsidP="006252DC" w:rsidR="006252DC" w:rsidRPr="006252DC">
      <w:pPr>
        <w:tabs>
          <w:tab w:pos="1200" w:val="left"/>
          <w:tab w:pos="9906" w:val="right"/>
        </w:tabs>
        <w:spacing w:after="0"/>
        <w:ind w:left="480"/>
        <w:rPr>
          <w:rFonts w:cs="Times New Roman" w:eastAsia="MS Mincho" w:hAnsi="Cambria" w:ascii="Cambria"/>
          <w:noProof/>
          <w:lang w:eastAsia="en-GB" w:val="en-GB"/>
        </w:rPr>
      </w:pPr>
      <w:hyperlink r:id="rId16" w:anchor="_Toc482047544" w:history="true">
        <w:r w:rsidRPr="006252DC">
          <w:rPr>
            <w:rFonts w:cs="Calibri" w:eastAsia="Times New Roman" w:hAnsi="Calibri" w:ascii="Calibri"/>
            <w:i/>
            <w:iCs/>
            <w:noProof/>
            <w:color w:val="0000FF"/>
            <w:sz w:val="20"/>
            <w:szCs w:val="20"/>
            <w:u w:val="single"/>
            <w:lang w:eastAsia="hr-HR"/>
          </w:rPr>
          <w:t>1.1.1.</w:t>
        </w:r>
        <w:r w:rsidRPr="006252DC">
          <w:rPr>
            <w:rFonts w:cs="Calibri" w:eastAsia="MS Mincho" w:hAnsi="Cambria" w:ascii="Cambria"/>
            <w:noProof/>
            <w:sz w:val="20"/>
            <w:szCs w:val="20"/>
            <w:u w:val="single"/>
            <w:lang w:eastAsia="en-GB" w:val="en-GB"/>
          </w:rPr>
          <w:tab/>
        </w:r>
        <w:r w:rsidRPr="006252DC">
          <w:rPr>
            <w:rFonts w:cs="Calibri" w:eastAsia="Times New Roman" w:hAnsi="Calibri" w:ascii="Calibri"/>
            <w:i/>
            <w:iCs/>
            <w:noProof/>
            <w:color w:val="0000FF"/>
            <w:sz w:val="20"/>
            <w:szCs w:val="20"/>
            <w:u w:val="single"/>
            <w:lang w:eastAsia="hr-HR"/>
          </w:rPr>
          <w:t>Predmet poslovanja</w:t>
        </w:r>
        <w:r w:rsidRPr="006252DC">
          <w:rPr>
            <w:rFonts w:cs="Calibri" w:eastAsia="Times New Roman" w:hAnsi="Calibri" w:ascii="Calibri"/>
            <w:i/>
            <w:iCs/>
            <w:noProof/>
            <w:webHidden/>
            <w:sz w:val="20"/>
            <w:szCs w:val="20"/>
            <w:u w:val="single"/>
            <w:lang w:eastAsia="hr-HR"/>
          </w:rPr>
          <w:tab/>
        </w:r>
        <w:r w:rsidRPr="006252DC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6252DC">
          <w:rPr>
            <w:rFonts w:cs="Calibri" w:eastAsia="Times New Roman" w:hAnsi="Calibri" w:ascii="Calibri"/>
            <w:i/>
            <w:iCs/>
            <w:noProof/>
            <w:webHidden/>
            <w:sz w:val="20"/>
            <w:szCs w:val="20"/>
            <w:u w:val="single"/>
            <w:lang w:eastAsia="hr-HR"/>
          </w:rPr>
          <w:instrText xml:space="preserve"> PAGEREF _Toc482047544 \h </w:instrText>
        </w:r>
        <w:r w:rsidRPr="006252DC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</w:r>
        <w:r w:rsidRPr="006252DC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6252DC">
          <w:rPr>
            <w:rFonts w:cs="Calibri" w:eastAsia="Times New Roman" w:hAnsi="Calibri" w:ascii="Calibri"/>
            <w:i/>
            <w:iCs/>
            <w:noProof/>
            <w:webHidden/>
            <w:sz w:val="20"/>
            <w:szCs w:val="20"/>
            <w:u w:val="single"/>
            <w:lang w:eastAsia="hr-HR"/>
          </w:rPr>
          <w:t>5</w:t>
        </w:r>
        <w:r w:rsidRPr="006252DC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6252DC" w:rsidP="006252DC" w:rsidR="006252DC" w:rsidRPr="006252DC">
      <w:pPr>
        <w:tabs>
          <w:tab w:pos="1200" w:val="left"/>
          <w:tab w:pos="9906" w:val="right"/>
        </w:tabs>
        <w:spacing w:after="0"/>
        <w:ind w:left="480"/>
        <w:rPr>
          <w:rFonts w:cs="Times New Roman" w:eastAsia="MS Mincho" w:hAnsi="Cambria" w:ascii="Cambria"/>
          <w:noProof/>
          <w:lang w:eastAsia="en-GB" w:val="en-GB"/>
        </w:rPr>
      </w:pPr>
      <w:hyperlink r:id="rId17" w:anchor="_Toc482047545" w:history="true">
        <w:r w:rsidRPr="006252DC">
          <w:rPr>
            <w:rFonts w:cs="Calibri" w:eastAsia="Times New Roman" w:hAnsi="Calibri" w:ascii="Calibri"/>
            <w:i/>
            <w:iCs/>
            <w:noProof/>
            <w:color w:val="0000FF"/>
            <w:sz w:val="20"/>
            <w:szCs w:val="20"/>
            <w:u w:val="single"/>
            <w:lang w:eastAsia="hr-HR"/>
          </w:rPr>
          <w:t>1.1.2.</w:t>
        </w:r>
        <w:r w:rsidRPr="006252DC">
          <w:rPr>
            <w:rFonts w:cs="Calibri" w:eastAsia="MS Mincho" w:hAnsi="Cambria" w:ascii="Cambria"/>
            <w:noProof/>
            <w:sz w:val="20"/>
            <w:szCs w:val="20"/>
            <w:u w:val="single"/>
            <w:lang w:eastAsia="en-GB" w:val="en-GB"/>
          </w:rPr>
          <w:tab/>
        </w:r>
        <w:r w:rsidRPr="006252DC">
          <w:rPr>
            <w:rFonts w:cs="Calibri" w:eastAsia="Times New Roman" w:hAnsi="Calibri" w:ascii="Calibri"/>
            <w:i/>
            <w:iCs/>
            <w:noProof/>
            <w:color w:val="0000FF"/>
            <w:sz w:val="20"/>
            <w:szCs w:val="20"/>
            <w:u w:val="single"/>
            <w:lang w:eastAsia="hr-HR"/>
          </w:rPr>
          <w:t>Uprava tvrtke</w:t>
        </w:r>
        <w:r w:rsidRPr="006252DC">
          <w:rPr>
            <w:rFonts w:cs="Calibri" w:eastAsia="Times New Roman" w:hAnsi="Calibri" w:ascii="Calibri"/>
            <w:i/>
            <w:iCs/>
            <w:noProof/>
            <w:webHidden/>
            <w:sz w:val="20"/>
            <w:szCs w:val="20"/>
            <w:u w:val="single"/>
            <w:lang w:eastAsia="hr-HR"/>
          </w:rPr>
          <w:tab/>
        </w:r>
        <w:r w:rsidRPr="006252DC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6252DC">
          <w:rPr>
            <w:rFonts w:cs="Calibri" w:eastAsia="Times New Roman" w:hAnsi="Calibri" w:ascii="Calibri"/>
            <w:i/>
            <w:iCs/>
            <w:noProof/>
            <w:webHidden/>
            <w:sz w:val="20"/>
            <w:szCs w:val="20"/>
            <w:u w:val="single"/>
            <w:lang w:eastAsia="hr-HR"/>
          </w:rPr>
          <w:instrText xml:space="preserve"> PAGEREF _Toc482047545 \h </w:instrText>
        </w:r>
        <w:r w:rsidRPr="006252DC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</w:r>
        <w:r w:rsidRPr="006252DC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6252DC">
          <w:rPr>
            <w:rFonts w:cs="Calibri" w:eastAsia="Times New Roman" w:hAnsi="Calibri" w:ascii="Calibri"/>
            <w:i/>
            <w:iCs/>
            <w:noProof/>
            <w:webHidden/>
            <w:sz w:val="20"/>
            <w:szCs w:val="20"/>
            <w:u w:val="single"/>
            <w:lang w:eastAsia="hr-HR"/>
          </w:rPr>
          <w:t>7</w:t>
        </w:r>
        <w:r w:rsidRPr="006252DC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6252DC" w:rsidP="006252DC" w:rsidR="006252DC" w:rsidRPr="006252DC">
      <w:pPr>
        <w:tabs>
          <w:tab w:pos="1200" w:val="left"/>
          <w:tab w:pos="9906" w:val="right"/>
        </w:tabs>
        <w:spacing w:after="0"/>
        <w:ind w:left="480"/>
        <w:rPr>
          <w:rFonts w:cs="Times New Roman" w:eastAsia="MS Mincho" w:hAnsi="Cambria" w:ascii="Cambria"/>
          <w:noProof/>
          <w:lang w:eastAsia="en-GB" w:val="en-GB"/>
        </w:rPr>
      </w:pPr>
      <w:hyperlink r:id="rId18" w:anchor="_Toc482047546" w:history="true">
        <w:r w:rsidRPr="006252DC">
          <w:rPr>
            <w:rFonts w:cs="Calibri" w:eastAsia="Times New Roman" w:hAnsi="Calibri" w:ascii="Calibri"/>
            <w:i/>
            <w:iCs/>
            <w:noProof/>
            <w:color w:val="0000FF"/>
            <w:sz w:val="20"/>
            <w:szCs w:val="20"/>
            <w:u w:val="single"/>
            <w:lang w:eastAsia="hr-HR"/>
          </w:rPr>
          <w:t>1.1.3.</w:t>
        </w:r>
        <w:r w:rsidRPr="006252DC">
          <w:rPr>
            <w:rFonts w:cs="Calibri" w:eastAsia="MS Mincho" w:hAnsi="Cambria" w:ascii="Cambria"/>
            <w:noProof/>
            <w:sz w:val="20"/>
            <w:szCs w:val="20"/>
            <w:u w:val="single"/>
            <w:lang w:eastAsia="en-GB" w:val="en-GB"/>
          </w:rPr>
          <w:tab/>
        </w:r>
        <w:r w:rsidRPr="006252DC">
          <w:rPr>
            <w:rFonts w:cs="Calibri" w:eastAsia="Times New Roman" w:hAnsi="Calibri" w:ascii="Calibri"/>
            <w:i/>
            <w:iCs/>
            <w:noProof/>
            <w:color w:val="0000FF"/>
            <w:sz w:val="20"/>
            <w:szCs w:val="20"/>
            <w:u w:val="single"/>
            <w:lang w:eastAsia="hr-HR"/>
          </w:rPr>
          <w:t>Vlasnička struktura</w:t>
        </w:r>
        <w:r w:rsidRPr="006252DC">
          <w:rPr>
            <w:rFonts w:cs="Calibri" w:eastAsia="Times New Roman" w:hAnsi="Calibri" w:ascii="Calibri"/>
            <w:i/>
            <w:iCs/>
            <w:noProof/>
            <w:webHidden/>
            <w:sz w:val="20"/>
            <w:szCs w:val="20"/>
            <w:u w:val="single"/>
            <w:lang w:eastAsia="hr-HR"/>
          </w:rPr>
          <w:tab/>
        </w:r>
        <w:r w:rsidRPr="006252DC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6252DC">
          <w:rPr>
            <w:rFonts w:cs="Calibri" w:eastAsia="Times New Roman" w:hAnsi="Calibri" w:ascii="Calibri"/>
            <w:i/>
            <w:iCs/>
            <w:noProof/>
            <w:webHidden/>
            <w:sz w:val="20"/>
            <w:szCs w:val="20"/>
            <w:u w:val="single"/>
            <w:lang w:eastAsia="hr-HR"/>
          </w:rPr>
          <w:instrText xml:space="preserve"> PAGEREF _Toc482047546 \h </w:instrText>
        </w:r>
        <w:r w:rsidRPr="006252DC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</w:r>
        <w:r w:rsidRPr="006252DC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6252DC">
          <w:rPr>
            <w:rFonts w:cs="Calibri" w:eastAsia="Times New Roman" w:hAnsi="Calibri" w:ascii="Calibri"/>
            <w:i/>
            <w:iCs/>
            <w:noProof/>
            <w:webHidden/>
            <w:sz w:val="20"/>
            <w:szCs w:val="20"/>
            <w:u w:val="single"/>
            <w:lang w:eastAsia="hr-HR"/>
          </w:rPr>
          <w:t>7</w:t>
        </w:r>
        <w:r w:rsidRPr="006252DC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6252DC" w:rsidP="006252DC" w:rsidR="006252DC" w:rsidRPr="006252DC">
      <w:pPr>
        <w:tabs>
          <w:tab w:pos="1200" w:val="left"/>
          <w:tab w:pos="9906" w:val="right"/>
        </w:tabs>
        <w:spacing w:after="0"/>
        <w:ind w:left="480"/>
        <w:rPr>
          <w:rFonts w:cs="Times New Roman" w:eastAsia="MS Mincho" w:hAnsi="Cambria" w:ascii="Cambria"/>
          <w:noProof/>
          <w:lang w:eastAsia="en-GB" w:val="en-GB"/>
        </w:rPr>
      </w:pPr>
      <w:hyperlink r:id="rId19" w:anchor="_Toc482047547" w:history="true">
        <w:r w:rsidRPr="006252DC">
          <w:rPr>
            <w:rFonts w:cs="Calibri" w:eastAsia="Times New Roman" w:hAnsi="Calibri" w:ascii="Calibri"/>
            <w:i/>
            <w:iCs/>
            <w:noProof/>
            <w:color w:val="0000FF"/>
            <w:sz w:val="20"/>
            <w:szCs w:val="20"/>
            <w:u w:val="single"/>
            <w:lang w:eastAsia="hr-HR"/>
          </w:rPr>
          <w:t>1.1.4.</w:t>
        </w:r>
        <w:r w:rsidRPr="006252DC">
          <w:rPr>
            <w:rFonts w:cs="Calibri" w:eastAsia="MS Mincho" w:hAnsi="Cambria" w:ascii="Cambria"/>
            <w:noProof/>
            <w:sz w:val="20"/>
            <w:szCs w:val="20"/>
            <w:u w:val="single"/>
            <w:lang w:eastAsia="en-GB" w:val="en-GB"/>
          </w:rPr>
          <w:tab/>
        </w:r>
        <w:r w:rsidRPr="006252DC">
          <w:rPr>
            <w:rFonts w:cs="Calibri" w:eastAsia="Times New Roman" w:hAnsi="Calibri" w:ascii="Calibri"/>
            <w:i/>
            <w:iCs/>
            <w:noProof/>
            <w:color w:val="0000FF"/>
            <w:sz w:val="20"/>
            <w:szCs w:val="20"/>
            <w:u w:val="single"/>
            <w:lang w:eastAsia="hr-HR"/>
          </w:rPr>
          <w:t>Operativno poslovanje i tržišna situacija</w:t>
        </w:r>
        <w:r w:rsidRPr="006252DC">
          <w:rPr>
            <w:rFonts w:cs="Calibri" w:eastAsia="Times New Roman" w:hAnsi="Calibri" w:ascii="Calibri"/>
            <w:i/>
            <w:iCs/>
            <w:noProof/>
            <w:webHidden/>
            <w:sz w:val="20"/>
            <w:szCs w:val="20"/>
            <w:u w:val="single"/>
            <w:lang w:eastAsia="hr-HR"/>
          </w:rPr>
          <w:tab/>
        </w:r>
        <w:r w:rsidRPr="006252DC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6252DC">
          <w:rPr>
            <w:rFonts w:cs="Calibri" w:eastAsia="Times New Roman" w:hAnsi="Calibri" w:ascii="Calibri"/>
            <w:i/>
            <w:iCs/>
            <w:noProof/>
            <w:webHidden/>
            <w:sz w:val="20"/>
            <w:szCs w:val="20"/>
            <w:u w:val="single"/>
            <w:lang w:eastAsia="hr-HR"/>
          </w:rPr>
          <w:instrText xml:space="preserve"> PAGEREF _Toc482047547 \h </w:instrText>
        </w:r>
        <w:r w:rsidRPr="006252DC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</w:r>
        <w:r w:rsidRPr="006252DC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6252DC">
          <w:rPr>
            <w:rFonts w:cs="Calibri" w:eastAsia="Times New Roman" w:hAnsi="Calibri" w:ascii="Calibri"/>
            <w:i/>
            <w:iCs/>
            <w:noProof/>
            <w:webHidden/>
            <w:sz w:val="20"/>
            <w:szCs w:val="20"/>
            <w:u w:val="single"/>
            <w:lang w:eastAsia="hr-HR"/>
          </w:rPr>
          <w:t>8</w:t>
        </w:r>
        <w:r w:rsidRPr="006252DC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6252DC" w:rsidP="006252DC" w:rsidR="006252DC" w:rsidRPr="006252DC">
      <w:pPr>
        <w:tabs>
          <w:tab w:pos="1200" w:val="left"/>
          <w:tab w:pos="9906" w:val="right"/>
        </w:tabs>
        <w:spacing w:after="0"/>
        <w:ind w:left="480"/>
        <w:rPr>
          <w:rFonts w:cs="Times New Roman" w:eastAsia="MS Mincho" w:hAnsi="Cambria" w:ascii="Cambria"/>
          <w:noProof/>
          <w:lang w:eastAsia="en-GB" w:val="en-GB"/>
        </w:rPr>
      </w:pPr>
      <w:hyperlink r:id="rId20" w:anchor="_Toc482047548" w:history="true">
        <w:r w:rsidRPr="006252DC">
          <w:rPr>
            <w:rFonts w:cs="Calibri" w:eastAsia="Times New Roman" w:hAnsi="Calibri" w:ascii="Calibri"/>
            <w:i/>
            <w:iCs/>
            <w:noProof/>
            <w:color w:val="0000FF"/>
            <w:sz w:val="20"/>
            <w:szCs w:val="20"/>
            <w:u w:val="single"/>
            <w:lang w:eastAsia="hr-HR"/>
          </w:rPr>
          <w:t>1.1.5.</w:t>
        </w:r>
        <w:r w:rsidRPr="006252DC">
          <w:rPr>
            <w:rFonts w:cs="Calibri" w:eastAsia="MS Mincho" w:hAnsi="Cambria" w:ascii="Cambria"/>
            <w:noProof/>
            <w:sz w:val="20"/>
            <w:szCs w:val="20"/>
            <w:u w:val="single"/>
            <w:lang w:eastAsia="en-GB" w:val="en-GB"/>
          </w:rPr>
          <w:tab/>
        </w:r>
        <w:r w:rsidRPr="006252DC">
          <w:rPr>
            <w:rFonts w:cs="Calibri" w:eastAsia="Times New Roman" w:hAnsi="Calibri" w:ascii="Calibri"/>
            <w:i/>
            <w:iCs/>
            <w:noProof/>
            <w:color w:val="0000FF"/>
            <w:sz w:val="20"/>
            <w:szCs w:val="20"/>
            <w:u w:val="single"/>
            <w:lang w:eastAsia="hr-HR"/>
          </w:rPr>
          <w:t>Analiza zaposlenih</w:t>
        </w:r>
        <w:r w:rsidRPr="006252DC">
          <w:rPr>
            <w:rFonts w:cs="Calibri" w:eastAsia="Times New Roman" w:hAnsi="Calibri" w:ascii="Calibri"/>
            <w:i/>
            <w:iCs/>
            <w:noProof/>
            <w:webHidden/>
            <w:sz w:val="20"/>
            <w:szCs w:val="20"/>
            <w:u w:val="single"/>
            <w:lang w:eastAsia="hr-HR"/>
          </w:rPr>
          <w:tab/>
        </w:r>
        <w:r w:rsidRPr="006252DC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6252DC">
          <w:rPr>
            <w:rFonts w:cs="Calibri" w:eastAsia="Times New Roman" w:hAnsi="Calibri" w:ascii="Calibri"/>
            <w:i/>
            <w:iCs/>
            <w:noProof/>
            <w:webHidden/>
            <w:sz w:val="20"/>
            <w:szCs w:val="20"/>
            <w:u w:val="single"/>
            <w:lang w:eastAsia="hr-HR"/>
          </w:rPr>
          <w:instrText xml:space="preserve"> PAGEREF _Toc482047548 \h </w:instrText>
        </w:r>
        <w:r w:rsidRPr="006252DC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</w:r>
        <w:r w:rsidRPr="006252DC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6252DC">
          <w:rPr>
            <w:rFonts w:cs="Calibri" w:eastAsia="Times New Roman" w:hAnsi="Calibri" w:ascii="Calibri"/>
            <w:i/>
            <w:iCs/>
            <w:noProof/>
            <w:webHidden/>
            <w:sz w:val="20"/>
            <w:szCs w:val="20"/>
            <w:u w:val="single"/>
            <w:lang w:eastAsia="hr-HR"/>
          </w:rPr>
          <w:t>9</w:t>
        </w:r>
        <w:r w:rsidRPr="006252DC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6252DC" w:rsidP="006252DC" w:rsidR="006252DC" w:rsidRPr="006252DC">
      <w:pPr>
        <w:tabs>
          <w:tab w:pos="1200" w:val="left"/>
          <w:tab w:pos="9906" w:val="right"/>
        </w:tabs>
        <w:spacing w:after="0"/>
        <w:ind w:left="480"/>
        <w:rPr>
          <w:rFonts w:cs="Times New Roman" w:eastAsia="MS Mincho" w:hAnsi="Cambria" w:ascii="Cambria"/>
          <w:noProof/>
          <w:lang w:eastAsia="en-GB" w:val="en-GB"/>
        </w:rPr>
      </w:pPr>
      <w:hyperlink r:id="rId21" w:anchor="_Toc482047549" w:history="true">
        <w:r w:rsidRPr="006252DC">
          <w:rPr>
            <w:rFonts w:cs="Calibri" w:eastAsia="Times New Roman" w:hAnsi="Calibri" w:ascii="Calibri"/>
            <w:i/>
            <w:iCs/>
            <w:noProof/>
            <w:color w:val="0000FF"/>
            <w:sz w:val="20"/>
            <w:szCs w:val="20"/>
            <w:u w:val="single"/>
            <w:lang w:eastAsia="hr-HR"/>
          </w:rPr>
          <w:t>1.1.6.</w:t>
        </w:r>
        <w:r w:rsidRPr="006252DC">
          <w:rPr>
            <w:rFonts w:cs="Calibri" w:eastAsia="MS Mincho" w:hAnsi="Cambria" w:ascii="Cambria"/>
            <w:noProof/>
            <w:sz w:val="20"/>
            <w:szCs w:val="20"/>
            <w:u w:val="single"/>
            <w:lang w:eastAsia="en-GB" w:val="en-GB"/>
          </w:rPr>
          <w:tab/>
        </w:r>
        <w:r w:rsidRPr="006252DC">
          <w:rPr>
            <w:rFonts w:cs="Calibri" w:eastAsia="Times New Roman" w:hAnsi="Calibri" w:ascii="Calibri"/>
            <w:i/>
            <w:iCs/>
            <w:noProof/>
            <w:color w:val="0000FF"/>
            <w:sz w:val="20"/>
            <w:szCs w:val="20"/>
            <w:u w:val="single"/>
            <w:lang w:eastAsia="hr-HR"/>
          </w:rPr>
          <w:t>Financijsko izvješće na 28.02.2017. godine</w:t>
        </w:r>
        <w:r w:rsidRPr="006252DC">
          <w:rPr>
            <w:rFonts w:cs="Calibri" w:eastAsia="Times New Roman" w:hAnsi="Calibri" w:ascii="Calibri"/>
            <w:i/>
            <w:iCs/>
            <w:noProof/>
            <w:webHidden/>
            <w:sz w:val="20"/>
            <w:szCs w:val="20"/>
            <w:u w:val="single"/>
            <w:lang w:eastAsia="hr-HR"/>
          </w:rPr>
          <w:tab/>
        </w:r>
        <w:r w:rsidRPr="006252DC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6252DC">
          <w:rPr>
            <w:rFonts w:cs="Calibri" w:eastAsia="Times New Roman" w:hAnsi="Calibri" w:ascii="Calibri"/>
            <w:i/>
            <w:iCs/>
            <w:noProof/>
            <w:webHidden/>
            <w:sz w:val="20"/>
            <w:szCs w:val="20"/>
            <w:u w:val="single"/>
            <w:lang w:eastAsia="hr-HR"/>
          </w:rPr>
          <w:instrText xml:space="preserve"> PAGEREF _Toc482047549 \h </w:instrText>
        </w:r>
        <w:r w:rsidRPr="006252DC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</w:r>
        <w:r w:rsidRPr="006252DC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6252DC">
          <w:rPr>
            <w:rFonts w:cs="Calibri" w:eastAsia="Times New Roman" w:hAnsi="Calibri" w:ascii="Calibri"/>
            <w:i/>
            <w:iCs/>
            <w:noProof/>
            <w:webHidden/>
            <w:sz w:val="20"/>
            <w:szCs w:val="20"/>
            <w:u w:val="single"/>
            <w:lang w:eastAsia="hr-HR"/>
          </w:rPr>
          <w:t>10</w:t>
        </w:r>
        <w:r w:rsidRPr="006252DC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6252DC" w:rsidP="006252DC" w:rsidR="006252DC" w:rsidRPr="006252DC">
      <w:pPr>
        <w:tabs>
          <w:tab w:pos="1200" w:val="left"/>
          <w:tab w:pos="9906" w:val="right"/>
        </w:tabs>
        <w:spacing w:after="0"/>
        <w:ind w:left="480"/>
        <w:rPr>
          <w:rFonts w:cs="Times New Roman" w:eastAsia="MS Mincho" w:hAnsi="Cambria" w:ascii="Cambria"/>
          <w:noProof/>
          <w:lang w:eastAsia="en-GB" w:val="en-GB"/>
        </w:rPr>
      </w:pPr>
      <w:hyperlink r:id="rId22" w:anchor="_Toc482047550" w:history="true">
        <w:r w:rsidRPr="006252DC">
          <w:rPr>
            <w:rFonts w:cs="Calibri" w:eastAsia="Times New Roman" w:hAnsi="Calibri" w:ascii="Calibri"/>
            <w:i/>
            <w:iCs/>
            <w:noProof/>
            <w:color w:val="0000FF"/>
            <w:sz w:val="20"/>
            <w:szCs w:val="20"/>
            <w:u w:val="single"/>
            <w:lang w:eastAsia="hr-HR" w:val="en-US"/>
          </w:rPr>
          <w:t>1.1.7.</w:t>
        </w:r>
        <w:r w:rsidRPr="006252DC">
          <w:rPr>
            <w:rFonts w:cs="Calibri" w:eastAsia="MS Mincho" w:hAnsi="Cambria" w:ascii="Cambria"/>
            <w:noProof/>
            <w:sz w:val="20"/>
            <w:szCs w:val="20"/>
            <w:u w:val="single"/>
            <w:lang w:eastAsia="en-GB" w:val="en-GB"/>
          </w:rPr>
          <w:tab/>
        </w:r>
        <w:r w:rsidRPr="006252DC">
          <w:rPr>
            <w:rFonts w:cs="Calibri" w:eastAsia="Times New Roman" w:hAnsi="Calibri" w:ascii="Calibri"/>
            <w:i/>
            <w:iCs/>
            <w:noProof/>
            <w:color w:val="0000FF"/>
            <w:sz w:val="20"/>
            <w:szCs w:val="20"/>
            <w:u w:val="single"/>
            <w:lang w:eastAsia="hr-HR"/>
          </w:rPr>
          <w:t xml:space="preserve">Opis činjenica i okolnosti iz kojih proizlazi postojanje </w:t>
        </w:r>
        <w:r w:rsidRPr="006252DC">
          <w:rPr>
            <w:rFonts w:cs="Calibri" w:eastAsia="Times New Roman" w:hAnsi="Calibri" w:ascii="Calibri"/>
            <w:i/>
            <w:iCs/>
            <w:noProof/>
            <w:color w:val="0000FF"/>
            <w:sz w:val="20"/>
            <w:szCs w:val="20"/>
            <w:u w:val="single"/>
            <w:lang w:eastAsia="hr-HR" w:val="en-US"/>
          </w:rPr>
          <w:t>prijeteće nesposobnosti za plaćanje</w:t>
        </w:r>
        <w:r w:rsidRPr="006252DC">
          <w:rPr>
            <w:rFonts w:cs="Calibri" w:eastAsia="Times New Roman" w:hAnsi="Calibri" w:ascii="Calibri"/>
            <w:i/>
            <w:iCs/>
            <w:noProof/>
            <w:webHidden/>
            <w:sz w:val="20"/>
            <w:szCs w:val="20"/>
            <w:u w:val="single"/>
            <w:lang w:eastAsia="hr-HR"/>
          </w:rPr>
          <w:tab/>
        </w:r>
        <w:r w:rsidRPr="006252DC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6252DC">
          <w:rPr>
            <w:rFonts w:cs="Calibri" w:eastAsia="Times New Roman" w:hAnsi="Calibri" w:ascii="Calibri"/>
            <w:i/>
            <w:iCs/>
            <w:noProof/>
            <w:webHidden/>
            <w:sz w:val="20"/>
            <w:szCs w:val="20"/>
            <w:u w:val="single"/>
            <w:lang w:eastAsia="hr-HR"/>
          </w:rPr>
          <w:instrText xml:space="preserve"> PAGEREF _Toc482047550 \h </w:instrText>
        </w:r>
        <w:r w:rsidRPr="006252DC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</w:r>
        <w:r w:rsidRPr="006252DC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6252DC">
          <w:rPr>
            <w:rFonts w:cs="Calibri" w:eastAsia="Times New Roman" w:hAnsi="Calibri" w:ascii="Calibri"/>
            <w:i/>
            <w:iCs/>
            <w:noProof/>
            <w:webHidden/>
            <w:sz w:val="20"/>
            <w:szCs w:val="20"/>
            <w:u w:val="single"/>
            <w:lang w:eastAsia="hr-HR"/>
          </w:rPr>
          <w:t>15</w:t>
        </w:r>
        <w:r w:rsidRPr="006252DC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6252DC" w:rsidP="006252DC" w:rsidR="006252DC" w:rsidRPr="006252DC">
      <w:pPr>
        <w:tabs>
          <w:tab w:pos="1200" w:val="left"/>
          <w:tab w:pos="9906" w:val="right"/>
        </w:tabs>
        <w:spacing w:after="0"/>
        <w:ind w:left="480"/>
        <w:rPr>
          <w:rFonts w:cs="Times New Roman" w:eastAsia="MS Mincho" w:hAnsi="Cambria" w:ascii="Cambria"/>
          <w:noProof/>
          <w:lang w:eastAsia="en-GB" w:val="en-GB"/>
        </w:rPr>
      </w:pPr>
      <w:hyperlink r:id="rId23" w:anchor="_Toc482047551" w:history="true">
        <w:r w:rsidRPr="006252DC">
          <w:rPr>
            <w:rFonts w:cs="Calibri" w:eastAsia="Times New Roman" w:hAnsi="Calibri" w:ascii="Calibri"/>
            <w:i/>
            <w:iCs/>
            <w:noProof/>
            <w:color w:val="0000FF"/>
            <w:sz w:val="20"/>
            <w:szCs w:val="20"/>
            <w:u w:val="single"/>
            <w:lang w:eastAsia="hr-HR"/>
          </w:rPr>
          <w:t>1.1.8.</w:t>
        </w:r>
        <w:r w:rsidRPr="006252DC">
          <w:rPr>
            <w:rFonts w:cs="Calibri" w:eastAsia="MS Mincho" w:hAnsi="Cambria" w:ascii="Cambria"/>
            <w:noProof/>
            <w:sz w:val="20"/>
            <w:szCs w:val="20"/>
            <w:u w:val="single"/>
            <w:lang w:eastAsia="en-GB" w:val="en-GB"/>
          </w:rPr>
          <w:tab/>
        </w:r>
        <w:r w:rsidRPr="006252DC">
          <w:rPr>
            <w:rFonts w:cs="Calibri" w:eastAsia="Times New Roman" w:hAnsi="Calibri" w:ascii="Calibri"/>
            <w:i/>
            <w:iCs/>
            <w:noProof/>
            <w:color w:val="0000FF"/>
            <w:sz w:val="20"/>
            <w:szCs w:val="20"/>
            <w:u w:val="single"/>
            <w:lang w:eastAsia="hr-HR"/>
          </w:rPr>
          <w:t>Opis činjenica i okolnosti iz kojih proizlazi postojanje uvjeta za otvaranje predstečajnog postupka</w:t>
        </w:r>
        <w:r w:rsidRPr="006252DC">
          <w:rPr>
            <w:rFonts w:cs="Calibri" w:eastAsia="Times New Roman" w:hAnsi="Calibri" w:ascii="Calibri"/>
            <w:i/>
            <w:iCs/>
            <w:noProof/>
            <w:webHidden/>
            <w:sz w:val="20"/>
            <w:szCs w:val="20"/>
            <w:u w:val="single"/>
            <w:lang w:eastAsia="hr-HR"/>
          </w:rPr>
          <w:tab/>
        </w:r>
        <w:r w:rsidRPr="006252DC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6252DC">
          <w:rPr>
            <w:rFonts w:cs="Calibri" w:eastAsia="Times New Roman" w:hAnsi="Calibri" w:ascii="Calibri"/>
            <w:i/>
            <w:iCs/>
            <w:noProof/>
            <w:webHidden/>
            <w:sz w:val="20"/>
            <w:szCs w:val="20"/>
            <w:u w:val="single"/>
            <w:lang w:eastAsia="hr-HR"/>
          </w:rPr>
          <w:instrText xml:space="preserve"> PAGEREF _Toc482047551 \h </w:instrText>
        </w:r>
        <w:r w:rsidRPr="006252DC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</w:r>
        <w:r w:rsidRPr="006252DC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6252DC">
          <w:rPr>
            <w:rFonts w:cs="Calibri" w:eastAsia="Times New Roman" w:hAnsi="Calibri" w:ascii="Calibri"/>
            <w:i/>
            <w:iCs/>
            <w:noProof/>
            <w:webHidden/>
            <w:sz w:val="20"/>
            <w:szCs w:val="20"/>
            <w:u w:val="single"/>
            <w:lang w:eastAsia="hr-HR"/>
          </w:rPr>
          <w:t>16</w:t>
        </w:r>
        <w:r w:rsidRPr="006252DC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6252DC" w:rsidP="006252DC" w:rsidR="006252DC" w:rsidRPr="006252DC">
      <w:pPr>
        <w:tabs>
          <w:tab w:pos="1200" w:val="left"/>
          <w:tab w:pos="9906" w:val="right"/>
        </w:tabs>
        <w:spacing w:after="0"/>
        <w:ind w:left="480"/>
        <w:rPr>
          <w:rFonts w:cs="Times New Roman" w:eastAsia="MS Mincho" w:hAnsi="Cambria" w:ascii="Cambria"/>
          <w:noProof/>
          <w:lang w:eastAsia="en-GB" w:val="en-GB"/>
        </w:rPr>
      </w:pPr>
      <w:hyperlink r:id="rId24" w:anchor="_Toc482047552" w:history="true">
        <w:r w:rsidRPr="006252DC">
          <w:rPr>
            <w:rFonts w:cs="Calibri" w:eastAsia="Times New Roman" w:hAnsi="Calibri" w:ascii="Calibri"/>
            <w:i/>
            <w:iCs/>
            <w:noProof/>
            <w:color w:val="0000FF"/>
            <w:sz w:val="20"/>
            <w:szCs w:val="20"/>
            <w:u w:val="single"/>
            <w:lang w:eastAsia="hr-HR"/>
          </w:rPr>
          <w:t>1.1.9.</w:t>
        </w:r>
        <w:r w:rsidRPr="006252DC">
          <w:rPr>
            <w:rFonts w:cs="Calibri" w:eastAsia="MS Mincho" w:hAnsi="Cambria" w:ascii="Cambria"/>
            <w:noProof/>
            <w:sz w:val="20"/>
            <w:szCs w:val="20"/>
            <w:u w:val="single"/>
            <w:lang w:eastAsia="en-GB" w:val="en-GB"/>
          </w:rPr>
          <w:tab/>
        </w:r>
        <w:r w:rsidRPr="006252DC">
          <w:rPr>
            <w:rFonts w:cs="Calibri" w:eastAsia="Times New Roman" w:hAnsi="Calibri" w:ascii="Calibri"/>
            <w:i/>
            <w:iCs/>
            <w:noProof/>
            <w:color w:val="0000FF"/>
            <w:sz w:val="20"/>
            <w:szCs w:val="20"/>
            <w:u w:val="single"/>
            <w:lang w:eastAsia="hr-HR"/>
          </w:rPr>
          <w:t>Ukupne obveze društva</w:t>
        </w:r>
        <w:r w:rsidRPr="006252DC">
          <w:rPr>
            <w:rFonts w:cs="Calibri" w:eastAsia="Times New Roman" w:hAnsi="Calibri" w:ascii="Calibri"/>
            <w:i/>
            <w:iCs/>
            <w:noProof/>
            <w:webHidden/>
            <w:sz w:val="20"/>
            <w:szCs w:val="20"/>
            <w:u w:val="single"/>
            <w:lang w:eastAsia="hr-HR"/>
          </w:rPr>
          <w:tab/>
        </w:r>
        <w:r w:rsidRPr="006252DC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6252DC">
          <w:rPr>
            <w:rFonts w:cs="Calibri" w:eastAsia="Times New Roman" w:hAnsi="Calibri" w:ascii="Calibri"/>
            <w:i/>
            <w:iCs/>
            <w:noProof/>
            <w:webHidden/>
            <w:sz w:val="20"/>
            <w:szCs w:val="20"/>
            <w:u w:val="single"/>
            <w:lang w:eastAsia="hr-HR"/>
          </w:rPr>
          <w:instrText xml:space="preserve"> PAGEREF _Toc482047552 \h </w:instrText>
        </w:r>
        <w:r w:rsidRPr="006252DC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</w:r>
        <w:r w:rsidRPr="006252DC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6252DC">
          <w:rPr>
            <w:rFonts w:cs="Calibri" w:eastAsia="Times New Roman" w:hAnsi="Calibri" w:ascii="Calibri"/>
            <w:i/>
            <w:iCs/>
            <w:noProof/>
            <w:webHidden/>
            <w:sz w:val="20"/>
            <w:szCs w:val="20"/>
            <w:u w:val="single"/>
            <w:lang w:eastAsia="hr-HR"/>
          </w:rPr>
          <w:t>17</w:t>
        </w:r>
        <w:r w:rsidRPr="006252DC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6252DC" w:rsidP="006252DC" w:rsidR="006252DC" w:rsidRPr="006252DC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lang w:eastAsia="en-GB" w:val="en-GB"/>
        </w:rPr>
      </w:pPr>
      <w:hyperlink r:id="rId25" w:anchor="_Toc482047553" w:history="true">
        <w:r w:rsidRPr="006252DC">
          <w:rPr>
            <w:rFonts w:cs="Calibri" w:eastAsia="Times New Roman"/>
            <w:b/>
            <w:bCs/>
            <w:caps/>
            <w:noProof/>
            <w:color w:val="0000FF"/>
            <w:sz w:val="28"/>
            <w:szCs w:val="28"/>
            <w:u w:val="single"/>
            <w:lang w:eastAsia="hr-HR"/>
          </w:rPr>
          <w:t>2. IZRAČUN MANJKA LIKVIDNIH SREDSTAVA NA DAN PRILOŽENIH FINANCIJSKIH IZVJEŠTAJA</w:t>
        </w:r>
        <w:r w:rsidRPr="006252DC">
          <w:rPr>
            <w:rFonts w:cs="Calibri" w:eastAsia="Times New Roman"/>
            <w:b/>
            <w:bCs/>
            <w:caps/>
            <w:noProof/>
            <w:webHidden/>
            <w:sz w:val="28"/>
            <w:szCs w:val="28"/>
            <w:u w:val="single"/>
            <w:lang w:eastAsia="hr-HR"/>
          </w:rPr>
          <w:tab/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6252DC">
          <w:rPr>
            <w:rFonts w:cs="Calibri" w:eastAsia="Times New Roman"/>
            <w:b/>
            <w:bCs/>
            <w:caps/>
            <w:noProof/>
            <w:webHidden/>
            <w:sz w:val="28"/>
            <w:szCs w:val="28"/>
            <w:u w:val="single"/>
            <w:lang w:eastAsia="hr-HR"/>
          </w:rPr>
          <w:instrText xml:space="preserve"> PAGEREF _Toc482047553 \h </w:instrText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6252DC">
          <w:rPr>
            <w:rFonts w:cs="Calibri" w:eastAsia="Times New Roman"/>
            <w:b/>
            <w:bCs/>
            <w:caps/>
            <w:noProof/>
            <w:webHidden/>
            <w:sz w:val="28"/>
            <w:szCs w:val="28"/>
            <w:u w:val="single"/>
            <w:lang w:eastAsia="hr-HR"/>
          </w:rPr>
          <w:t>18</w:t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6252DC" w:rsidP="006252DC" w:rsidR="006252DC" w:rsidRPr="006252DC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lang w:eastAsia="en-GB" w:val="en-GB"/>
        </w:rPr>
      </w:pPr>
      <w:hyperlink r:id="rId26" w:anchor="_Toc482047554" w:history="true">
        <w:r w:rsidRPr="006252DC">
          <w:rPr>
            <w:rFonts w:cs="Calibri" w:eastAsia="Times New Roman"/>
            <w:b/>
            <w:bCs/>
            <w:caps/>
            <w:noProof/>
            <w:color w:val="0000FF"/>
            <w:sz w:val="28"/>
            <w:szCs w:val="28"/>
            <w:u w:val="single"/>
            <w:lang w:eastAsia="hr-HR"/>
          </w:rPr>
          <w:t>3. OPIS MJERA  FINANCIJSKOG  RESTRUKTURIRANJA I IZRAČUN NJIHOVIH UČINAKA NA MANJAK LIKVIDNIH SREDSTAVA</w:t>
        </w:r>
        <w:r w:rsidRPr="006252DC">
          <w:rPr>
            <w:rFonts w:cs="Calibri" w:eastAsia="Times New Roman"/>
            <w:b/>
            <w:bCs/>
            <w:caps/>
            <w:noProof/>
            <w:webHidden/>
            <w:sz w:val="28"/>
            <w:szCs w:val="28"/>
            <w:u w:val="single"/>
            <w:lang w:eastAsia="hr-HR"/>
          </w:rPr>
          <w:tab/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6252DC">
          <w:rPr>
            <w:rFonts w:cs="Calibri" w:eastAsia="Times New Roman"/>
            <w:b/>
            <w:bCs/>
            <w:caps/>
            <w:noProof/>
            <w:webHidden/>
            <w:sz w:val="28"/>
            <w:szCs w:val="28"/>
            <w:u w:val="single"/>
            <w:lang w:eastAsia="hr-HR"/>
          </w:rPr>
          <w:instrText xml:space="preserve"> PAGEREF _Toc482047554 \h </w:instrText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6252DC">
          <w:rPr>
            <w:rFonts w:cs="Calibri" w:eastAsia="Times New Roman"/>
            <w:b/>
            <w:bCs/>
            <w:caps/>
            <w:noProof/>
            <w:webHidden/>
            <w:sz w:val="28"/>
            <w:szCs w:val="28"/>
            <w:u w:val="single"/>
            <w:lang w:eastAsia="hr-HR"/>
          </w:rPr>
          <w:t>19</w:t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6252DC" w:rsidP="006252DC" w:rsidR="006252DC" w:rsidRPr="006252DC">
      <w:pPr>
        <w:numPr>
          <w:ilvl w:val="0"/>
          <w:numId w:val="44"/>
        </w:numPr>
        <w:tabs>
          <w:tab w:pos="1985" w:val="clear"/>
          <w:tab w:pos="960" w:val="left"/>
          <w:tab w:pos="1492" w:val="num"/>
          <w:tab w:pos="8914" w:leader="dot" w:val="right"/>
        </w:tabs>
        <w:spacing w:lineRule="auto" w:line="480" w:after="0"/>
        <w:ind w:firstLine="0" w:left="240"/>
        <w:rPr>
          <w:rFonts w:cs="Times New Roman" w:eastAsia="MS Mincho" w:hAnsi="Cambria" w:ascii="Cambria"/>
          <w:smallCaps/>
          <w:noProof/>
          <w:lang w:eastAsia="en-GB" w:val="en-GB"/>
        </w:rPr>
      </w:pPr>
      <w:hyperlink r:id="rId27" w:anchor="_Toc482047555" w:history="true">
        <w:r w:rsidRPr="006252DC">
          <w:rPr>
            <w:rFonts w:cs="Calibri" w:eastAsia="Times New Roman" w:hAnsi="Calibri" w:ascii="Calibri"/>
            <w:smallCaps/>
            <w:noProof/>
            <w:color w:val="0000FF"/>
            <w:sz w:val="20"/>
            <w:szCs w:val="20"/>
            <w:u w:val="single"/>
            <w:lang w:eastAsia="hr-HR"/>
          </w:rPr>
          <w:t>3.1.   Izračun financijskih mjera na manjak likvidnih sredstava</w:t>
        </w:r>
        <w:r w:rsidRPr="006252DC">
          <w:rPr>
            <w:rFonts w:cs="Calibri" w:eastAsia="Times New Roman" w:hAnsi="Calibri" w:ascii="Calibri"/>
            <w:smallCaps/>
            <w:noProof/>
            <w:webHidden/>
            <w:sz w:val="20"/>
            <w:szCs w:val="20"/>
            <w:u w:val="single"/>
            <w:lang w:eastAsia="hr-HR"/>
          </w:rPr>
          <w:tab/>
        </w:r>
        <w:r w:rsidRPr="006252DC">
          <w:rPr>
            <w:rFonts w:cs="Calibri" w:eastAsia="Times New Roman" w:hAnsi="Calibri" w:ascii="Calibri"/>
            <w:smallCap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6252DC">
          <w:rPr>
            <w:rFonts w:cs="Calibri" w:eastAsia="Times New Roman" w:hAnsi="Calibri" w:ascii="Calibri"/>
            <w:smallCaps/>
            <w:noProof/>
            <w:webHidden/>
            <w:sz w:val="20"/>
            <w:szCs w:val="20"/>
            <w:u w:val="single"/>
            <w:lang w:eastAsia="hr-HR"/>
          </w:rPr>
          <w:instrText xml:space="preserve"> PAGEREF _Toc482047555 \h </w:instrText>
        </w:r>
        <w:r w:rsidRPr="006252DC">
          <w:rPr>
            <w:rFonts w:cs="Calibri" w:eastAsia="Times New Roman" w:hAnsi="Calibri" w:ascii="Calibri"/>
            <w:smallCaps/>
            <w:color w:val="0000FF"/>
            <w:sz w:val="20"/>
            <w:szCs w:val="20"/>
            <w:u w:val="single"/>
            <w:lang w:eastAsia="hr-HR"/>
          </w:rPr>
        </w:r>
        <w:r w:rsidRPr="006252DC">
          <w:rPr>
            <w:rFonts w:cs="Calibri" w:eastAsia="Times New Roman" w:hAnsi="Calibri" w:ascii="Calibri"/>
            <w:smallCap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6252DC">
          <w:rPr>
            <w:rFonts w:cs="Calibri" w:eastAsia="Times New Roman" w:hAnsi="Calibri" w:ascii="Calibri"/>
            <w:smallCaps/>
            <w:noProof/>
            <w:webHidden/>
            <w:sz w:val="20"/>
            <w:szCs w:val="20"/>
            <w:u w:val="single"/>
            <w:lang w:eastAsia="hr-HR"/>
          </w:rPr>
          <w:t>21</w:t>
        </w:r>
        <w:r w:rsidRPr="006252DC">
          <w:rPr>
            <w:rFonts w:cs="Calibri" w:eastAsia="Times New Roman" w:hAnsi="Calibri" w:ascii="Calibri"/>
            <w:smallCap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6252DC" w:rsidP="006252DC" w:rsidR="006252DC" w:rsidRPr="006252DC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lang w:eastAsia="en-GB" w:val="en-GB"/>
        </w:rPr>
      </w:pPr>
      <w:hyperlink r:id="rId28" w:anchor="_Toc482047556" w:history="true">
        <w:r w:rsidRPr="006252DC">
          <w:rPr>
            <w:rFonts w:cs="Calibri" w:eastAsia="Times New Roman"/>
            <w:b/>
            <w:bCs/>
            <w:caps/>
            <w:noProof/>
            <w:color w:val="0000FF"/>
            <w:sz w:val="28"/>
            <w:szCs w:val="28"/>
            <w:u w:val="single"/>
            <w:lang w:eastAsia="hr-HR"/>
          </w:rPr>
          <w:t>4.   OPIS MJERA OPERATIVNOG RESTRUKTURIRANJA I IZRAČUN NJIHOVIH UČINAKA NA POSLOVANJE</w:t>
        </w:r>
        <w:r w:rsidRPr="006252DC">
          <w:rPr>
            <w:rFonts w:cs="Calibri" w:eastAsia="Times New Roman"/>
            <w:b/>
            <w:bCs/>
            <w:caps/>
            <w:noProof/>
            <w:webHidden/>
            <w:sz w:val="28"/>
            <w:szCs w:val="28"/>
            <w:u w:val="single"/>
            <w:lang w:eastAsia="hr-HR"/>
          </w:rPr>
          <w:tab/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6252DC">
          <w:rPr>
            <w:rFonts w:cs="Calibri" w:eastAsia="Times New Roman"/>
            <w:b/>
            <w:bCs/>
            <w:caps/>
            <w:noProof/>
            <w:webHidden/>
            <w:sz w:val="28"/>
            <w:szCs w:val="28"/>
            <w:u w:val="single"/>
            <w:lang w:eastAsia="hr-HR"/>
          </w:rPr>
          <w:instrText xml:space="preserve"> PAGEREF _Toc482047556 \h </w:instrText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6252DC">
          <w:rPr>
            <w:rFonts w:cs="Calibri" w:eastAsia="Times New Roman"/>
            <w:b/>
            <w:bCs/>
            <w:caps/>
            <w:noProof/>
            <w:webHidden/>
            <w:sz w:val="28"/>
            <w:szCs w:val="28"/>
            <w:u w:val="single"/>
            <w:lang w:eastAsia="hr-HR"/>
          </w:rPr>
          <w:t>22</w:t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6252DC" w:rsidP="006252DC" w:rsidR="006252DC" w:rsidRPr="006252DC">
      <w:pPr>
        <w:numPr>
          <w:ilvl w:val="0"/>
          <w:numId w:val="44"/>
        </w:numPr>
        <w:tabs>
          <w:tab w:pos="1985" w:val="clear"/>
          <w:tab w:pos="960" w:val="left"/>
          <w:tab w:pos="1492" w:val="num"/>
          <w:tab w:pos="8914" w:leader="dot" w:val="right"/>
        </w:tabs>
        <w:spacing w:lineRule="auto" w:line="480" w:after="0"/>
        <w:ind w:firstLine="0" w:left="240"/>
        <w:rPr>
          <w:rFonts w:cs="Times New Roman" w:eastAsia="MS Mincho" w:hAnsi="Cambria" w:ascii="Cambria"/>
          <w:smallCaps/>
          <w:noProof/>
          <w:lang w:eastAsia="en-GB" w:val="en-GB"/>
        </w:rPr>
      </w:pPr>
      <w:hyperlink r:id="rId29" w:anchor="_Toc482047557" w:history="true">
        <w:r w:rsidRPr="006252DC">
          <w:rPr>
            <w:rFonts w:cs="Calibri" w:eastAsia="Times New Roman" w:hAnsi="Calibri" w:ascii="Calibri"/>
            <w:smallCaps/>
            <w:noProof/>
            <w:color w:val="0000FF"/>
            <w:sz w:val="20"/>
            <w:szCs w:val="20"/>
            <w:u w:val="single"/>
            <w:lang w:eastAsia="hr-HR"/>
          </w:rPr>
          <w:t>4.1    Izračun učinka operativnih mjera na poslovanje</w:t>
        </w:r>
        <w:r w:rsidRPr="006252DC">
          <w:rPr>
            <w:rFonts w:cs="Calibri" w:eastAsia="Times New Roman" w:hAnsi="Calibri" w:ascii="Calibri"/>
            <w:smallCaps/>
            <w:noProof/>
            <w:webHidden/>
            <w:sz w:val="20"/>
            <w:szCs w:val="20"/>
            <w:u w:val="single"/>
            <w:lang w:eastAsia="hr-HR"/>
          </w:rPr>
          <w:tab/>
        </w:r>
        <w:r w:rsidRPr="006252DC">
          <w:rPr>
            <w:rFonts w:cs="Calibri" w:eastAsia="Times New Roman" w:hAnsi="Calibri" w:ascii="Calibri"/>
            <w:smallCap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6252DC">
          <w:rPr>
            <w:rFonts w:cs="Calibri" w:eastAsia="Times New Roman" w:hAnsi="Calibri" w:ascii="Calibri"/>
            <w:smallCaps/>
            <w:noProof/>
            <w:webHidden/>
            <w:sz w:val="20"/>
            <w:szCs w:val="20"/>
            <w:u w:val="single"/>
            <w:lang w:eastAsia="hr-HR"/>
          </w:rPr>
          <w:instrText xml:space="preserve"> PAGEREF _Toc482047557 \h </w:instrText>
        </w:r>
        <w:r w:rsidRPr="006252DC">
          <w:rPr>
            <w:rFonts w:cs="Calibri" w:eastAsia="Times New Roman" w:hAnsi="Calibri" w:ascii="Calibri"/>
            <w:smallCaps/>
            <w:color w:val="0000FF"/>
            <w:sz w:val="20"/>
            <w:szCs w:val="20"/>
            <w:u w:val="single"/>
            <w:lang w:eastAsia="hr-HR"/>
          </w:rPr>
        </w:r>
        <w:r w:rsidRPr="006252DC">
          <w:rPr>
            <w:rFonts w:cs="Calibri" w:eastAsia="Times New Roman" w:hAnsi="Calibri" w:ascii="Calibri"/>
            <w:smallCap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6252DC">
          <w:rPr>
            <w:rFonts w:cs="Calibri" w:eastAsia="Times New Roman" w:hAnsi="Calibri" w:ascii="Calibri"/>
            <w:smallCaps/>
            <w:noProof/>
            <w:webHidden/>
            <w:sz w:val="20"/>
            <w:szCs w:val="20"/>
            <w:u w:val="single"/>
            <w:lang w:eastAsia="hr-HR"/>
          </w:rPr>
          <w:t>23</w:t>
        </w:r>
        <w:r w:rsidRPr="006252DC">
          <w:rPr>
            <w:rFonts w:cs="Calibri" w:eastAsia="Times New Roman" w:hAnsi="Calibri" w:ascii="Calibri"/>
            <w:smallCap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6252DC" w:rsidP="006252DC" w:rsidR="006252DC" w:rsidRPr="006252DC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lang w:eastAsia="en-GB" w:val="en-GB"/>
        </w:rPr>
      </w:pPr>
      <w:hyperlink r:id="rId30" w:anchor="_Toc482047558" w:history="true">
        <w:r w:rsidRPr="006252DC">
          <w:rPr>
            <w:rFonts w:cs="Calibri" w:eastAsia="Times New Roman"/>
            <w:b/>
            <w:bCs/>
            <w:caps/>
            <w:noProof/>
            <w:color w:val="0000FF"/>
            <w:sz w:val="28"/>
            <w:szCs w:val="28"/>
            <w:u w:val="single"/>
            <w:lang w:eastAsia="hr-HR"/>
          </w:rPr>
          <w:t>5. PLAN POSLOVANJA ZA NAREDNIH 5 GODINA</w:t>
        </w:r>
        <w:r w:rsidRPr="006252DC">
          <w:rPr>
            <w:rFonts w:cs="Calibri" w:eastAsia="Times New Roman"/>
            <w:b/>
            <w:bCs/>
            <w:caps/>
            <w:noProof/>
            <w:webHidden/>
            <w:sz w:val="28"/>
            <w:szCs w:val="28"/>
            <w:u w:val="single"/>
            <w:lang w:eastAsia="hr-HR"/>
          </w:rPr>
          <w:tab/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6252DC">
          <w:rPr>
            <w:rFonts w:cs="Calibri" w:eastAsia="Times New Roman"/>
            <w:b/>
            <w:bCs/>
            <w:caps/>
            <w:noProof/>
            <w:webHidden/>
            <w:sz w:val="28"/>
            <w:szCs w:val="28"/>
            <w:u w:val="single"/>
            <w:lang w:eastAsia="hr-HR"/>
          </w:rPr>
          <w:instrText xml:space="preserve"> PAGEREF _Toc482047558 \h </w:instrText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6252DC">
          <w:rPr>
            <w:rFonts w:cs="Calibri" w:eastAsia="Times New Roman"/>
            <w:b/>
            <w:bCs/>
            <w:caps/>
            <w:noProof/>
            <w:webHidden/>
            <w:sz w:val="28"/>
            <w:szCs w:val="28"/>
            <w:u w:val="single"/>
            <w:lang w:eastAsia="hr-HR"/>
          </w:rPr>
          <w:t>24</w:t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6252DC" w:rsidP="006252DC" w:rsidR="006252DC" w:rsidRPr="006252DC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lang w:eastAsia="en-GB" w:val="en-GB"/>
        </w:rPr>
      </w:pPr>
      <w:hyperlink r:id="rId31" w:anchor="_Toc482047559" w:history="true">
        <w:r w:rsidRPr="006252DC">
          <w:rPr>
            <w:rFonts w:cs="Calibri" w:eastAsia="Times New Roman"/>
            <w:b/>
            <w:bCs/>
            <w:caps/>
            <w:noProof/>
            <w:color w:val="0000FF"/>
            <w:sz w:val="28"/>
            <w:szCs w:val="28"/>
            <w:u w:val="single"/>
            <w:lang w:eastAsia="hr-HR"/>
          </w:rPr>
          <w:t>6. PLANIRANA BILANCA NA ZADNJI DAN PETOGODIŠNJEG</w:t>
        </w:r>
        <w:r w:rsidRPr="006252DC">
          <w:rPr>
            <w:rFonts w:cs="Calibri" w:eastAsia="Times New Roman"/>
            <w:b/>
            <w:bCs/>
            <w:caps/>
            <w:noProof/>
            <w:webHidden/>
            <w:sz w:val="28"/>
            <w:szCs w:val="28"/>
            <w:u w:val="single"/>
            <w:lang w:eastAsia="hr-HR"/>
          </w:rPr>
          <w:tab/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6252DC">
          <w:rPr>
            <w:rFonts w:cs="Calibri" w:eastAsia="Times New Roman"/>
            <w:b/>
            <w:bCs/>
            <w:caps/>
            <w:noProof/>
            <w:webHidden/>
            <w:sz w:val="28"/>
            <w:szCs w:val="28"/>
            <w:u w:val="single"/>
            <w:lang w:eastAsia="hr-HR"/>
          </w:rPr>
          <w:instrText xml:space="preserve"> PAGEREF _Toc482047559 \h </w:instrText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6252DC">
          <w:rPr>
            <w:rFonts w:cs="Calibri" w:eastAsia="Times New Roman"/>
            <w:b/>
            <w:bCs/>
            <w:caps/>
            <w:noProof/>
            <w:webHidden/>
            <w:sz w:val="28"/>
            <w:szCs w:val="28"/>
            <w:u w:val="single"/>
            <w:lang w:eastAsia="hr-HR"/>
          </w:rPr>
          <w:t>27</w:t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6252DC" w:rsidP="006252DC" w:rsidR="006252DC" w:rsidRPr="006252DC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lang w:eastAsia="en-GB" w:val="en-GB"/>
        </w:rPr>
      </w:pPr>
      <w:hyperlink r:id="rId32" w:anchor="_Toc482047560" w:history="true">
        <w:r w:rsidRPr="006252DC">
          <w:rPr>
            <w:rFonts w:cs="Calibri" w:eastAsia="Times New Roman"/>
            <w:b/>
            <w:bCs/>
            <w:caps/>
            <w:noProof/>
            <w:color w:val="0000FF"/>
            <w:sz w:val="28"/>
            <w:szCs w:val="28"/>
            <w:u w:val="single"/>
            <w:lang w:eastAsia="hr-HR"/>
          </w:rPr>
          <w:t>RAZDOBLJA</w:t>
        </w:r>
        <w:r w:rsidRPr="006252DC">
          <w:rPr>
            <w:rFonts w:cs="Calibri" w:eastAsia="Times New Roman"/>
            <w:b/>
            <w:bCs/>
            <w:caps/>
            <w:noProof/>
            <w:webHidden/>
            <w:sz w:val="28"/>
            <w:szCs w:val="28"/>
            <w:u w:val="single"/>
            <w:lang w:eastAsia="hr-HR"/>
          </w:rPr>
          <w:tab/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6252DC">
          <w:rPr>
            <w:rFonts w:cs="Calibri" w:eastAsia="Times New Roman"/>
            <w:b/>
            <w:bCs/>
            <w:caps/>
            <w:noProof/>
            <w:webHidden/>
            <w:sz w:val="28"/>
            <w:szCs w:val="28"/>
            <w:u w:val="single"/>
            <w:lang w:eastAsia="hr-HR"/>
          </w:rPr>
          <w:instrText xml:space="preserve"> PAGEREF _Toc482047560 \h </w:instrText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6252DC">
          <w:rPr>
            <w:rFonts w:cs="Calibri" w:eastAsia="Times New Roman"/>
            <w:b/>
            <w:bCs/>
            <w:caps/>
            <w:noProof/>
            <w:webHidden/>
            <w:sz w:val="28"/>
            <w:szCs w:val="28"/>
            <w:u w:val="single"/>
            <w:lang w:eastAsia="hr-HR"/>
          </w:rPr>
          <w:t>27</w:t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6252DC" w:rsidP="006252DC" w:rsidR="006252DC" w:rsidRPr="006252DC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lang w:eastAsia="en-GB" w:val="en-GB"/>
        </w:rPr>
      </w:pPr>
      <w:hyperlink r:id="rId33" w:anchor="_Toc482047561" w:history="true">
        <w:r w:rsidRPr="006252DC">
          <w:rPr>
            <w:rFonts w:cs="Calibri" w:eastAsia="Times New Roman"/>
            <w:b/>
            <w:bCs/>
            <w:caps/>
            <w:noProof/>
            <w:color w:val="0000FF"/>
            <w:sz w:val="28"/>
            <w:szCs w:val="28"/>
            <w:u w:val="single"/>
            <w:lang w:eastAsia="hr-HR"/>
          </w:rPr>
          <w:t>7. PONUDA VJEROVNICIMA U PREDSTEČAJNOM POSTUPKU</w:t>
        </w:r>
        <w:r w:rsidRPr="006252DC">
          <w:rPr>
            <w:rFonts w:cs="Calibri" w:eastAsia="Times New Roman"/>
            <w:b/>
            <w:bCs/>
            <w:caps/>
            <w:noProof/>
            <w:webHidden/>
            <w:sz w:val="28"/>
            <w:szCs w:val="28"/>
            <w:u w:val="single"/>
            <w:lang w:eastAsia="hr-HR"/>
          </w:rPr>
          <w:tab/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6252DC">
          <w:rPr>
            <w:rFonts w:cs="Calibri" w:eastAsia="Times New Roman"/>
            <w:b/>
            <w:bCs/>
            <w:caps/>
            <w:noProof/>
            <w:webHidden/>
            <w:sz w:val="28"/>
            <w:szCs w:val="28"/>
            <w:u w:val="single"/>
            <w:lang w:eastAsia="hr-HR"/>
          </w:rPr>
          <w:instrText xml:space="preserve"> PAGEREF _Toc482047561 \h </w:instrText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6252DC">
          <w:rPr>
            <w:rFonts w:cs="Calibri" w:eastAsia="Times New Roman"/>
            <w:b/>
            <w:bCs/>
            <w:caps/>
            <w:noProof/>
            <w:webHidden/>
            <w:sz w:val="28"/>
            <w:szCs w:val="28"/>
            <w:u w:val="single"/>
            <w:lang w:eastAsia="hr-HR"/>
          </w:rPr>
          <w:t>28</w:t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6252DC" w:rsidP="006252DC" w:rsidR="006252DC" w:rsidRPr="006252DC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lang w:eastAsia="en-GB" w:val="en-GB"/>
        </w:rPr>
      </w:pPr>
      <w:hyperlink r:id="rId34" w:anchor="_Toc482047562" w:history="true">
        <w:r w:rsidRPr="006252DC">
          <w:rPr>
            <w:rFonts w:cs="Calibri" w:eastAsia="Times New Roman"/>
            <w:b/>
            <w:bCs/>
            <w:caps/>
            <w:noProof/>
            <w:color w:val="0000FF"/>
            <w:sz w:val="28"/>
            <w:szCs w:val="28"/>
            <w:u w:val="single"/>
            <w:lang w:eastAsia="hr-HR"/>
          </w:rPr>
          <w:t>8. ROKOVI ZA DOBROVOLJNO ISPUNJENJE</w:t>
        </w:r>
        <w:r w:rsidRPr="006252DC">
          <w:rPr>
            <w:rFonts w:cs="Calibri" w:eastAsia="Times New Roman"/>
            <w:b/>
            <w:bCs/>
            <w:caps/>
            <w:noProof/>
            <w:webHidden/>
            <w:sz w:val="28"/>
            <w:szCs w:val="28"/>
            <w:u w:val="single"/>
            <w:lang w:eastAsia="hr-HR"/>
          </w:rPr>
          <w:tab/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6252DC">
          <w:rPr>
            <w:rFonts w:cs="Calibri" w:eastAsia="Times New Roman"/>
            <w:b/>
            <w:bCs/>
            <w:caps/>
            <w:noProof/>
            <w:webHidden/>
            <w:sz w:val="28"/>
            <w:szCs w:val="28"/>
            <w:u w:val="single"/>
            <w:lang w:eastAsia="hr-HR"/>
          </w:rPr>
          <w:instrText xml:space="preserve"> PAGEREF _Toc482047562 \h </w:instrText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6252DC">
          <w:rPr>
            <w:rFonts w:cs="Calibri" w:eastAsia="Times New Roman"/>
            <w:b/>
            <w:bCs/>
            <w:caps/>
            <w:noProof/>
            <w:webHidden/>
            <w:sz w:val="28"/>
            <w:szCs w:val="28"/>
            <w:u w:val="single"/>
            <w:lang w:eastAsia="hr-HR"/>
          </w:rPr>
          <w:t>29</w:t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6252DC" w:rsidP="006252DC" w:rsidR="006252DC" w:rsidRPr="006252DC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lang w:eastAsia="en-GB" w:val="en-GB"/>
        </w:rPr>
      </w:pPr>
      <w:hyperlink r:id="rId35" w:anchor="_Toc482047563" w:history="true">
        <w:r w:rsidRPr="006252DC">
          <w:rPr>
            <w:rFonts w:cs="Calibri" w:eastAsia="Times New Roman"/>
            <w:b/>
            <w:bCs/>
            <w:caps/>
            <w:noProof/>
            <w:color w:val="0000FF"/>
            <w:sz w:val="28"/>
            <w:szCs w:val="28"/>
            <w:u w:val="single"/>
            <w:lang w:eastAsia="hr-HR"/>
          </w:rPr>
          <w:t>9. PLANIRANI TROŠKOVI RESTRUKTURIRANJA</w:t>
        </w:r>
        <w:r w:rsidRPr="006252DC">
          <w:rPr>
            <w:rFonts w:cs="Calibri" w:eastAsia="Times New Roman"/>
            <w:b/>
            <w:bCs/>
            <w:caps/>
            <w:noProof/>
            <w:webHidden/>
            <w:sz w:val="28"/>
            <w:szCs w:val="28"/>
            <w:u w:val="single"/>
            <w:lang w:eastAsia="hr-HR"/>
          </w:rPr>
          <w:tab/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6252DC">
          <w:rPr>
            <w:rFonts w:cs="Calibri" w:eastAsia="Times New Roman"/>
            <w:b/>
            <w:bCs/>
            <w:caps/>
            <w:noProof/>
            <w:webHidden/>
            <w:sz w:val="28"/>
            <w:szCs w:val="28"/>
            <w:u w:val="single"/>
            <w:lang w:eastAsia="hr-HR"/>
          </w:rPr>
          <w:instrText xml:space="preserve"> PAGEREF _Toc482047563 \h </w:instrText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6252DC">
          <w:rPr>
            <w:rFonts w:cs="Calibri" w:eastAsia="Times New Roman"/>
            <w:b/>
            <w:bCs/>
            <w:caps/>
            <w:noProof/>
            <w:webHidden/>
            <w:sz w:val="28"/>
            <w:szCs w:val="28"/>
            <w:u w:val="single"/>
            <w:lang w:eastAsia="hr-HR"/>
          </w:rPr>
          <w:t>29</w:t>
        </w:r>
        <w:r w:rsidRPr="006252DC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6252DC" w:rsidP="006252DC" w:rsidR="006252DC" w:rsidRPr="006252DC">
      <w:pPr>
        <w:tabs>
          <w:tab w:pos="9906" w:leader="dot" w:val="right"/>
        </w:tabs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lastRenderedPageBreak/>
        <w:fldChar w:fldCharType="end"/>
      </w:r>
    </w:p>
    <w:p w:rsidRDefault="006252DC" w:rsidP="006252DC" w:rsidR="006252DC" w:rsidRPr="006252DC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  <w:color w:val="4F81BD"/>
        </w:rPr>
      </w:pPr>
      <w:bookmarkStart w:name="_Toc482047540" w:id="2"/>
      <w:bookmarkStart w:name="_Toc477898290" w:id="3"/>
      <w:r w:rsidRPr="006252DC">
        <w:rPr>
          <w:rFonts w:cs="Times New Roman" w:eastAsia="Times New Roman"/>
          <w:b/>
          <w:color w:val="4F81BD"/>
        </w:rPr>
        <w:t>POPIS PRILOGA</w:t>
      </w:r>
      <w:bookmarkEnd w:id="0"/>
      <w:bookmarkEnd w:id="2"/>
      <w:bookmarkEnd w:id="3"/>
      <w:r w:rsidRPr="006252DC">
        <w:rPr>
          <w:rFonts w:cs="Times New Roman" w:eastAsia="Times New Roman"/>
          <w:b/>
          <w:color w:val="4F81BD"/>
        </w:rPr>
        <w:t xml:space="preserve"> </w:t>
      </w:r>
    </w:p>
    <w:p w:rsidRDefault="006252DC" w:rsidP="006252DC" w:rsidR="006252DC" w:rsidRPr="006252DC">
      <w:pPr>
        <w:tabs>
          <w:tab w:pos="3879" w:val="left"/>
        </w:tabs>
        <w:spacing w:lineRule="auto" w:line="360" w:after="0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tabs>
          <w:tab w:pos="3879" w:val="left"/>
        </w:tabs>
        <w:spacing w:lineRule="auto" w:line="360" w:after="0"/>
        <w:rPr>
          <w:rFonts w:cs="Times New Roman" w:eastAsia="Calibri"/>
          <w:b/>
          <w:u w:val="single"/>
          <w:lang w:eastAsia="en-GB" w:val="en-GB"/>
        </w:rPr>
      </w:pPr>
      <w:r w:rsidRPr="006252DC">
        <w:rPr>
          <w:rFonts w:cs="Times New Roman" w:eastAsia="Calibri"/>
          <w:b/>
          <w:u w:val="single"/>
          <w:lang w:eastAsia="en-GB" w:val="en-GB"/>
        </w:rPr>
        <w:t xml:space="preserve">A)  Popis imovine i obveza dužnika: </w:t>
      </w:r>
    </w:p>
    <w:p w:rsidRDefault="006252DC" w:rsidP="006252DC" w:rsidR="006252DC" w:rsidRPr="006252DC">
      <w:pPr>
        <w:tabs>
          <w:tab w:pos="3879" w:val="left"/>
        </w:tabs>
        <w:spacing w:lineRule="auto" w:line="360" w:after="0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numPr>
          <w:ilvl w:val="0"/>
          <w:numId w:val="46"/>
        </w:numPr>
        <w:tabs>
          <w:tab w:pos="3879" w:val="left"/>
        </w:tabs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6252DC">
        <w:rPr>
          <w:rFonts w:cs="Times New Roman" w:eastAsia="Times New Roman"/>
          <w:lang w:eastAsia="hr-HR"/>
        </w:rPr>
        <w:t xml:space="preserve">Popis pojedinačnih obveza prema svim vjerovnicima </w:t>
      </w:r>
    </w:p>
    <w:p w:rsidRDefault="006252DC" w:rsidP="006252DC" w:rsidR="006252DC" w:rsidRPr="006252DC">
      <w:pPr>
        <w:numPr>
          <w:ilvl w:val="0"/>
          <w:numId w:val="46"/>
        </w:numPr>
        <w:tabs>
          <w:tab w:pos="3879" w:val="left"/>
        </w:tabs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6252DC">
        <w:rPr>
          <w:rFonts w:cs="Times New Roman" w:eastAsia="Times New Roman"/>
          <w:lang w:eastAsia="hr-HR"/>
        </w:rPr>
        <w:t>Popis dužnikovih dužnika</w:t>
      </w:r>
    </w:p>
    <w:p w:rsidRDefault="006252DC" w:rsidP="006252DC" w:rsidR="006252DC" w:rsidRPr="006252DC">
      <w:pPr>
        <w:numPr>
          <w:ilvl w:val="0"/>
          <w:numId w:val="46"/>
        </w:numPr>
        <w:tabs>
          <w:tab w:pos="3879" w:val="left"/>
        </w:tabs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6252DC">
        <w:rPr>
          <w:rFonts w:cs="Times New Roman" w:eastAsia="Times New Roman"/>
          <w:lang w:eastAsia="hr-HR"/>
        </w:rPr>
        <w:t>Popis tražbina radnika</w:t>
      </w:r>
    </w:p>
    <w:p w:rsidRDefault="006252DC" w:rsidP="006252DC" w:rsidR="006252DC" w:rsidRPr="006252DC">
      <w:pPr>
        <w:numPr>
          <w:ilvl w:val="0"/>
          <w:numId w:val="46"/>
        </w:numPr>
        <w:tabs>
          <w:tab w:pos="3879" w:val="left"/>
        </w:tabs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6252DC">
        <w:rPr>
          <w:rFonts w:cs="Times New Roman" w:eastAsia="Times New Roman"/>
          <w:lang w:eastAsia="hr-HR"/>
        </w:rPr>
        <w:t xml:space="preserve">Izjava da </w:t>
      </w:r>
      <w:r w:rsidRPr="006252DC">
        <w:rPr>
          <w:rFonts w:cs="Times New Roman" w:eastAsia="Times New Roman"/>
          <w:color w:val="000000"/>
          <w:lang w:eastAsia="hr-HR"/>
        </w:rPr>
        <w:t>sklapanje predstečajnog postupka neće</w:t>
      </w:r>
      <w:r w:rsidRPr="006252DC">
        <w:rPr>
          <w:rFonts w:cs="Times New Roman" w:eastAsia="Times New Roman"/>
          <w:lang w:eastAsia="hr-HR"/>
        </w:rPr>
        <w:t xml:space="preserve"> utjecati na tražbine radnika</w:t>
      </w:r>
    </w:p>
    <w:p w:rsidRDefault="006252DC" w:rsidP="006252DC" w:rsidR="006252DC" w:rsidRPr="006252DC">
      <w:pPr>
        <w:numPr>
          <w:ilvl w:val="0"/>
          <w:numId w:val="46"/>
        </w:numPr>
        <w:tabs>
          <w:tab w:pos="3879" w:val="left"/>
        </w:tabs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6252DC">
        <w:rPr>
          <w:rFonts w:cs="Times New Roman" w:eastAsia="Times New Roman"/>
          <w:lang w:eastAsia="hr-HR"/>
        </w:rPr>
        <w:t>Popis nekretnina dužnika + zk izvaci</w:t>
      </w:r>
    </w:p>
    <w:p w:rsidRDefault="006252DC" w:rsidP="006252DC" w:rsidR="006252DC" w:rsidRPr="006252DC">
      <w:pPr>
        <w:numPr>
          <w:ilvl w:val="0"/>
          <w:numId w:val="46"/>
        </w:numPr>
        <w:tabs>
          <w:tab w:pos="3879" w:val="left"/>
        </w:tabs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6252DC">
        <w:rPr>
          <w:rFonts w:cs="Times New Roman" w:eastAsia="Times New Roman"/>
          <w:lang w:eastAsia="hr-HR"/>
        </w:rPr>
        <w:t xml:space="preserve">Popis pokretnina dužnika </w:t>
      </w:r>
    </w:p>
    <w:p w:rsidRDefault="006252DC" w:rsidP="006252DC" w:rsidR="006252DC" w:rsidRPr="006252DC">
      <w:pPr>
        <w:numPr>
          <w:ilvl w:val="0"/>
          <w:numId w:val="46"/>
        </w:numPr>
        <w:tabs>
          <w:tab w:pos="3879" w:val="left"/>
        </w:tabs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6252DC">
        <w:rPr>
          <w:rFonts w:cs="Times New Roman" w:eastAsia="Times New Roman"/>
          <w:lang w:eastAsia="hr-HR"/>
        </w:rPr>
        <w:t xml:space="preserve">Popis razlučnih prava </w:t>
      </w:r>
    </w:p>
    <w:p w:rsidRDefault="006252DC" w:rsidP="006252DC" w:rsidR="006252DC" w:rsidRPr="006252DC">
      <w:pPr>
        <w:numPr>
          <w:ilvl w:val="0"/>
          <w:numId w:val="46"/>
        </w:numPr>
        <w:tabs>
          <w:tab w:pos="3879" w:val="left"/>
        </w:tabs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6252DC">
        <w:rPr>
          <w:rFonts w:cs="Times New Roman" w:eastAsia="Times New Roman"/>
          <w:lang w:eastAsia="hr-HR"/>
        </w:rPr>
        <w:t xml:space="preserve">Popis izlučnih prava </w:t>
      </w:r>
    </w:p>
    <w:p w:rsidRDefault="006252DC" w:rsidP="006252DC" w:rsidR="006252DC" w:rsidRPr="006252DC">
      <w:pPr>
        <w:numPr>
          <w:ilvl w:val="0"/>
          <w:numId w:val="46"/>
        </w:numPr>
        <w:tabs>
          <w:tab w:pos="3879" w:val="left"/>
        </w:tabs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6252DC">
        <w:rPr>
          <w:rFonts w:cs="Times New Roman" w:eastAsia="Times New Roman"/>
          <w:lang w:eastAsia="hr-HR"/>
        </w:rPr>
        <w:t xml:space="preserve">Visina prosječnih mjesečnih troškova </w:t>
      </w:r>
    </w:p>
    <w:p w:rsidRDefault="006252DC" w:rsidP="006252DC" w:rsidR="006252DC" w:rsidRPr="006252DC">
      <w:pPr>
        <w:tabs>
          <w:tab w:pos="3879" w:val="left"/>
        </w:tabs>
        <w:spacing w:lineRule="auto" w:line="360" w:after="0"/>
        <w:ind w:left="720"/>
        <w:contextualSpacing/>
        <w:rPr>
          <w:rFonts w:cs="Times New Roman" w:eastAsia="Times New Roman"/>
          <w:lang w:eastAsia="hr-HR"/>
        </w:rPr>
      </w:pPr>
    </w:p>
    <w:p w:rsidRDefault="006252DC" w:rsidP="006252DC" w:rsidR="006252DC" w:rsidRPr="006252DC">
      <w:pPr>
        <w:tabs>
          <w:tab w:pos="3879" w:val="left"/>
        </w:tabs>
        <w:spacing w:lineRule="auto" w:line="360" w:after="0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tabs>
          <w:tab w:pos="3879" w:val="left"/>
        </w:tabs>
        <w:spacing w:lineRule="auto" w:line="360" w:after="0"/>
        <w:rPr>
          <w:rFonts w:cs="Times New Roman" w:eastAsia="Calibri"/>
          <w:b/>
          <w:u w:val="single"/>
          <w:lang w:eastAsia="en-GB" w:val="en-GB"/>
        </w:rPr>
      </w:pPr>
      <w:r w:rsidRPr="006252DC">
        <w:rPr>
          <w:rFonts w:cs="Times New Roman" w:eastAsia="Calibri"/>
          <w:b/>
          <w:u w:val="single"/>
          <w:lang w:eastAsia="en-GB" w:val="en-GB"/>
        </w:rPr>
        <w:t xml:space="preserve">B)  Ostalo </w:t>
      </w:r>
    </w:p>
    <w:p w:rsidRDefault="006252DC" w:rsidP="006252DC" w:rsidR="006252DC" w:rsidRPr="006252DC">
      <w:pPr>
        <w:tabs>
          <w:tab w:pos="3879" w:val="left"/>
        </w:tabs>
        <w:spacing w:lineRule="auto" w:line="360" w:after="0"/>
        <w:ind w:left="360"/>
        <w:rPr>
          <w:rFonts w:cs="Times New Roman" w:eastAsia="Calibri"/>
          <w:b/>
          <w:u w:val="single"/>
          <w:lang w:eastAsia="en-GB" w:val="en-GB"/>
        </w:rPr>
      </w:pPr>
    </w:p>
    <w:p w:rsidRDefault="006252DC" w:rsidP="006252DC" w:rsidR="006252DC" w:rsidRPr="006252DC">
      <w:pPr>
        <w:numPr>
          <w:ilvl w:val="0"/>
          <w:numId w:val="46"/>
        </w:numPr>
        <w:tabs>
          <w:tab w:pos="3879" w:val="left"/>
        </w:tabs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6252DC">
        <w:rPr>
          <w:rFonts w:cs="Times New Roman" w:eastAsia="Times New Roman"/>
          <w:lang w:eastAsia="hr-HR"/>
        </w:rPr>
        <w:t>Obavijest vjerovnicima o podnošenju zahtjeva za pokretanje predstečajnog postupka</w:t>
      </w:r>
    </w:p>
    <w:p w:rsidRDefault="006252DC" w:rsidP="006252DC" w:rsidR="006252DC" w:rsidRPr="006252DC">
      <w:pPr>
        <w:numPr>
          <w:ilvl w:val="0"/>
          <w:numId w:val="46"/>
        </w:numPr>
        <w:tabs>
          <w:tab w:pos="3879" w:val="left"/>
        </w:tabs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6252DC">
        <w:rPr>
          <w:rFonts w:cs="Times New Roman" w:eastAsia="Times New Roman"/>
          <w:lang w:eastAsia="hr-HR"/>
        </w:rPr>
        <w:t>Opis pregovora s vjerovnicima</w:t>
      </w:r>
    </w:p>
    <w:p w:rsidRDefault="006252DC" w:rsidP="006252DC" w:rsidR="006252DC" w:rsidRPr="006252DC">
      <w:pPr>
        <w:numPr>
          <w:ilvl w:val="0"/>
          <w:numId w:val="46"/>
        </w:numPr>
        <w:tabs>
          <w:tab w:pos="3879" w:val="left"/>
        </w:tabs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6252DC">
        <w:rPr>
          <w:rFonts w:cs="Times New Roman" w:eastAsia="Times New Roman"/>
          <w:lang w:eastAsia="hr-HR"/>
        </w:rPr>
        <w:t xml:space="preserve">Popis svih postupaka pred sudovima ili javnopravnim tijelima u kojima je dužnik stranka + dokazi </w:t>
      </w:r>
    </w:p>
    <w:p w:rsidRDefault="006252DC" w:rsidP="006252DC" w:rsidR="006252DC" w:rsidRPr="006252DC">
      <w:pPr>
        <w:numPr>
          <w:ilvl w:val="0"/>
          <w:numId w:val="46"/>
        </w:numPr>
        <w:tabs>
          <w:tab w:pos="3879" w:val="left"/>
        </w:tabs>
        <w:spacing w:lineRule="auto" w:line="360" w:after="0"/>
        <w:contextualSpacing/>
        <w:rPr>
          <w:rFonts w:cs="Times New Roman" w:eastAsia="Times New Roman"/>
          <w:color w:val="000000"/>
          <w:lang w:eastAsia="hr-HR"/>
        </w:rPr>
      </w:pPr>
      <w:r w:rsidRPr="006252DC">
        <w:rPr>
          <w:rFonts w:cs="Times New Roman" w:eastAsia="Times New Roman"/>
          <w:color w:val="000000"/>
          <w:lang w:eastAsia="hr-HR"/>
        </w:rPr>
        <w:t xml:space="preserve">GFI – podaci  </w:t>
      </w:r>
    </w:p>
    <w:p w:rsidRDefault="006252DC" w:rsidP="006252DC" w:rsidR="006252DC" w:rsidRPr="006252DC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  <w:color w:val="4F81BD"/>
        </w:rPr>
      </w:pPr>
    </w:p>
    <w:p w:rsidRDefault="006252DC" w:rsidP="006252DC" w:rsidR="006252DC" w:rsidRPr="006252DC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  <w:color w:val="4F81BD"/>
        </w:rPr>
      </w:pPr>
    </w:p>
    <w:p w:rsidRDefault="006252DC" w:rsidP="006252DC" w:rsidR="006252DC" w:rsidRPr="006252DC">
      <w:pPr>
        <w:tabs>
          <w:tab w:pos="8300" w:val="right"/>
        </w:tabs>
        <w:spacing w:lineRule="auto" w:line="360" w:after="0"/>
        <w:rPr>
          <w:rFonts w:cs="Times New Roman" w:eastAsia="Calibri"/>
          <w:b/>
          <w:color w:val="FF6600"/>
          <w:lang w:eastAsia="en-GB" w:val="en-GB"/>
        </w:rPr>
      </w:pPr>
    </w:p>
    <w:p w:rsidRDefault="006252DC" w:rsidP="006252DC" w:rsidR="006252DC" w:rsidRPr="006252DC">
      <w:pPr>
        <w:tabs>
          <w:tab w:pos="8300" w:val="right"/>
        </w:tabs>
        <w:spacing w:lineRule="auto" w:line="360" w:after="0"/>
        <w:rPr>
          <w:rFonts w:cs="Times New Roman" w:eastAsia="Calibri"/>
          <w:b/>
          <w:color w:val="FF6600"/>
          <w:lang w:eastAsia="en-GB" w:val="en-GB"/>
        </w:rPr>
      </w:pPr>
    </w:p>
    <w:p w:rsidRDefault="006252DC" w:rsidP="006252DC" w:rsidR="006252DC" w:rsidRPr="006252DC">
      <w:pPr>
        <w:tabs>
          <w:tab w:pos="8300" w:val="right"/>
        </w:tabs>
        <w:spacing w:lineRule="auto" w:line="360" w:after="0"/>
        <w:rPr>
          <w:rFonts w:cs="Times New Roman" w:eastAsia="Calibri"/>
          <w:b/>
          <w:color w:val="FF6600"/>
          <w:lang w:eastAsia="en-GB" w:val="en-GB"/>
        </w:rPr>
      </w:pPr>
    </w:p>
    <w:p w:rsidRDefault="006252DC" w:rsidP="006252DC" w:rsidR="006252DC" w:rsidRPr="006252DC">
      <w:pPr>
        <w:tabs>
          <w:tab w:pos="8300" w:val="right"/>
        </w:tabs>
        <w:spacing w:lineRule="auto" w:line="360" w:after="0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ab/>
      </w:r>
    </w:p>
    <w:p w:rsidRDefault="006252DC" w:rsidP="006252DC" w:rsidR="006252DC" w:rsidRPr="006252DC">
      <w:pPr>
        <w:spacing w:after="0"/>
        <w:rPr>
          <w:rFonts w:cs="Times New Roman" w:eastAsia="Calibri"/>
          <w:b/>
          <w:i/>
          <w:color w:val="FF6600"/>
          <w:lang w:eastAsia="en-GB" w:val="en-GB"/>
        </w:rPr>
      </w:pPr>
      <w:r w:rsidRPr="006252DC">
        <w:rPr>
          <w:rFonts w:cs="Times New Roman" w:eastAsia="Calibri"/>
          <w:b/>
          <w:i/>
          <w:color w:val="FF6600"/>
          <w:lang w:eastAsia="en-GB" w:val="en-GB"/>
        </w:rPr>
        <w:br w:type="page"/>
      </w:r>
    </w:p>
    <w:p w:rsidRDefault="006252DC" w:rsidP="006252DC" w:rsidR="006252DC" w:rsidRPr="006252DC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  <w:color w:val="4F81BD"/>
        </w:rPr>
      </w:pPr>
      <w:bookmarkStart w:name="_Toc482047541" w:id="4"/>
      <w:bookmarkStart w:name="_Toc477898291" w:id="5"/>
      <w:bookmarkStart w:name="_Toc472012442" w:id="6"/>
      <w:r w:rsidRPr="006252DC">
        <w:rPr>
          <w:rFonts w:cs="Times New Roman" w:eastAsia="Times New Roman"/>
          <w:b/>
          <w:color w:val="4F81BD"/>
        </w:rPr>
        <w:lastRenderedPageBreak/>
        <w:t>OBAVIJEST VJEROVNICIMA O PODNOŠENJU ZAHTJEVA ZA POKRETANJE PREDSTEČAJNOG POSTUPKA</w:t>
      </w:r>
      <w:bookmarkEnd w:id="4"/>
      <w:bookmarkEnd w:id="5"/>
      <w:bookmarkEnd w:id="6"/>
    </w:p>
    <w:p w:rsidRDefault="006252DC" w:rsidP="006252DC" w:rsidR="006252DC" w:rsidRPr="006252DC">
      <w:pPr>
        <w:spacing w:after="0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 xml:space="preserve">Uprava društva MATEO PRIDRAGA d.o.o., ovom izjavom, koja </w:t>
      </w:r>
      <w:proofErr w:type="gramStart"/>
      <w:r w:rsidRPr="006252DC">
        <w:rPr>
          <w:rFonts w:cs="Times New Roman" w:eastAsia="Calibri"/>
          <w:lang w:eastAsia="en-GB" w:val="en-GB"/>
        </w:rPr>
        <w:t>će</w:t>
      </w:r>
      <w:proofErr w:type="gramEnd"/>
      <w:r w:rsidRPr="006252DC">
        <w:rPr>
          <w:rFonts w:cs="Times New Roman" w:eastAsia="Calibri"/>
          <w:lang w:eastAsia="en-GB" w:val="en-GB"/>
        </w:rPr>
        <w:t xml:space="preserve"> biti objavljena putem javne objave na internet stranicama Ministarstva pravosuđa na e-oglasnoj ploči, obavještava sve vjerovnike o podnošenju zahtjeva za pokretanje predstečajnog postupka. </w:t>
      </w:r>
      <w:proofErr w:type="gramStart"/>
      <w:r w:rsidRPr="006252DC">
        <w:rPr>
          <w:rFonts w:cs="Times New Roman" w:eastAsia="Calibri"/>
          <w:lang w:eastAsia="en-GB" w:val="en-GB"/>
        </w:rPr>
        <w:t>Cilj pokretanja predstečajnog postupka je nastavak poslovanja i namirenje vjerovnika sukladno pravilu jednakosti i pravednosti poštujući sve odredbe Stečajnog zakona.</w:t>
      </w:r>
      <w:proofErr w:type="gramEnd"/>
      <w:r w:rsidRPr="006252DC">
        <w:rPr>
          <w:rFonts w:cs="Times New Roman" w:eastAsia="Calibri"/>
          <w:lang w:eastAsia="en-GB" w:val="en-GB"/>
        </w:rPr>
        <w:t xml:space="preserve"> </w:t>
      </w: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bCs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 xml:space="preserve">Sve obavijesti i dokumentacija vezane uz predstečajni postupak tvrtke MATEO PRIDRAGA d.o.o. </w:t>
      </w:r>
      <w:r w:rsidRPr="006252DC">
        <w:rPr>
          <w:rFonts w:cs="Times New Roman" w:eastAsia="Calibri"/>
          <w:bCs/>
          <w:lang w:eastAsia="zh-CN" w:val="en-GB"/>
        </w:rPr>
        <w:t xml:space="preserve">bit </w:t>
      </w:r>
      <w:proofErr w:type="gramStart"/>
      <w:r w:rsidRPr="006252DC">
        <w:rPr>
          <w:rFonts w:cs="Times New Roman" w:eastAsia="Calibri"/>
          <w:bCs/>
          <w:lang w:eastAsia="zh-CN" w:val="en-GB"/>
        </w:rPr>
        <w:t>će</w:t>
      </w:r>
      <w:proofErr w:type="gramEnd"/>
      <w:r w:rsidRPr="006252DC">
        <w:rPr>
          <w:rFonts w:cs="Times New Roman" w:eastAsia="Calibri"/>
          <w:bCs/>
          <w:lang w:eastAsia="zh-CN" w:val="en-GB"/>
        </w:rPr>
        <w:t xml:space="preserve"> javno dostupne na internet </w:t>
      </w:r>
      <w:r w:rsidRPr="006252DC">
        <w:rPr>
          <w:rFonts w:cs="Times New Roman" w:eastAsia="Calibri"/>
          <w:lang w:eastAsia="en-GB" w:val="en-GB"/>
        </w:rPr>
        <w:t xml:space="preserve">stranicama Ministarstva pravosuđa na e-oglasnoj ploči. Ovim putem pozivamo sve vjerovnike tvrtke MATEO PRIDRAGA d.o.o. </w:t>
      </w:r>
      <w:r w:rsidRPr="006252DC">
        <w:rPr>
          <w:rFonts w:cs="Times New Roman" w:eastAsia="Calibri"/>
          <w:bCs/>
          <w:lang w:eastAsia="zh-CN" w:val="en-GB"/>
        </w:rPr>
        <w:t xml:space="preserve">da podrže naš Plan restrukturiranja, a sve u svrhu nastavka poslovanja i namirenja tražbina vjerovnika </w:t>
      </w:r>
      <w:proofErr w:type="gramStart"/>
      <w:r w:rsidRPr="006252DC">
        <w:rPr>
          <w:rFonts w:cs="Times New Roman" w:eastAsia="Calibri"/>
          <w:bCs/>
          <w:lang w:eastAsia="zh-CN" w:val="en-GB"/>
        </w:rPr>
        <w:t>te</w:t>
      </w:r>
      <w:proofErr w:type="gramEnd"/>
      <w:r w:rsidRPr="006252DC">
        <w:rPr>
          <w:rFonts w:cs="Times New Roman" w:eastAsia="Calibri"/>
          <w:bCs/>
          <w:lang w:eastAsia="zh-CN" w:val="en-GB"/>
        </w:rPr>
        <w:t xml:space="preserve"> omogućavanja poslovanja našeg Društva. </w:t>
      </w: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bCs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 xml:space="preserve">Nakon prihvaćanja Prijedloga za otvaranje predstečajnog postupka za tvrtku MATEO PRIDRAGA d.o.o. </w:t>
      </w:r>
      <w:r w:rsidRPr="006252DC">
        <w:rPr>
          <w:rFonts w:cs="Times New Roman" w:eastAsia="Calibri"/>
          <w:bCs/>
          <w:lang w:eastAsia="zh-CN" w:val="en-GB"/>
        </w:rPr>
        <w:t xml:space="preserve">od strane Trgovačkog suda, kontaktirat će se vjerovnici </w:t>
      </w:r>
      <w:r w:rsidRPr="006252DC">
        <w:rPr>
          <w:rFonts w:cs="Times New Roman" w:eastAsia="Calibri"/>
          <w:bCs/>
          <w:lang w:eastAsia="en-GB" w:val="en-GB"/>
        </w:rPr>
        <w:t xml:space="preserve">kako bi se pribavila zakonom propisana većina potrebna za prihvaćanje Plana financijskog i operativnog restrukturiranja. </w:t>
      </w:r>
    </w:p>
    <w:p w:rsidRDefault="006252DC" w:rsidP="006252DC" w:rsidR="006252DC" w:rsidRPr="006252DC">
      <w:pPr>
        <w:snapToGrid w:val="false"/>
        <w:spacing w:lineRule="auto" w:line="360" w:after="0"/>
        <w:ind w:right="115"/>
        <w:jc w:val="both"/>
        <w:rPr>
          <w:rFonts w:cs="Times New Roman" w:eastAsia="Calibri"/>
          <w:lang w:val="en-US"/>
        </w:rPr>
      </w:pPr>
    </w:p>
    <w:p w:rsidRDefault="006252DC" w:rsidP="006252DC" w:rsidR="006252DC" w:rsidRPr="006252DC">
      <w:pPr>
        <w:snapToGrid w:val="false"/>
        <w:spacing w:lineRule="auto" w:line="360" w:after="0"/>
        <w:ind w:right="115"/>
        <w:jc w:val="both"/>
        <w:rPr>
          <w:rFonts w:cs="Times New Roman" w:eastAsia="Calibri"/>
          <w:lang w:val="en-US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bCs/>
          <w:color w:val="FF0000"/>
          <w:lang w:eastAsia="en-GB" w:val="en-US"/>
        </w:rPr>
      </w:pPr>
      <w:proofErr w:type="gramStart"/>
      <w:r w:rsidRPr="006252DC">
        <w:rPr>
          <w:rFonts w:cs="Times New Roman" w:eastAsia="Calibri"/>
          <w:bCs/>
          <w:lang w:eastAsia="en-GB" w:val="en-US"/>
        </w:rPr>
        <w:t>U Bjelovaru, 22.05.2017.</w:t>
      </w:r>
      <w:proofErr w:type="gramEnd"/>
    </w:p>
    <w:p w:rsidRDefault="006252DC" w:rsidP="006252DC" w:rsidR="006252DC" w:rsidRPr="006252DC">
      <w:pPr>
        <w:spacing w:after="0"/>
        <w:rPr>
          <w:rFonts w:cs="Times New Roman" w:eastAsia="Calibri"/>
          <w:bCs/>
          <w:color w:val="FF0000"/>
          <w:lang w:eastAsia="en-GB" w:val="en-US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bCs/>
          <w:lang w:eastAsia="en-GB" w:val="en-US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b/>
          <w:bCs/>
          <w:lang w:eastAsia="en-GB" w:val="en-US"/>
        </w:rPr>
      </w:pPr>
      <w:r w:rsidRPr="006252DC">
        <w:rPr>
          <w:rFonts w:cs="Times New Roman" w:eastAsia="Calibri"/>
          <w:bCs/>
          <w:lang w:eastAsia="en-GB" w:val="en-US"/>
        </w:rPr>
        <w:tab/>
        <w:t xml:space="preserve">                 </w:t>
      </w:r>
      <w:r w:rsidRPr="006252DC">
        <w:rPr>
          <w:rFonts w:cs="Times New Roman" w:eastAsia="Calibri"/>
          <w:bCs/>
          <w:lang w:eastAsia="en-GB" w:val="en-US"/>
        </w:rPr>
        <w:tab/>
      </w:r>
      <w:r w:rsidRPr="006252DC">
        <w:rPr>
          <w:rFonts w:cs="Times New Roman" w:eastAsia="Calibri"/>
          <w:bCs/>
          <w:lang w:eastAsia="en-GB" w:val="en-US"/>
        </w:rPr>
        <w:tab/>
      </w:r>
      <w:r w:rsidRPr="006252DC">
        <w:rPr>
          <w:rFonts w:cs="Times New Roman" w:eastAsia="Calibri"/>
          <w:bCs/>
          <w:lang w:eastAsia="en-GB" w:val="en-US"/>
        </w:rPr>
        <w:tab/>
      </w:r>
      <w:r w:rsidRPr="006252DC">
        <w:rPr>
          <w:rFonts w:cs="Times New Roman" w:eastAsia="Calibri"/>
          <w:bCs/>
          <w:lang w:eastAsia="en-GB" w:val="en-US"/>
        </w:rPr>
        <w:tab/>
      </w:r>
      <w:r w:rsidRPr="006252DC">
        <w:rPr>
          <w:rFonts w:cs="Times New Roman" w:eastAsia="Calibri"/>
          <w:bCs/>
          <w:lang w:eastAsia="en-GB" w:val="en-US"/>
        </w:rPr>
        <w:tab/>
        <w:t xml:space="preserve">  </w:t>
      </w:r>
      <w:r>
        <w:rPr>
          <w:rFonts w:cs="Times New Roman" w:eastAsia="Calibri"/>
          <w:bCs/>
          <w:lang w:eastAsia="en-GB" w:val="en-US"/>
        </w:rPr>
        <w:t xml:space="preserve">     </w:t>
      </w:r>
      <w:r w:rsidRPr="006252DC">
        <w:rPr>
          <w:rFonts w:cs="Times New Roman" w:eastAsia="Calibri"/>
          <w:bCs/>
          <w:lang w:eastAsia="en-GB" w:val="en-US"/>
        </w:rPr>
        <w:t xml:space="preserve">  </w:t>
      </w:r>
      <w:r>
        <w:rPr>
          <w:rFonts w:cs="Times New Roman" w:eastAsia="Calibri"/>
          <w:bCs/>
          <w:lang w:eastAsia="en-GB" w:val="en-US"/>
        </w:rPr>
        <w:t xml:space="preserve">     </w:t>
      </w:r>
      <w:r w:rsidRPr="006252DC">
        <w:rPr>
          <w:rFonts w:cs="Times New Roman" w:eastAsia="Calibri"/>
          <w:bCs/>
          <w:lang w:eastAsia="en-GB" w:val="en-US"/>
        </w:rPr>
        <w:t xml:space="preserve"> </w:t>
      </w:r>
      <w:proofErr w:type="gramStart"/>
      <w:r w:rsidRPr="006252DC">
        <w:rPr>
          <w:rFonts w:cs="Times New Roman" w:eastAsia="Calibri"/>
          <w:b/>
          <w:bCs/>
          <w:lang w:eastAsia="en-GB" w:val="en-US"/>
        </w:rPr>
        <w:t>MATEO PRIDRAGA d.o.o.</w:t>
      </w:r>
      <w:proofErr w:type="gramEnd"/>
    </w:p>
    <w:p w:rsidRDefault="006252DC" w:rsidP="006252DC" w:rsidR="006252DC" w:rsidRPr="006252DC">
      <w:pPr>
        <w:spacing w:after="0"/>
        <w:rPr>
          <w:rFonts w:cs="Times New Roman" w:eastAsia="Calibri"/>
          <w:bCs/>
          <w:lang w:eastAsia="en-GB" w:val="en-US"/>
        </w:rPr>
      </w:pPr>
      <w:r w:rsidRPr="006252DC">
        <w:rPr>
          <w:rFonts w:cs="Times New Roman" w:eastAsia="Calibri"/>
          <w:bCs/>
          <w:lang w:eastAsia="en-GB" w:val="en-US"/>
        </w:rPr>
        <w:t xml:space="preserve">                                                                              </w:t>
      </w:r>
      <w:r>
        <w:rPr>
          <w:rFonts w:cs="Times New Roman" w:eastAsia="Calibri"/>
          <w:bCs/>
          <w:lang w:eastAsia="en-GB" w:val="en-US"/>
        </w:rPr>
        <w:t xml:space="preserve">      </w:t>
      </w:r>
      <w:r w:rsidRPr="006252DC">
        <w:rPr>
          <w:rFonts w:cs="Times New Roman" w:eastAsia="Calibri"/>
          <w:bCs/>
          <w:lang w:eastAsia="en-GB" w:val="en-US"/>
        </w:rPr>
        <w:t xml:space="preserve">   </w:t>
      </w:r>
      <w:r>
        <w:rPr>
          <w:rFonts w:cs="Times New Roman" w:eastAsia="Calibri"/>
          <w:bCs/>
          <w:lang w:eastAsia="en-GB" w:val="en-US"/>
        </w:rPr>
        <w:t xml:space="preserve">          </w:t>
      </w:r>
      <w:r w:rsidRPr="006252DC">
        <w:rPr>
          <w:rFonts w:cs="Times New Roman" w:eastAsia="Calibri"/>
          <w:bCs/>
          <w:lang w:eastAsia="en-GB" w:val="en-US"/>
        </w:rPr>
        <w:t xml:space="preserve">    Mate Viduka</w:t>
      </w:r>
      <w:r w:rsidRPr="006252DC">
        <w:rPr>
          <w:rFonts w:cs="Times New Roman" w:eastAsia="Calibri"/>
          <w:bCs/>
          <w:lang w:eastAsia="en-GB" w:val="en-GB"/>
        </w:rPr>
        <w:t>, direktor</w:t>
      </w:r>
    </w:p>
    <w:p w:rsidRDefault="006252DC" w:rsidP="006252DC" w:rsidR="006252DC" w:rsidRPr="006252DC">
      <w:pPr>
        <w:spacing w:after="0"/>
        <w:rPr>
          <w:rFonts w:cs="Times New Roman" w:eastAsia="Calibri"/>
          <w:bCs/>
          <w:color w:val="000000"/>
          <w:lang w:eastAsia="zh-CN" w:val="en-GB"/>
        </w:rPr>
      </w:pPr>
      <w:r w:rsidRPr="006252DC">
        <w:rPr>
          <w:rFonts w:cs="Times New Roman" w:eastAsia="Calibri"/>
          <w:bCs/>
          <w:lang w:eastAsia="en-GB" w:val="en-US"/>
        </w:rPr>
        <w:t xml:space="preserve">                                                                                 </w:t>
      </w:r>
    </w:p>
    <w:p w:rsidRDefault="006252DC" w:rsidP="006252DC" w:rsidR="006252DC" w:rsidRPr="006252DC">
      <w:pPr>
        <w:spacing w:after="0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after="0"/>
        <w:jc w:val="right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ab/>
      </w:r>
      <w:r w:rsidRPr="006252DC">
        <w:rPr>
          <w:rFonts w:cs="Times New Roman" w:eastAsia="Calibri"/>
          <w:lang w:eastAsia="en-GB" w:val="en-GB"/>
        </w:rPr>
        <w:tab/>
      </w:r>
      <w:r w:rsidRPr="006252DC">
        <w:rPr>
          <w:rFonts w:cs="Times New Roman" w:eastAsia="Calibri"/>
          <w:lang w:eastAsia="en-GB" w:val="en-GB"/>
        </w:rPr>
        <w:tab/>
      </w:r>
      <w:r w:rsidRPr="006252DC">
        <w:rPr>
          <w:rFonts w:cs="Times New Roman" w:eastAsia="Calibri"/>
          <w:lang w:eastAsia="en-GB" w:val="en-GB"/>
        </w:rPr>
        <w:tab/>
      </w:r>
      <w:r w:rsidRPr="006252DC">
        <w:rPr>
          <w:rFonts w:cs="Times New Roman" w:eastAsia="Calibri"/>
          <w:lang w:eastAsia="en-GB" w:val="en-GB"/>
        </w:rPr>
        <w:tab/>
      </w:r>
      <w:r w:rsidRPr="006252DC">
        <w:rPr>
          <w:rFonts w:cs="Times New Roman" w:eastAsia="Calibri"/>
          <w:lang w:eastAsia="en-GB" w:val="en-GB"/>
        </w:rPr>
        <w:tab/>
      </w:r>
      <w:r w:rsidRPr="006252DC">
        <w:rPr>
          <w:rFonts w:cs="Times New Roman" w:eastAsia="Calibri"/>
          <w:lang w:eastAsia="en-GB" w:val="en-GB"/>
        </w:rPr>
        <w:tab/>
      </w:r>
      <w:r>
        <w:rPr>
          <w:rFonts w:cs="Times New Roman" w:eastAsia="Calibri"/>
          <w:lang w:eastAsia="en-GB" w:val="en-GB"/>
        </w:rPr>
        <w:tab/>
      </w:r>
      <w:r>
        <w:rPr>
          <w:rFonts w:cs="Times New Roman" w:eastAsia="Calibri"/>
          <w:lang w:eastAsia="en-GB" w:val="en-GB"/>
        </w:rPr>
        <w:tab/>
      </w:r>
      <w:r w:rsidRPr="006252DC">
        <w:rPr>
          <w:rFonts w:cs="Times New Roman" w:eastAsia="Calibri"/>
          <w:lang w:eastAsia="en-GB" w:val="en-GB"/>
        </w:rPr>
        <w:t>____________________________</w:t>
      </w:r>
    </w:p>
    <w:p w:rsidRDefault="006252DC" w:rsidP="006252DC" w:rsidR="006252DC" w:rsidRPr="006252DC">
      <w:pPr>
        <w:spacing w:after="0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b/>
          <w:color w:val="FF6600"/>
          <w:highlight w:val="yellow"/>
          <w:lang w:eastAsia="en-GB" w:val="en-GB"/>
        </w:rPr>
      </w:pPr>
      <w:r w:rsidRPr="006252DC">
        <w:rPr>
          <w:rFonts w:cs="Times New Roman" w:eastAsia="Calibri"/>
          <w:highlight w:val="yellow"/>
          <w:lang w:eastAsia="en-GB" w:val="en-GB"/>
        </w:rPr>
        <w:br w:type="page"/>
      </w:r>
    </w:p>
    <w:p w:rsidRDefault="006252DC" w:rsidP="006252DC" w:rsidR="006252DC" w:rsidRPr="006252DC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  <w:color w:val="4F81BD"/>
        </w:rPr>
      </w:pPr>
      <w:bookmarkStart w:name="_Toc482047542" w:id="7"/>
      <w:bookmarkStart w:name="_Toc477898292" w:id="8"/>
      <w:bookmarkStart w:name="_Toc472012443" w:id="9"/>
      <w:r w:rsidRPr="006252DC">
        <w:rPr>
          <w:rFonts w:cs="Times New Roman" w:eastAsia="Times New Roman"/>
          <w:b/>
          <w:color w:val="4F81BD"/>
        </w:rPr>
        <w:lastRenderedPageBreak/>
        <w:t xml:space="preserve">1. </w:t>
      </w:r>
      <w:bookmarkEnd w:id="1"/>
      <w:r w:rsidRPr="006252DC">
        <w:rPr>
          <w:rFonts w:cs="Times New Roman" w:eastAsia="Times New Roman"/>
          <w:b/>
          <w:color w:val="4F81BD"/>
        </w:rPr>
        <w:t>UVOD</w:t>
      </w:r>
      <w:bookmarkEnd w:id="7"/>
      <w:bookmarkEnd w:id="8"/>
      <w:bookmarkEnd w:id="9"/>
      <w:r w:rsidRPr="006252DC">
        <w:rPr>
          <w:rFonts w:cs="Times New Roman" w:eastAsia="Times New Roman"/>
          <w:b/>
          <w:color w:val="4F81BD"/>
        </w:rPr>
        <w:t xml:space="preserve"> </w:t>
      </w: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color w:val="000000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>Tvrtka MATEO PRIDRAGA d.o.o</w:t>
      </w:r>
      <w:r w:rsidRPr="006252DC">
        <w:rPr>
          <w:rFonts w:cs="Times New Roman" w:eastAsia="Calibri"/>
          <w:color w:val="000000"/>
          <w:lang w:eastAsia="en-GB" w:val="en-GB"/>
        </w:rPr>
        <w:t xml:space="preserve"> pokreće predstečajni postupak radi pristizanja nenaplativih potraživanja i nelikvidnosti poslovanja, </w:t>
      </w:r>
      <w:proofErr w:type="gramStart"/>
      <w:r w:rsidRPr="006252DC">
        <w:rPr>
          <w:rFonts w:cs="Times New Roman" w:eastAsia="Calibri"/>
          <w:color w:val="000000"/>
          <w:lang w:eastAsia="en-GB" w:val="en-GB"/>
        </w:rPr>
        <w:t>te</w:t>
      </w:r>
      <w:proofErr w:type="gramEnd"/>
      <w:r w:rsidRPr="006252DC">
        <w:rPr>
          <w:rFonts w:cs="Times New Roman" w:eastAsia="Calibri"/>
          <w:color w:val="000000"/>
          <w:lang w:eastAsia="en-GB" w:val="en-GB"/>
        </w:rPr>
        <w:t xml:space="preserve"> blokade računa. </w:t>
      </w:r>
      <w:r w:rsidRPr="006252DC">
        <w:rPr>
          <w:rFonts w:cs="Times New Roman" w:eastAsia="Calibri"/>
          <w:lang w:eastAsia="en-GB" w:val="en-GB"/>
        </w:rPr>
        <w:t xml:space="preserve">Daljnja blokada računa uzrokovala bi dugoročnu nelikvidnost što bi nedvojbeno imalo dalekosežne negativne posljedice za nastavak poslovanja, a u konačnici bi vjerojatno dovelo i do prekida poslovanja, odnosno stečaja. </w:t>
      </w: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color w:val="FF0000"/>
          <w:lang w:eastAsia="en-GB" w:val="en-GB"/>
        </w:rPr>
      </w:pPr>
      <w:proofErr w:type="gramStart"/>
      <w:r w:rsidRPr="006252DC">
        <w:rPr>
          <w:rFonts w:cs="Times New Roman" w:eastAsia="Calibri"/>
          <w:lang w:eastAsia="en-GB" w:val="en-GB"/>
        </w:rPr>
        <w:t>MATEO PRIDRAGA d.o.o. planira pokretanjem predstečajnog postupka prema Stečajnom Zakonu (</w:t>
      </w:r>
      <w:r w:rsidRPr="006252DC">
        <w:rPr>
          <w:rFonts w:cs="Times New Roman" w:eastAsia="Calibri"/>
          <w:color w:val="323235"/>
          <w:lang w:eastAsia="en-GB" w:val="en-GB"/>
        </w:rPr>
        <w:t xml:space="preserve">NN 71/15) </w:t>
      </w:r>
      <w:r w:rsidRPr="006252DC">
        <w:rPr>
          <w:rFonts w:cs="Times New Roman" w:eastAsia="Calibri"/>
          <w:lang w:eastAsia="en-GB" w:val="en-GB"/>
        </w:rPr>
        <w:t>deblokirati svoj poslovni račun, što je ujedno i preduvjet za nastavak redovnog poslovanja.</w:t>
      </w:r>
      <w:proofErr w:type="gramEnd"/>
      <w:r w:rsidRPr="006252DC">
        <w:rPr>
          <w:rFonts w:cs="Times New Roman" w:eastAsia="Calibri"/>
          <w:lang w:eastAsia="en-GB" w:val="en-GB"/>
        </w:rPr>
        <w:t xml:space="preserve"> Deblokada računa omogućit </w:t>
      </w:r>
      <w:proofErr w:type="gramStart"/>
      <w:r w:rsidRPr="006252DC">
        <w:rPr>
          <w:rFonts w:cs="Times New Roman" w:eastAsia="Calibri"/>
          <w:lang w:eastAsia="en-GB" w:val="en-GB"/>
        </w:rPr>
        <w:t>će</w:t>
      </w:r>
      <w:proofErr w:type="gramEnd"/>
      <w:r w:rsidRPr="006252DC">
        <w:rPr>
          <w:rFonts w:cs="Times New Roman" w:eastAsia="Calibri"/>
          <w:lang w:eastAsia="en-GB" w:val="en-GB"/>
        </w:rPr>
        <w:t xml:space="preserve"> nastavak dosadašnjeg poslovanja, odnosno pružanje građevinarskih usluga, proizvodnju građevinskog materijala i usluge prijevoza. </w:t>
      </w: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 xml:space="preserve">Deblokada računa i odgoda plaćanja starih obaveza za vrijeme trajanja postupka </w:t>
      </w:r>
      <w:proofErr w:type="gramStart"/>
      <w:r w:rsidRPr="006252DC">
        <w:rPr>
          <w:rFonts w:cs="Times New Roman" w:eastAsia="Calibri"/>
          <w:lang w:eastAsia="en-GB" w:val="en-GB"/>
        </w:rPr>
        <w:t>te</w:t>
      </w:r>
      <w:proofErr w:type="gramEnd"/>
      <w:r w:rsidRPr="006252DC">
        <w:rPr>
          <w:rFonts w:cs="Times New Roman" w:eastAsia="Calibri"/>
          <w:lang w:eastAsia="en-GB" w:val="en-GB"/>
        </w:rPr>
        <w:t xml:space="preserve"> reprogram istih, vratit će tvrtku u stanje likvidnosti, a kroz program operativnog i financijskog restrukturiranja stvorit će se preduvjeti za uspješan nastavak poslovanja i nakon završetka predstečajnog postupka. </w:t>
      </w: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proofErr w:type="gramStart"/>
      <w:r w:rsidRPr="006252DC">
        <w:rPr>
          <w:rFonts w:cs="Times New Roman" w:eastAsia="Calibri"/>
          <w:lang w:eastAsia="en-GB" w:val="en-GB"/>
        </w:rPr>
        <w:t>Glavni cilj pokretanja postupka je nastavak poslovanja i podmirenje dugovanja prema vjerovnicima u najvećoj mogućoj mjeri.</w:t>
      </w:r>
      <w:proofErr w:type="gramEnd"/>
      <w:r w:rsidRPr="006252DC">
        <w:rPr>
          <w:rFonts w:cs="Times New Roman" w:eastAsia="Calibri"/>
          <w:lang w:eastAsia="en-GB" w:val="en-GB"/>
        </w:rPr>
        <w:t xml:space="preserve">  </w:t>
      </w: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color w:val="000000"/>
          <w:lang w:eastAsia="en-GB" w:val="en-GB"/>
        </w:rPr>
        <w:t xml:space="preserve">Dodatni argument za donošenje Rješenja o otvaranju predstečajnog postupka kao preduvjeta za nastavak poslovanja je i činjenica da je dužnik MATEO PRIDRAGA d.o.o. i u blokadi nastavio poslovati </w:t>
      </w:r>
      <w:proofErr w:type="gramStart"/>
      <w:r w:rsidRPr="006252DC">
        <w:rPr>
          <w:rFonts w:cs="Times New Roman" w:eastAsia="Calibri"/>
          <w:color w:val="000000"/>
          <w:lang w:eastAsia="en-GB" w:val="en-GB"/>
        </w:rPr>
        <w:t>te</w:t>
      </w:r>
      <w:proofErr w:type="gramEnd"/>
      <w:r w:rsidRPr="006252DC">
        <w:rPr>
          <w:rFonts w:cs="Times New Roman" w:eastAsia="Calibri"/>
          <w:color w:val="000000"/>
          <w:lang w:eastAsia="en-GB" w:val="en-GB"/>
        </w:rPr>
        <w:t xml:space="preserve"> i u blokadi svakim danom smanjuje svoje obaveze, No, bez provođenja predstečajnog </w:t>
      </w:r>
      <w:r w:rsidRPr="006252DC">
        <w:rPr>
          <w:rFonts w:cs="Times New Roman" w:eastAsia="Calibri"/>
          <w:lang w:eastAsia="en-GB" w:val="en-GB"/>
        </w:rPr>
        <w:t xml:space="preserve">postupka dužnik nije u mogućnosti restrukturirati tvrtku i podmiriti obaveze vjerovnicima. </w:t>
      </w: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 xml:space="preserve">Svi podaci u daljnjem tekstu usklađeni su s financijskim izvješćima </w:t>
      </w:r>
      <w:proofErr w:type="gramStart"/>
      <w:r w:rsidRPr="006252DC">
        <w:rPr>
          <w:rFonts w:cs="Times New Roman" w:eastAsia="Calibri"/>
          <w:lang w:eastAsia="en-GB" w:val="en-GB"/>
        </w:rPr>
        <w:t>na</w:t>
      </w:r>
      <w:proofErr w:type="gramEnd"/>
      <w:r w:rsidRPr="006252DC">
        <w:rPr>
          <w:rFonts w:cs="Times New Roman" w:eastAsia="Calibri"/>
          <w:lang w:eastAsia="en-GB" w:val="en-GB"/>
        </w:rPr>
        <w:t xml:space="preserve"> dan 28.02.2017. </w:t>
      </w:r>
      <w:proofErr w:type="gramStart"/>
      <w:r w:rsidRPr="006252DC">
        <w:rPr>
          <w:rFonts w:cs="Times New Roman" w:eastAsia="Calibri"/>
          <w:lang w:eastAsia="en-GB" w:val="en-GB"/>
        </w:rPr>
        <w:t>godine</w:t>
      </w:r>
      <w:proofErr w:type="gramEnd"/>
      <w:r w:rsidRPr="006252DC">
        <w:rPr>
          <w:rFonts w:cs="Times New Roman" w:eastAsia="Calibri"/>
          <w:lang w:eastAsia="en-GB" w:val="en-GB"/>
        </w:rPr>
        <w:t>.</w:t>
      </w: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keepNext/>
        <w:numPr>
          <w:ilvl w:val="1"/>
          <w:numId w:val="0"/>
        </w:numPr>
        <w:spacing w:lineRule="auto" w:line="360" w:after="60" w:before="240"/>
        <w:ind w:hanging="360" w:left="420"/>
        <w:jc w:val="both"/>
        <w:outlineLvl w:val="1"/>
        <w:rPr>
          <w:rFonts w:cs="Times New Roman" w:eastAsia="Times New Roman"/>
          <w:b/>
          <w:bCs/>
          <w:iCs/>
          <w:color w:val="4F81BD"/>
          <w:lang w:eastAsia="hr-HR"/>
        </w:rPr>
      </w:pPr>
      <w:bookmarkStart w:name="_Toc482047543" w:id="10"/>
      <w:bookmarkStart w:name="_Toc477898293" w:id="11"/>
      <w:bookmarkStart w:name="_Toc472012444" w:id="12"/>
      <w:bookmarkStart w:name="_Toc451235616" w:id="13"/>
      <w:r w:rsidRPr="006252DC">
        <w:rPr>
          <w:rFonts w:cs="Times New Roman" w:eastAsia="Times New Roman"/>
          <w:b/>
          <w:bCs/>
          <w:iCs/>
          <w:color w:val="4F81BD"/>
          <w:lang w:eastAsia="hr-HR"/>
        </w:rPr>
        <w:lastRenderedPageBreak/>
        <w:t>Opći podaci</w:t>
      </w:r>
      <w:bookmarkEnd w:id="10"/>
      <w:bookmarkEnd w:id="11"/>
      <w:bookmarkEnd w:id="12"/>
      <w:bookmarkEnd w:id="13"/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widowControl w:val="false"/>
        <w:autoSpaceDE w:val="false"/>
        <w:autoSpaceDN w:val="false"/>
        <w:adjustRightInd w:val="false"/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 xml:space="preserve">MATEO PRIDRAGA d.o.o. poduzeće je </w:t>
      </w:r>
      <w:proofErr w:type="gramStart"/>
      <w:r w:rsidRPr="006252DC">
        <w:rPr>
          <w:rFonts w:cs="Times New Roman" w:eastAsia="Calibri"/>
          <w:lang w:eastAsia="en-GB" w:val="en-GB"/>
        </w:rPr>
        <w:t>sa</w:t>
      </w:r>
      <w:proofErr w:type="gramEnd"/>
      <w:r w:rsidRPr="006252DC">
        <w:rPr>
          <w:rFonts w:cs="Times New Roman" w:eastAsia="Calibri"/>
          <w:lang w:eastAsia="en-GB" w:val="en-GB"/>
        </w:rPr>
        <w:t xml:space="preserve"> sjedištem na adresi Bjelovar, ulica Augusta Šenoe 7, OIB: 42228937982, MB: 04567439. </w:t>
      </w:r>
    </w:p>
    <w:p w:rsidRDefault="006252DC" w:rsidP="006252DC" w:rsidR="006252DC" w:rsidRPr="006252DC">
      <w:pPr>
        <w:widowControl w:val="false"/>
        <w:autoSpaceDE w:val="false"/>
        <w:autoSpaceDN w:val="false"/>
        <w:adjustRightInd w:val="false"/>
        <w:spacing w:lineRule="auto" w:line="360" w:after="0"/>
        <w:jc w:val="both"/>
        <w:rPr>
          <w:rFonts w:cs="Times New Roman" w:eastAsia="Calibri"/>
          <w:lang w:eastAsia="en-GB" w:val="en-GB"/>
        </w:rPr>
      </w:pPr>
      <w:bookmarkStart w:name="_Toc451235617" w:id="14"/>
      <w:bookmarkStart w:name="_Toc131189722" w:id="15"/>
      <w:r w:rsidRPr="006252DC">
        <w:rPr>
          <w:rFonts w:cs="Times New Roman" w:eastAsia="Calibri"/>
          <w:lang w:eastAsia="en-GB" w:val="en-GB"/>
        </w:rPr>
        <w:t>Naziv: MATEO PRIDRAGA d.o.o. za proizvodnju i usluge</w:t>
      </w:r>
    </w:p>
    <w:p w:rsidRDefault="006252DC" w:rsidP="006252DC" w:rsidR="006252DC" w:rsidRPr="006252DC">
      <w:pPr>
        <w:spacing w:lineRule="auto" w:line="360" w:after="0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>Sjedište: Ulica Augusta Šenoe 7, 43000, Bjelovar</w:t>
      </w:r>
    </w:p>
    <w:p w:rsidRDefault="006252DC" w:rsidP="006252DC" w:rsidR="006252DC" w:rsidRPr="006252DC">
      <w:pPr>
        <w:widowControl w:val="false"/>
        <w:autoSpaceDE w:val="false"/>
        <w:autoSpaceDN w:val="false"/>
        <w:adjustRightInd w:val="false"/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>MBS: 110062219</w:t>
      </w:r>
    </w:p>
    <w:p w:rsidRDefault="006252DC" w:rsidP="006252DC" w:rsidR="006252DC" w:rsidRPr="006252DC">
      <w:pPr>
        <w:widowControl w:val="false"/>
        <w:autoSpaceDE w:val="false"/>
        <w:autoSpaceDN w:val="false"/>
        <w:adjustRightInd w:val="false"/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>OIB: 42228937982</w:t>
      </w:r>
    </w:p>
    <w:p w:rsidRDefault="006252DC" w:rsidP="006252DC" w:rsidR="006252DC" w:rsidRPr="006252DC">
      <w:pPr>
        <w:widowControl w:val="false"/>
        <w:autoSpaceDE w:val="false"/>
        <w:autoSpaceDN w:val="false"/>
        <w:adjustRightInd w:val="false"/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>Datum osnivanja: 10.06.2016.</w:t>
      </w:r>
    </w:p>
    <w:p w:rsidRDefault="006252DC" w:rsidP="006252DC" w:rsidR="006252DC" w:rsidRPr="006252DC">
      <w:pPr>
        <w:widowControl w:val="false"/>
        <w:autoSpaceDE w:val="false"/>
        <w:autoSpaceDN w:val="false"/>
        <w:adjustRightInd w:val="false"/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>Temeljni kapital: 20.000,00 kuna</w:t>
      </w:r>
    </w:p>
    <w:p w:rsidRDefault="006252DC" w:rsidP="006252DC" w:rsidR="006252DC" w:rsidRPr="006252DC">
      <w:pPr>
        <w:widowControl w:val="false"/>
        <w:autoSpaceDE w:val="false"/>
        <w:autoSpaceDN w:val="false"/>
        <w:adjustRightInd w:val="false"/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 xml:space="preserve">Osoba ovlaštena za zastupanje: </w:t>
      </w:r>
    </w:p>
    <w:p w:rsidRDefault="006252DC" w:rsidP="006252DC" w:rsidR="006252DC" w:rsidRPr="006252DC">
      <w:pPr>
        <w:widowControl w:val="false"/>
        <w:autoSpaceDE w:val="false"/>
        <w:autoSpaceDN w:val="false"/>
        <w:adjustRightInd w:val="false"/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>Mate Viduka, OIB: 42709941217, član uprave, zastupa društvo samostalno i pojedinačno</w:t>
      </w:r>
    </w:p>
    <w:p w:rsidRDefault="006252DC" w:rsidP="006252DC" w:rsidR="006252DC" w:rsidRPr="006252DC">
      <w:pPr>
        <w:widowControl w:val="false"/>
        <w:autoSpaceDE w:val="false"/>
        <w:autoSpaceDN w:val="false"/>
        <w:adjustRightInd w:val="false"/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 xml:space="preserve">Broj zaposlenih </w:t>
      </w:r>
      <w:proofErr w:type="gramStart"/>
      <w:r w:rsidRPr="006252DC">
        <w:rPr>
          <w:rFonts w:cs="Times New Roman" w:eastAsia="Calibri"/>
          <w:lang w:eastAsia="en-GB" w:val="en-GB"/>
        </w:rPr>
        <w:t>na</w:t>
      </w:r>
      <w:proofErr w:type="gramEnd"/>
      <w:r w:rsidRPr="006252DC">
        <w:rPr>
          <w:rFonts w:cs="Times New Roman" w:eastAsia="Calibri"/>
          <w:lang w:eastAsia="en-GB" w:val="en-GB"/>
        </w:rPr>
        <w:t xml:space="preserve"> dan 28.02.2017. </w:t>
      </w:r>
      <w:proofErr w:type="gramStart"/>
      <w:r w:rsidRPr="006252DC">
        <w:rPr>
          <w:rFonts w:cs="Times New Roman" w:eastAsia="Calibri"/>
          <w:lang w:eastAsia="en-GB" w:val="en-GB"/>
        </w:rPr>
        <w:t>godine</w:t>
      </w:r>
      <w:proofErr w:type="gramEnd"/>
      <w:r w:rsidRPr="006252DC">
        <w:rPr>
          <w:rFonts w:cs="Times New Roman" w:eastAsia="Calibri"/>
          <w:lang w:eastAsia="en-GB" w:val="en-GB"/>
        </w:rPr>
        <w:t>: 0 djelatnika</w:t>
      </w:r>
    </w:p>
    <w:p w:rsidRDefault="006252DC" w:rsidP="006252DC" w:rsidR="006252DC" w:rsidRPr="006252DC">
      <w:pPr>
        <w:spacing w:lineRule="auto" w:line="276" w:after="0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keepNext/>
        <w:numPr>
          <w:ilvl w:val="2"/>
          <w:numId w:val="0"/>
        </w:numPr>
        <w:spacing w:after="60" w:before="240"/>
        <w:ind w:hanging="720" w:left="720"/>
        <w:outlineLvl w:val="2"/>
        <w:rPr>
          <w:rFonts w:cs="Times New Roman" w:eastAsia="Times New Roman"/>
          <w:b/>
          <w:bCs/>
          <w:color w:val="4F81BD"/>
          <w:lang w:eastAsia="hr-HR"/>
        </w:rPr>
      </w:pPr>
      <w:bookmarkStart w:name="_Toc482047544" w:id="16"/>
      <w:bookmarkStart w:name="_Toc477898294" w:id="17"/>
      <w:bookmarkStart w:name="_Toc472012445" w:id="18"/>
      <w:bookmarkStart w:name="_Toc386092473" w:id="19"/>
      <w:bookmarkEnd w:id="14"/>
      <w:r w:rsidRPr="006252DC">
        <w:rPr>
          <w:rFonts w:cs="Times New Roman" w:eastAsia="Times New Roman"/>
          <w:b/>
          <w:bCs/>
          <w:color w:val="4F81BD"/>
          <w:lang w:eastAsia="hr-HR"/>
        </w:rPr>
        <w:t>Predmet poslovanja</w:t>
      </w:r>
      <w:bookmarkEnd w:id="16"/>
      <w:bookmarkEnd w:id="17"/>
      <w:bookmarkEnd w:id="18"/>
      <w:bookmarkEnd w:id="19"/>
      <w:r w:rsidRPr="006252DC">
        <w:rPr>
          <w:rFonts w:cs="Times New Roman" w:eastAsia="Times New Roman"/>
          <w:b/>
          <w:bCs/>
          <w:color w:val="4F81BD"/>
          <w:lang w:eastAsia="hr-HR"/>
        </w:rPr>
        <w:t xml:space="preserve">  </w:t>
      </w:r>
    </w:p>
    <w:p w:rsidRDefault="006252DC" w:rsidP="006252DC" w:rsidR="006252DC" w:rsidRPr="006252DC">
      <w:pPr>
        <w:spacing w:lineRule="auto" w:line="276" w:after="0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lineRule="auto" w:line="276" w:after="0"/>
        <w:jc w:val="both"/>
        <w:rPr>
          <w:rFonts w:cs="Times New Roman" w:eastAsia="Calibri"/>
          <w:snapToGrid w:val="false"/>
          <w:lang w:eastAsia="en-GB" w:val="en-GB"/>
        </w:rPr>
      </w:pPr>
      <w:r w:rsidRPr="006252DC">
        <w:rPr>
          <w:rFonts w:cs="Times New Roman" w:eastAsia="Calibri"/>
          <w:snapToGrid w:val="false"/>
          <w:lang w:eastAsia="en-GB" w:val="en-GB"/>
        </w:rPr>
        <w:t xml:space="preserve">Tvrtka je registrirana za sljedeće djelatnosti: </w:t>
      </w:r>
    </w:p>
    <w:p w:rsidRDefault="006252DC" w:rsidP="006252DC" w:rsidR="006252DC" w:rsidRPr="006252DC">
      <w:pPr>
        <w:spacing w:lineRule="auto" w:line="276" w:after="0"/>
        <w:jc w:val="both"/>
        <w:rPr>
          <w:rFonts w:cs="Times New Roman" w:eastAsia="Calibri"/>
          <w:snapToGrid w:val="false"/>
          <w:lang w:eastAsia="en-GB" w:val="en-GB"/>
        </w:rPr>
      </w:pPr>
    </w:p>
    <w:tbl>
      <w:tblPr>
        <w:tblW w:type="dxa" w:w="10006"/>
        <w:tblCellSpacing w:type="dxa" w:w="15"/>
        <w:tblInd w:type="dxa" w:w="45"/>
        <w:tblLook w:val="04A0" w:noVBand="1" w:noHBand="0" w:lastColumn="0" w:firstColumn="1" w:lastRow="0" w:firstRow="1"/>
      </w:tblPr>
      <w:tblGrid>
        <w:gridCol w:w="1394"/>
        <w:gridCol w:w="8345"/>
        <w:gridCol w:w="126"/>
        <w:gridCol w:w="141"/>
      </w:tblGrid>
      <w:tr w:rsidTr="006252DC" w:rsidR="006252DC" w:rsidRPr="006252DC">
        <w:trPr>
          <w:tblCellSpacing w:type="dxa" w:w="15"/>
        </w:trPr>
        <w:tc>
          <w:tcPr>
            <w:tcW w:type="auto" w:w="0"/>
            <w:gridSpan w:val="2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tbl>
            <w:tblPr>
              <w:tblW w:type="auto" w:w="0"/>
              <w:tblCellSpacing w:type="dxa" w:w="15"/>
              <w:tblLook w:val="04A0" w:noVBand="1" w:noHBand="0" w:lastColumn="0" w:firstColumn="1" w:lastRow="0" w:firstRow="1"/>
            </w:tblPr>
            <w:tblGrid>
              <w:gridCol w:w="195"/>
              <w:gridCol w:w="9469"/>
            </w:tblGrid>
            <w:tr w:rsidR="006252DC" w:rsidRPr="006252DC">
              <w:trPr>
                <w:tblCellSpacing w:type="dxa" w:w="15"/>
              </w:trPr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color w:val="A6A6A6"/>
                      <w:lang w:eastAsia="hr-HR"/>
                    </w:rPr>
                    <w:t>*</w:t>
                  </w:r>
                </w:p>
              </w:tc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  <w:t xml:space="preserve">Vađenje kamena, pijeska i gline </w:t>
                  </w:r>
                </w:p>
              </w:tc>
            </w:tr>
            <w:tr w:rsidR="006252DC" w:rsidRPr="006252DC">
              <w:trPr>
                <w:tblCellSpacing w:type="dxa" w:w="15"/>
              </w:trPr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color w:val="A6A6A6"/>
                      <w:lang w:eastAsia="hr-HR"/>
                    </w:rPr>
                    <w:t>*</w:t>
                  </w:r>
                </w:p>
              </w:tc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  <w:t xml:space="preserve">Vađenje ruda obojenih metala </w:t>
                  </w:r>
                </w:p>
              </w:tc>
            </w:tr>
            <w:tr w:rsidR="006252DC" w:rsidRPr="006252DC">
              <w:trPr>
                <w:tblCellSpacing w:type="dxa" w:w="15"/>
              </w:trPr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color w:val="A6A6A6"/>
                      <w:lang w:eastAsia="hr-HR"/>
                    </w:rPr>
                    <w:t>*</w:t>
                  </w:r>
                </w:p>
              </w:tc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  <w:t xml:space="preserve">Proizvodnja opeke, crijepa i ostalih proizvoda od pečene gline za građevinarstvo </w:t>
                  </w:r>
                </w:p>
              </w:tc>
            </w:tr>
            <w:tr w:rsidR="006252DC" w:rsidRPr="006252DC">
              <w:trPr>
                <w:tblCellSpacing w:type="dxa" w:w="15"/>
              </w:trPr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color w:val="A6A6A6"/>
                      <w:lang w:eastAsia="hr-HR"/>
                    </w:rPr>
                    <w:t>*</w:t>
                  </w:r>
                </w:p>
              </w:tc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  <w:t xml:space="preserve">Proizvodnja cementa, vapna i gipsa </w:t>
                  </w:r>
                </w:p>
              </w:tc>
            </w:tr>
            <w:tr w:rsidR="006252DC" w:rsidRPr="006252DC">
              <w:trPr>
                <w:tblCellSpacing w:type="dxa" w:w="15"/>
              </w:trPr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color w:val="A6A6A6"/>
                      <w:lang w:eastAsia="hr-HR"/>
                    </w:rPr>
                    <w:t>*</w:t>
                  </w:r>
                </w:p>
              </w:tc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  <w:t xml:space="preserve">Proizvodnja proizvoda od betona i gipsa za građevinarstvo </w:t>
                  </w:r>
                </w:p>
              </w:tc>
            </w:tr>
            <w:tr w:rsidR="006252DC" w:rsidRPr="006252DC">
              <w:trPr>
                <w:tblCellSpacing w:type="dxa" w:w="15"/>
              </w:trPr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color w:val="A6A6A6"/>
                      <w:lang w:eastAsia="hr-HR"/>
                    </w:rPr>
                    <w:t>*</w:t>
                  </w:r>
                </w:p>
              </w:tc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  <w:t xml:space="preserve">Proizvodnja nemetalnih mineralnih proizvoda </w:t>
                  </w:r>
                </w:p>
              </w:tc>
            </w:tr>
            <w:tr w:rsidR="006252DC" w:rsidRPr="006252DC">
              <w:trPr>
                <w:tblCellSpacing w:type="dxa" w:w="15"/>
              </w:trPr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color w:val="A6A6A6"/>
                      <w:lang w:eastAsia="hr-HR"/>
                    </w:rPr>
                    <w:t>*</w:t>
                  </w:r>
                </w:p>
              </w:tc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  <w:t xml:space="preserve">Proizvodnja proizvoda od drva za različite namjene </w:t>
                  </w:r>
                </w:p>
              </w:tc>
            </w:tr>
            <w:tr w:rsidR="006252DC" w:rsidRPr="006252DC">
              <w:trPr>
                <w:tblCellSpacing w:type="dxa" w:w="15"/>
              </w:trPr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color w:val="A6A6A6"/>
                      <w:lang w:eastAsia="hr-HR"/>
                    </w:rPr>
                    <w:t>*</w:t>
                  </w:r>
                </w:p>
              </w:tc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  <w:t xml:space="preserve">Rezanje, oblikovanje i obrada kamena </w:t>
                  </w:r>
                </w:p>
              </w:tc>
            </w:tr>
            <w:tr w:rsidR="006252DC" w:rsidRPr="006252DC">
              <w:trPr>
                <w:tblCellSpacing w:type="dxa" w:w="15"/>
              </w:trPr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color w:val="A6A6A6"/>
                      <w:lang w:eastAsia="hr-HR"/>
                    </w:rPr>
                    <w:t>*</w:t>
                  </w:r>
                </w:p>
              </w:tc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  <w:t xml:space="preserve">Projektiranje i građenje građevina te stručni nadzor građenja </w:t>
                  </w:r>
                </w:p>
              </w:tc>
            </w:tr>
            <w:tr w:rsidR="006252DC" w:rsidRPr="006252DC">
              <w:trPr>
                <w:tblCellSpacing w:type="dxa" w:w="15"/>
              </w:trPr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color w:val="A6A6A6"/>
                      <w:lang w:eastAsia="hr-HR"/>
                    </w:rPr>
                    <w:t>*</w:t>
                  </w:r>
                </w:p>
              </w:tc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  <w:t xml:space="preserve">Djelatnosti prostornog uređenja i gradnje </w:t>
                  </w:r>
                </w:p>
              </w:tc>
            </w:tr>
            <w:tr w:rsidR="006252DC" w:rsidRPr="006252DC">
              <w:trPr>
                <w:tblCellSpacing w:type="dxa" w:w="15"/>
              </w:trPr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color w:val="A6A6A6"/>
                      <w:lang w:eastAsia="hr-HR"/>
                    </w:rPr>
                    <w:t>*</w:t>
                  </w:r>
                </w:p>
              </w:tc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  <w:t xml:space="preserve">Djelatnost projektiranja i/ili stručnog nadzora građenja </w:t>
                  </w:r>
                </w:p>
              </w:tc>
            </w:tr>
            <w:tr w:rsidR="006252DC" w:rsidRPr="006252DC">
              <w:trPr>
                <w:tblCellSpacing w:type="dxa" w:w="15"/>
              </w:trPr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color w:val="A6A6A6"/>
                      <w:lang w:eastAsia="hr-HR"/>
                    </w:rPr>
                    <w:t>*</w:t>
                  </w:r>
                </w:p>
              </w:tc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  <w:t xml:space="preserve">Djelatnost upravljanja projektom gradnje </w:t>
                  </w:r>
                </w:p>
              </w:tc>
            </w:tr>
            <w:tr w:rsidR="006252DC" w:rsidRPr="006252DC">
              <w:trPr>
                <w:tblCellSpacing w:type="dxa" w:w="15"/>
              </w:trPr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color w:val="A6A6A6"/>
                      <w:lang w:eastAsia="hr-HR"/>
                    </w:rPr>
                    <w:t>*</w:t>
                  </w:r>
                </w:p>
              </w:tc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  <w:t xml:space="preserve">Izrada nacrta strojeva i industrijskih postrojenja </w:t>
                  </w:r>
                </w:p>
              </w:tc>
            </w:tr>
            <w:tr w:rsidR="006252DC" w:rsidRPr="006252DC">
              <w:trPr>
                <w:tblCellSpacing w:type="dxa" w:w="15"/>
              </w:trPr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color w:val="A6A6A6"/>
                      <w:lang w:eastAsia="hr-HR"/>
                    </w:rPr>
                    <w:t>*</w:t>
                  </w:r>
                </w:p>
              </w:tc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  <w:t xml:space="preserve">Inženjering, projektni menadžment i tehničke djelatnosti </w:t>
                  </w:r>
                </w:p>
              </w:tc>
            </w:tr>
            <w:tr w:rsidR="006252DC" w:rsidRPr="006252DC">
              <w:trPr>
                <w:tblCellSpacing w:type="dxa" w:w="15"/>
              </w:trPr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color w:val="A6A6A6"/>
                      <w:lang w:eastAsia="hr-HR"/>
                    </w:rPr>
                    <w:t>*</w:t>
                  </w:r>
                </w:p>
              </w:tc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  <w:t xml:space="preserve">Poslovanje nekretninama </w:t>
                  </w:r>
                </w:p>
              </w:tc>
            </w:tr>
            <w:tr w:rsidR="006252DC" w:rsidRPr="006252DC">
              <w:trPr>
                <w:tblCellSpacing w:type="dxa" w:w="15"/>
              </w:trPr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color w:val="A6A6A6"/>
                      <w:lang w:eastAsia="hr-HR"/>
                    </w:rPr>
                    <w:t>*</w:t>
                  </w:r>
                </w:p>
              </w:tc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  <w:t xml:space="preserve">Trgovina motornim vozilima </w:t>
                  </w:r>
                </w:p>
              </w:tc>
            </w:tr>
            <w:tr w:rsidR="006252DC" w:rsidRPr="006252DC">
              <w:trPr>
                <w:tblCellSpacing w:type="dxa" w:w="15"/>
              </w:trPr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color w:val="A6A6A6"/>
                      <w:lang w:eastAsia="hr-HR"/>
                    </w:rPr>
                    <w:t>*</w:t>
                  </w:r>
                </w:p>
              </w:tc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  <w:t xml:space="preserve">Održavanje i popravak motornih vozila </w:t>
                  </w:r>
                </w:p>
              </w:tc>
            </w:tr>
            <w:tr w:rsidR="006252DC" w:rsidRPr="006252DC">
              <w:trPr>
                <w:tblCellSpacing w:type="dxa" w:w="15"/>
              </w:trPr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color w:val="A6A6A6"/>
                      <w:lang w:eastAsia="hr-HR"/>
                    </w:rPr>
                    <w:t>*</w:t>
                  </w:r>
                </w:p>
              </w:tc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  <w:t xml:space="preserve">Kupnja i prodaja robe </w:t>
                  </w:r>
                </w:p>
              </w:tc>
            </w:tr>
            <w:tr w:rsidR="006252DC" w:rsidRPr="006252DC">
              <w:trPr>
                <w:tblCellSpacing w:type="dxa" w:w="15"/>
              </w:trPr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color w:val="A6A6A6"/>
                      <w:lang w:eastAsia="hr-HR"/>
                    </w:rPr>
                    <w:t>*</w:t>
                  </w:r>
                </w:p>
              </w:tc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  <w:t xml:space="preserve">Pružanje usluga u trgovini </w:t>
                  </w:r>
                </w:p>
              </w:tc>
            </w:tr>
            <w:tr w:rsidR="006252DC" w:rsidRPr="006252DC">
              <w:trPr>
                <w:tblCellSpacing w:type="dxa" w:w="15"/>
              </w:trPr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  <w:lastRenderedPageBreak/>
                    <w:t>*</w:t>
                  </w:r>
                </w:p>
              </w:tc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  <w:t xml:space="preserve">Obavljanje trgovačkog posredovanja na domaćem i inozemnom tržištu </w:t>
                  </w:r>
                </w:p>
              </w:tc>
            </w:tr>
            <w:tr w:rsidR="006252DC" w:rsidRPr="006252DC">
              <w:trPr>
                <w:tblCellSpacing w:type="dxa" w:w="15"/>
              </w:trPr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  <w:t>*</w:t>
                  </w:r>
                </w:p>
              </w:tc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  <w:t xml:space="preserve">Zastupanje inozemnih tvrtki </w:t>
                  </w:r>
                </w:p>
              </w:tc>
            </w:tr>
            <w:tr w:rsidR="006252DC" w:rsidRPr="006252DC">
              <w:trPr>
                <w:tblCellSpacing w:type="dxa" w:w="15"/>
              </w:trPr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  <w:t>*</w:t>
                  </w:r>
                </w:p>
              </w:tc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  <w:t xml:space="preserve">Turističke usluge u nautičkom turizmu </w:t>
                  </w:r>
                </w:p>
              </w:tc>
            </w:tr>
            <w:tr w:rsidR="006252DC" w:rsidRPr="006252DC">
              <w:trPr>
                <w:tblCellSpacing w:type="dxa" w:w="15"/>
              </w:trPr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  <w:t>*</w:t>
                  </w:r>
                </w:p>
              </w:tc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  <w:t xml:space="preserve">Turističke usluge u ostalim oblicima turističke ponude </w:t>
                  </w:r>
                </w:p>
              </w:tc>
            </w:tr>
            <w:tr w:rsidR="006252DC" w:rsidRPr="006252DC">
              <w:trPr>
                <w:tblCellSpacing w:type="dxa" w:w="15"/>
              </w:trPr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  <w:t>*</w:t>
                  </w:r>
                </w:p>
              </w:tc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  <w:t xml:space="preserve">Ostale turističke usluge </w:t>
                  </w:r>
                </w:p>
              </w:tc>
            </w:tr>
            <w:tr w:rsidR="006252DC" w:rsidRPr="006252DC">
              <w:trPr>
                <w:tblCellSpacing w:type="dxa" w:w="15"/>
              </w:trPr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  <w:t>*</w:t>
                  </w:r>
                </w:p>
              </w:tc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  <w:t xml:space="preserve">Turističke usluge koje uključuju športsko-rekreativne ili pustolovne aktivnosti </w:t>
                  </w:r>
                </w:p>
              </w:tc>
            </w:tr>
            <w:tr w:rsidR="006252DC" w:rsidRPr="006252DC">
              <w:trPr>
                <w:tblCellSpacing w:type="dxa" w:w="15"/>
              </w:trPr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  <w:t>*</w:t>
                  </w:r>
                </w:p>
              </w:tc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  <w:t xml:space="preserve">Međunarodno prometno-agencijski poslovi (međunarodno otpremništvo, skladištenje, lučke i aerodromske usluge, agencijske usluge u transportu i sl.) </w:t>
                  </w:r>
                </w:p>
              </w:tc>
            </w:tr>
            <w:tr w:rsidR="006252DC" w:rsidRPr="006252DC">
              <w:trPr>
                <w:tblCellSpacing w:type="dxa" w:w="15"/>
              </w:trPr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  <w:t>*</w:t>
                  </w:r>
                </w:p>
              </w:tc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  <w:t xml:space="preserve">Djelatnost prijevoza putnika u unutarnjem cestovnom prometu </w:t>
                  </w:r>
                </w:p>
              </w:tc>
            </w:tr>
            <w:tr w:rsidR="006252DC" w:rsidRPr="006252DC">
              <w:trPr>
                <w:tblCellSpacing w:type="dxa" w:w="15"/>
              </w:trPr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  <w:t>*</w:t>
                  </w:r>
                </w:p>
              </w:tc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  <w:t xml:space="preserve">Usluge prijevoza putnika cestovnim vlakom </w:t>
                  </w:r>
                </w:p>
              </w:tc>
            </w:tr>
            <w:tr w:rsidR="006252DC" w:rsidRPr="006252DC">
              <w:trPr>
                <w:tblCellSpacing w:type="dxa" w:w="15"/>
              </w:trPr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  <w:t>*</w:t>
                  </w:r>
                </w:p>
              </w:tc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  <w:t xml:space="preserve">Djelatnost prijevoza tereta u unutarnjem i međunarodnom cestovnom prometu </w:t>
                  </w:r>
                </w:p>
              </w:tc>
            </w:tr>
            <w:tr w:rsidR="006252DC" w:rsidRPr="006252DC">
              <w:trPr>
                <w:tblCellSpacing w:type="dxa" w:w="15"/>
              </w:trPr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  <w:t>*</w:t>
                  </w:r>
                </w:p>
              </w:tc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  <w:t xml:space="preserve">Prijevoz za vlastite potrebe </w:t>
                  </w:r>
                </w:p>
              </w:tc>
            </w:tr>
            <w:tr w:rsidR="006252DC" w:rsidRPr="006252DC">
              <w:trPr>
                <w:tblCellSpacing w:type="dxa" w:w="15"/>
              </w:trPr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  <w:t>*</w:t>
                  </w:r>
                </w:p>
              </w:tc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  <w:t xml:space="preserve">Pripremanje i usluživanje jela, pića i napitaka i pružanje usluga smještaja </w:t>
                  </w:r>
                </w:p>
              </w:tc>
            </w:tr>
            <w:tr w:rsidR="006252DC" w:rsidRPr="006252DC">
              <w:trPr>
                <w:tblCellSpacing w:type="dxa" w:w="15"/>
              </w:trPr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  <w:t>*</w:t>
                  </w:r>
                </w:p>
              </w:tc>
              <w:tc>
                <w:tcPr>
                  <w:tcW w:type="auto" w:w="0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  <w:hideMark/>
                </w:tcPr>
                <w:p w:rsidRDefault="006252DC" w:rsidP="006252DC" w:rsidR="006252DC" w:rsidRPr="006252DC">
                  <w:pPr>
                    <w:spacing w:after="0"/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</w:pPr>
                  <w:r w:rsidRPr="006252DC">
                    <w:rPr>
                      <w:rFonts w:cs="Times New Roman" w:eastAsia="Times New Roman"/>
                      <w:i/>
                      <w:color w:val="A6A6A6"/>
                      <w:lang w:eastAsia="hr-HR"/>
                    </w:rPr>
                    <w:t xml:space="preserve">Pripremanje jela, pića i napitaka za potrošnju na drugom mjestu sa ili bez usluživanja (u prijevoznom sredstvu, na priredbama i slično) i opskrba tim jelima, pićima i napitcima (catering) </w:t>
                  </w:r>
                </w:p>
              </w:tc>
            </w:tr>
          </w:tbl>
          <w:p w:rsidRDefault="006252DC" w:rsidP="006252DC" w:rsidR="006252DC" w:rsidRPr="006252DC">
            <w:pPr>
              <w:spacing w:after="0"/>
              <w:rPr>
                <w:rFonts w:cs="Times New Roman" w:eastAsia="Calibri"/>
                <w:lang w:eastAsia="hr-HR"/>
              </w:rPr>
            </w:pPr>
          </w:p>
        </w:tc>
        <w:tc>
          <w:tcPr>
            <w:tcW w:type="auto" w:w="0"/>
            <w:gridSpan w:val="2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</w:tcPr>
          <w:p w:rsidRDefault="006252DC" w:rsidP="006252DC" w:rsidR="006252DC" w:rsidRPr="006252DC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</w:p>
        </w:tc>
      </w:tr>
      <w:tr w:rsidTr="006252DC" w:rsidR="006252DC" w:rsidRPr="006252DC">
        <w:trPr>
          <w:tblCellSpacing w:type="dxa" w:w="15"/>
        </w:trPr>
        <w:tc>
          <w:tcPr>
            <w:tcW w:type="auto" w:w="0"/>
            <w:gridSpan w:val="2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</w:tcPr>
          <w:p w:rsidRDefault="006252DC" w:rsidP="006252DC" w:rsidR="006252DC" w:rsidRPr="006252DC">
            <w:pPr>
              <w:spacing w:after="0"/>
              <w:rPr>
                <w:rFonts w:cs="Times New Roman" w:eastAsia="Calibri"/>
                <w:lang w:eastAsia="en-GB" w:val="en-GB"/>
              </w:rPr>
            </w:pPr>
          </w:p>
        </w:tc>
        <w:tc>
          <w:tcPr>
            <w:tcW w:type="auto" w:w="0"/>
            <w:gridSpan w:val="2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</w:tcPr>
          <w:p w:rsidRDefault="006252DC" w:rsidP="006252DC" w:rsidR="006252DC" w:rsidRPr="006252DC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</w:p>
        </w:tc>
      </w:tr>
      <w:tr w:rsidTr="006252DC" w:rsidR="006252DC" w:rsidRPr="006252DC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</w:tcPr>
          <w:p w:rsidRDefault="006252DC" w:rsidP="006252DC" w:rsidR="006252DC" w:rsidRPr="006252DC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</w:p>
        </w:tc>
        <w:tc>
          <w:tcPr>
            <w:tcW w:type="auto" w:w="0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eastAsia="hr-HR"/>
              </w:rPr>
            </w:pPr>
          </w:p>
        </w:tc>
        <w:tc>
          <w:tcPr>
            <w:tcW w:type="auto" w:w="0"/>
            <w:gridSpan w:val="2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eastAsia="hr-HR"/>
              </w:rPr>
            </w:pPr>
          </w:p>
        </w:tc>
      </w:tr>
      <w:tr w:rsidTr="006252DC" w:rsidR="006252DC" w:rsidRPr="006252DC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</w:tcPr>
          <w:p w:rsidRDefault="006252DC" w:rsidP="006252DC" w:rsidR="006252DC" w:rsidRPr="006252DC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</w:p>
        </w:tc>
        <w:tc>
          <w:tcPr>
            <w:tcW w:type="auto" w:w="0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eastAsia="hr-HR"/>
              </w:rPr>
            </w:pPr>
          </w:p>
        </w:tc>
        <w:tc>
          <w:tcPr>
            <w:tcW w:type="auto" w:w="0"/>
            <w:gridSpan w:val="2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eastAsia="hr-HR"/>
              </w:rPr>
            </w:pPr>
          </w:p>
        </w:tc>
      </w:tr>
      <w:tr w:rsidTr="006252DC" w:rsidR="006252DC" w:rsidRPr="006252DC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</w:tcPr>
          <w:p w:rsidRDefault="006252DC" w:rsidP="006252DC" w:rsidR="006252DC" w:rsidRPr="006252DC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</w:p>
        </w:tc>
        <w:tc>
          <w:tcPr>
            <w:tcW w:type="auto" w:w="0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eastAsia="hr-HR"/>
              </w:rPr>
            </w:pPr>
          </w:p>
        </w:tc>
        <w:tc>
          <w:tcPr>
            <w:tcW w:type="auto" w:w="0"/>
            <w:gridSpan w:val="2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eastAsia="hr-HR"/>
              </w:rPr>
            </w:pPr>
          </w:p>
        </w:tc>
      </w:tr>
      <w:tr w:rsidTr="006252DC" w:rsidR="006252DC" w:rsidRPr="006252DC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</w:tcPr>
          <w:p w:rsidRDefault="006252DC" w:rsidP="006252DC" w:rsidR="006252DC" w:rsidRPr="006252DC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</w:p>
        </w:tc>
        <w:tc>
          <w:tcPr>
            <w:tcW w:type="auto" w:w="0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eastAsia="hr-HR"/>
              </w:rPr>
            </w:pPr>
          </w:p>
        </w:tc>
        <w:tc>
          <w:tcPr>
            <w:tcW w:type="auto" w:w="0"/>
            <w:gridSpan w:val="2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eastAsia="hr-HR"/>
              </w:rPr>
            </w:pPr>
          </w:p>
        </w:tc>
      </w:tr>
      <w:tr w:rsidTr="006252DC" w:rsidR="006252DC" w:rsidRPr="006252DC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</w:tcPr>
          <w:p w:rsidRDefault="006252DC" w:rsidP="006252DC" w:rsidR="006252DC" w:rsidRPr="006252DC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</w:p>
        </w:tc>
        <w:tc>
          <w:tcPr>
            <w:tcW w:type="auto" w:w="0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eastAsia="hr-HR"/>
              </w:rPr>
            </w:pPr>
          </w:p>
        </w:tc>
        <w:tc>
          <w:tcPr>
            <w:tcW w:type="auto" w:w="0"/>
            <w:gridSpan w:val="2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eastAsia="hr-HR"/>
              </w:rPr>
            </w:pPr>
          </w:p>
        </w:tc>
      </w:tr>
      <w:tr w:rsidTr="006252DC" w:rsidR="006252DC" w:rsidRPr="006252DC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</w:tcPr>
          <w:p w:rsidRDefault="006252DC" w:rsidP="006252DC" w:rsidR="006252DC" w:rsidRPr="006252DC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</w:p>
        </w:tc>
        <w:tc>
          <w:tcPr>
            <w:tcW w:type="auto" w:w="0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eastAsia="hr-HR"/>
              </w:rPr>
            </w:pPr>
          </w:p>
        </w:tc>
        <w:tc>
          <w:tcPr>
            <w:tcW w:type="auto" w:w="0"/>
            <w:gridSpan w:val="2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eastAsia="hr-HR"/>
              </w:rPr>
            </w:pPr>
          </w:p>
        </w:tc>
      </w:tr>
      <w:tr w:rsidTr="006252DC" w:rsidR="006252DC" w:rsidRPr="006252DC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</w:tcPr>
          <w:p w:rsidRDefault="006252DC" w:rsidP="006252DC" w:rsidR="006252DC" w:rsidRPr="006252DC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</w:p>
        </w:tc>
        <w:tc>
          <w:tcPr>
            <w:tcW w:type="auto" w:w="0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eastAsia="hr-HR"/>
              </w:rPr>
            </w:pPr>
          </w:p>
        </w:tc>
        <w:tc>
          <w:tcPr>
            <w:tcW w:type="auto" w:w="0"/>
            <w:gridSpan w:val="2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eastAsia="hr-HR"/>
              </w:rPr>
            </w:pPr>
          </w:p>
        </w:tc>
      </w:tr>
      <w:tr w:rsidTr="006252DC" w:rsidR="006252DC" w:rsidRPr="006252DC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</w:tcPr>
          <w:p w:rsidRDefault="006252DC" w:rsidP="006252DC" w:rsidR="006252DC" w:rsidRPr="006252DC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</w:p>
        </w:tc>
        <w:tc>
          <w:tcPr>
            <w:tcW w:type="auto" w:w="0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eastAsia="hr-HR"/>
              </w:rPr>
            </w:pPr>
          </w:p>
        </w:tc>
        <w:tc>
          <w:tcPr>
            <w:tcW w:type="auto" w:w="0"/>
            <w:gridSpan w:val="2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eastAsia="hr-HR"/>
              </w:rPr>
            </w:pPr>
          </w:p>
        </w:tc>
      </w:tr>
      <w:tr w:rsidTr="006252DC" w:rsidR="006252DC" w:rsidRPr="006252DC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</w:tcPr>
          <w:p w:rsidRDefault="006252DC" w:rsidP="006252DC" w:rsidR="006252DC" w:rsidRPr="006252DC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</w:p>
        </w:tc>
        <w:tc>
          <w:tcPr>
            <w:tcW w:type="auto" w:w="0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eastAsia="hr-HR"/>
              </w:rPr>
            </w:pPr>
          </w:p>
        </w:tc>
        <w:tc>
          <w:tcPr>
            <w:tcW w:type="auto" w:w="0"/>
            <w:gridSpan w:val="2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eastAsia="hr-HR"/>
              </w:rPr>
            </w:pPr>
          </w:p>
        </w:tc>
      </w:tr>
      <w:tr w:rsidTr="006252DC" w:rsidR="006252DC" w:rsidRPr="006252DC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</w:tcPr>
          <w:p w:rsidRDefault="006252DC" w:rsidP="006252DC" w:rsidR="006252DC" w:rsidRPr="006252DC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</w:p>
        </w:tc>
        <w:tc>
          <w:tcPr>
            <w:tcW w:type="auto" w:w="0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eastAsia="hr-HR"/>
              </w:rPr>
            </w:pPr>
          </w:p>
        </w:tc>
        <w:tc>
          <w:tcPr>
            <w:tcW w:type="auto" w:w="0"/>
            <w:gridSpan w:val="2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eastAsia="hr-HR"/>
              </w:rPr>
            </w:pPr>
          </w:p>
        </w:tc>
      </w:tr>
      <w:tr w:rsidTr="006252DC" w:rsidR="006252DC" w:rsidRPr="006252DC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</w:tcPr>
          <w:p w:rsidRDefault="006252DC" w:rsidP="006252DC" w:rsidR="006252DC" w:rsidRPr="006252DC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</w:p>
        </w:tc>
        <w:tc>
          <w:tcPr>
            <w:tcW w:type="auto" w:w="0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eastAsia="hr-HR"/>
              </w:rPr>
            </w:pPr>
          </w:p>
        </w:tc>
        <w:tc>
          <w:tcPr>
            <w:tcW w:type="auto" w:w="0"/>
            <w:gridSpan w:val="2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eastAsia="hr-HR"/>
              </w:rPr>
            </w:pPr>
          </w:p>
        </w:tc>
      </w:tr>
      <w:tr w:rsidTr="006252DC" w:rsidR="006252DC" w:rsidRPr="006252DC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</w:tcPr>
          <w:p w:rsidRDefault="006252DC" w:rsidP="006252DC" w:rsidR="006252DC" w:rsidRPr="006252DC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</w:p>
        </w:tc>
        <w:tc>
          <w:tcPr>
            <w:tcW w:type="auto" w:w="0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eastAsia="hr-HR"/>
              </w:rPr>
            </w:pPr>
          </w:p>
        </w:tc>
        <w:tc>
          <w:tcPr>
            <w:tcW w:type="auto" w:w="0"/>
            <w:gridSpan w:val="2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eastAsia="hr-HR"/>
              </w:rPr>
            </w:pPr>
          </w:p>
        </w:tc>
      </w:tr>
      <w:tr w:rsidTr="006252DC" w:rsidR="006252DC" w:rsidRPr="006252DC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</w:tcPr>
          <w:p w:rsidRDefault="006252DC" w:rsidP="006252DC" w:rsidR="006252DC" w:rsidRPr="006252DC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</w:p>
        </w:tc>
        <w:tc>
          <w:tcPr>
            <w:tcW w:type="auto" w:w="0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eastAsia="hr-HR"/>
              </w:rPr>
            </w:pPr>
          </w:p>
        </w:tc>
        <w:tc>
          <w:tcPr>
            <w:tcW w:type="auto" w:w="0"/>
            <w:gridSpan w:val="2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eastAsia="hr-HR"/>
              </w:rPr>
            </w:pPr>
          </w:p>
        </w:tc>
      </w:tr>
      <w:tr w:rsidTr="006252DC" w:rsidR="006252DC" w:rsidRPr="006252DC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</w:tcPr>
          <w:p w:rsidRDefault="006252DC" w:rsidP="006252DC" w:rsidR="006252DC" w:rsidRPr="006252DC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</w:p>
        </w:tc>
        <w:tc>
          <w:tcPr>
            <w:tcW w:type="auto" w:w="0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eastAsia="hr-HR"/>
              </w:rPr>
            </w:pPr>
          </w:p>
        </w:tc>
        <w:tc>
          <w:tcPr>
            <w:tcW w:type="auto" w:w="0"/>
            <w:gridSpan w:val="2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eastAsia="hr-HR"/>
              </w:rPr>
            </w:pPr>
          </w:p>
        </w:tc>
      </w:tr>
      <w:tr w:rsidTr="006252DC" w:rsidR="006252DC" w:rsidRPr="006252DC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</w:tcPr>
          <w:p w:rsidRDefault="006252DC" w:rsidP="006252DC" w:rsidR="006252DC" w:rsidRPr="006252DC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</w:p>
        </w:tc>
        <w:tc>
          <w:tcPr>
            <w:tcW w:type="auto" w:w="0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eastAsia="hr-HR"/>
              </w:rPr>
            </w:pPr>
          </w:p>
        </w:tc>
        <w:tc>
          <w:tcPr>
            <w:tcW w:type="auto" w:w="0"/>
            <w:gridSpan w:val="2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eastAsia="hr-HR"/>
              </w:rPr>
            </w:pPr>
          </w:p>
        </w:tc>
      </w:tr>
      <w:tr w:rsidTr="006252DC" w:rsidR="006252DC" w:rsidRPr="006252DC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</w:tcPr>
          <w:p w:rsidRDefault="006252DC" w:rsidP="006252DC" w:rsidR="006252DC" w:rsidRPr="006252DC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</w:p>
        </w:tc>
        <w:tc>
          <w:tcPr>
            <w:tcW w:type="auto" w:w="0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eastAsia="hr-HR"/>
              </w:rPr>
            </w:pPr>
          </w:p>
        </w:tc>
        <w:tc>
          <w:tcPr>
            <w:tcW w:type="auto" w:w="0"/>
            <w:gridSpan w:val="2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eastAsia="hr-HR"/>
              </w:rPr>
            </w:pPr>
          </w:p>
        </w:tc>
      </w:tr>
      <w:tr w:rsidTr="006252DC" w:rsidR="006252DC" w:rsidRPr="006252DC">
        <w:trPr>
          <w:tblCellSpacing w:type="dxa" w:w="15"/>
        </w:trPr>
        <w:tc>
          <w:tcPr>
            <w:tcW w:type="auto" w:w="0"/>
            <w:gridSpan w:val="2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</w:tcPr>
          <w:p w:rsidRDefault="006252DC" w:rsidP="006252DC" w:rsidR="006252DC" w:rsidRPr="006252DC">
            <w:pPr>
              <w:spacing w:after="0"/>
              <w:rPr>
                <w:rFonts w:cs="Times New Roman" w:eastAsia="Calibri"/>
                <w:lang w:eastAsia="en-GB" w:val="en-GB"/>
              </w:rPr>
            </w:pPr>
          </w:p>
        </w:tc>
        <w:tc>
          <w:tcPr>
            <w:tcW w:type="auto" w:w="0"/>
            <w:gridSpan w:val="2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eastAsia="hr-HR"/>
              </w:rPr>
            </w:pPr>
          </w:p>
        </w:tc>
      </w:tr>
      <w:tr w:rsidTr="006252DC" w:rsidR="006252DC" w:rsidRPr="006252DC">
        <w:trPr>
          <w:tblCellSpacing w:type="dxa" w:w="15"/>
        </w:trPr>
        <w:tc>
          <w:tcPr>
            <w:tcW w:type="auto" w:w="0"/>
            <w:gridSpan w:val="2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</w:tcPr>
          <w:p w:rsidRDefault="006252DC" w:rsidP="006252DC" w:rsidR="006252DC" w:rsidRPr="006252DC">
            <w:pPr>
              <w:spacing w:after="0"/>
              <w:rPr>
                <w:rFonts w:cs="Times New Roman" w:eastAsia="Calibri"/>
                <w:lang w:eastAsia="en-GB" w:val="en-GB"/>
              </w:rPr>
            </w:pPr>
          </w:p>
        </w:tc>
        <w:tc>
          <w:tcPr>
            <w:tcW w:type="auto" w:w="0"/>
            <w:gridSpan w:val="2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eastAsia="hr-HR"/>
              </w:rPr>
            </w:pPr>
          </w:p>
        </w:tc>
      </w:tr>
      <w:tr w:rsidTr="006252DC" w:rsidR="006252DC" w:rsidRPr="006252DC">
        <w:trPr>
          <w:tblCellSpacing w:type="dxa" w:w="15"/>
        </w:trPr>
        <w:tc>
          <w:tcPr>
            <w:tcW w:type="auto" w:w="0"/>
            <w:gridSpan w:val="2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</w:tcPr>
          <w:p w:rsidRDefault="006252DC" w:rsidP="006252DC" w:rsidR="006252DC" w:rsidRPr="006252DC">
            <w:pPr>
              <w:spacing w:after="0"/>
              <w:rPr>
                <w:rFonts w:cs="Times New Roman" w:eastAsia="Calibri"/>
                <w:lang w:eastAsia="en-GB" w:val="en-GB"/>
              </w:rPr>
            </w:pPr>
          </w:p>
        </w:tc>
        <w:tc>
          <w:tcPr>
            <w:tcW w:type="auto" w:w="0"/>
            <w:gridSpan w:val="2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eastAsia="hr-HR"/>
              </w:rPr>
            </w:pPr>
          </w:p>
        </w:tc>
      </w:tr>
      <w:tr w:rsidTr="006252DC" w:rsidR="006252DC" w:rsidRPr="006252DC">
        <w:trPr>
          <w:tblCellSpacing w:type="dxa" w:w="15"/>
        </w:trPr>
        <w:tc>
          <w:tcPr>
            <w:tcW w:type="auto" w:w="0"/>
            <w:gridSpan w:val="2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</w:tcPr>
          <w:p w:rsidRDefault="006252DC" w:rsidP="006252DC" w:rsidR="006252DC" w:rsidRPr="006252DC">
            <w:pPr>
              <w:spacing w:after="0"/>
              <w:rPr>
                <w:rFonts w:cs="Times New Roman" w:eastAsia="Calibri"/>
                <w:lang w:eastAsia="en-GB" w:val="en-GB"/>
              </w:rPr>
            </w:pPr>
          </w:p>
        </w:tc>
        <w:tc>
          <w:tcPr>
            <w:tcW w:type="auto" w:w="0"/>
            <w:gridSpan w:val="2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eastAsia="hr-HR"/>
              </w:rPr>
            </w:pPr>
          </w:p>
        </w:tc>
      </w:tr>
      <w:tr w:rsidTr="006252DC" w:rsidR="006252DC" w:rsidRPr="006252DC">
        <w:trPr>
          <w:tblCellSpacing w:type="dxa" w:w="15"/>
        </w:trPr>
        <w:tc>
          <w:tcPr>
            <w:tcW w:type="auto" w:w="0"/>
            <w:gridSpan w:val="2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</w:tcPr>
          <w:p w:rsidRDefault="006252DC" w:rsidP="006252DC" w:rsidR="006252DC" w:rsidRPr="006252DC">
            <w:pPr>
              <w:spacing w:after="0"/>
              <w:rPr>
                <w:rFonts w:cs="Times New Roman" w:eastAsia="Calibri"/>
                <w:lang w:eastAsia="en-GB" w:val="en-GB"/>
              </w:rPr>
            </w:pPr>
          </w:p>
        </w:tc>
        <w:tc>
          <w:tcPr>
            <w:tcW w:type="auto" w:w="0"/>
            <w:gridSpan w:val="2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eastAsia="hr-HR"/>
              </w:rPr>
            </w:pPr>
          </w:p>
        </w:tc>
      </w:tr>
      <w:tr w:rsidTr="006252DC" w:rsidR="006252DC" w:rsidRPr="006252DC">
        <w:trPr>
          <w:tblCellSpacing w:type="dxa" w:w="15"/>
        </w:trPr>
        <w:tc>
          <w:tcPr>
            <w:tcW w:type="auto" w:w="0"/>
            <w:gridSpan w:val="2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</w:tcPr>
          <w:p w:rsidRDefault="006252DC" w:rsidP="006252DC" w:rsidR="006252DC" w:rsidRPr="006252DC">
            <w:pPr>
              <w:spacing w:after="0"/>
              <w:rPr>
                <w:rFonts w:cs="Times New Roman" w:eastAsia="Calibri"/>
                <w:lang w:eastAsia="en-GB" w:val="en-GB"/>
              </w:rPr>
            </w:pPr>
          </w:p>
        </w:tc>
        <w:tc>
          <w:tcPr>
            <w:tcW w:type="auto" w:w="0"/>
            <w:gridSpan w:val="2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eastAsia="hr-HR"/>
              </w:rPr>
            </w:pPr>
          </w:p>
        </w:tc>
      </w:tr>
      <w:tr w:rsidTr="006252DC" w:rsidR="006252DC" w:rsidRPr="006252DC">
        <w:trPr>
          <w:tblCellSpacing w:type="dxa" w:w="15"/>
        </w:trPr>
        <w:tc>
          <w:tcPr>
            <w:tcW w:type="auto" w:w="0"/>
            <w:gridSpan w:val="2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</w:tcPr>
          <w:p w:rsidRDefault="006252DC" w:rsidP="006252DC" w:rsidR="006252DC" w:rsidRPr="006252DC">
            <w:pPr>
              <w:spacing w:after="0"/>
              <w:rPr>
                <w:rFonts w:cs="Times New Roman" w:eastAsia="Calibri"/>
                <w:lang w:eastAsia="en-GB" w:val="en-GB"/>
              </w:rPr>
            </w:pPr>
          </w:p>
        </w:tc>
        <w:tc>
          <w:tcPr>
            <w:tcW w:type="auto" w:w="0"/>
            <w:gridSpan w:val="2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eastAsia="hr-HR"/>
              </w:rPr>
            </w:pPr>
          </w:p>
        </w:tc>
      </w:tr>
      <w:tr w:rsidTr="006252DC" w:rsidR="006252DC" w:rsidRPr="006252DC">
        <w:trPr>
          <w:tblCellSpacing w:type="dxa" w:w="15"/>
        </w:trPr>
        <w:tc>
          <w:tcPr>
            <w:tcW w:type="auto" w:w="0"/>
            <w:gridSpan w:val="2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</w:tcPr>
          <w:p w:rsidRDefault="006252DC" w:rsidP="006252DC" w:rsidR="006252DC" w:rsidRPr="006252DC">
            <w:pPr>
              <w:spacing w:after="0"/>
              <w:rPr>
                <w:rFonts w:cs="Times New Roman" w:eastAsia="Calibri"/>
                <w:lang w:eastAsia="en-GB" w:val="en-GB"/>
              </w:rPr>
            </w:pPr>
          </w:p>
        </w:tc>
        <w:tc>
          <w:tcPr>
            <w:tcW w:type="auto" w:w="0"/>
            <w:gridSpan w:val="2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eastAsia="hr-HR"/>
              </w:rPr>
            </w:pPr>
          </w:p>
        </w:tc>
      </w:tr>
      <w:tr w:rsidTr="006252DC" w:rsidR="006252DC" w:rsidRPr="006252DC">
        <w:trPr>
          <w:gridAfter w:val="1"/>
          <w:tblCellSpacing w:type="dxa" w:w="15"/>
        </w:trPr>
        <w:tc>
          <w:tcPr>
            <w:tcW w:type="auto" w:w="0"/>
            <w:gridSpan w:val="3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</w:tcPr>
          <w:p w:rsidRDefault="006252DC" w:rsidP="006252DC" w:rsidR="006252DC" w:rsidRPr="006252DC">
            <w:pPr>
              <w:spacing w:after="0"/>
              <w:rPr>
                <w:rFonts w:cs="Times New Roman" w:eastAsia="Calibri"/>
                <w:lang w:eastAsia="en-GB" w:val="en-GB"/>
              </w:rPr>
            </w:pPr>
            <w:bookmarkStart w:name="_GoBack" w:id="20"/>
            <w:bookmarkEnd w:id="20"/>
          </w:p>
        </w:tc>
      </w:tr>
    </w:tbl>
    <w:p w:rsidRDefault="006252DC" w:rsidP="006252DC" w:rsidR="006252DC" w:rsidRPr="006252DC">
      <w:pPr>
        <w:keepNext/>
        <w:numPr>
          <w:ilvl w:val="2"/>
          <w:numId w:val="0"/>
        </w:numPr>
        <w:spacing w:after="60" w:before="240"/>
        <w:ind w:hanging="720" w:left="720"/>
        <w:outlineLvl w:val="2"/>
        <w:rPr>
          <w:rFonts w:cs="Times New Roman" w:eastAsia="Times New Roman"/>
          <w:b/>
          <w:bCs/>
          <w:color w:val="4F81BD"/>
          <w:lang w:eastAsia="hr-HR"/>
        </w:rPr>
      </w:pPr>
      <w:bookmarkStart w:name="_Toc482047545" w:id="21"/>
      <w:bookmarkStart w:name="_Toc477898295" w:id="22"/>
      <w:bookmarkStart w:name="_Toc472012446" w:id="23"/>
      <w:r w:rsidRPr="006252DC">
        <w:rPr>
          <w:rFonts w:cs="Times New Roman" w:eastAsia="Times New Roman"/>
          <w:b/>
          <w:bCs/>
          <w:color w:val="4F81BD"/>
          <w:lang w:eastAsia="hr-HR"/>
        </w:rPr>
        <w:t>Uprava tvrtke</w:t>
      </w:r>
      <w:bookmarkEnd w:id="21"/>
      <w:bookmarkEnd w:id="22"/>
      <w:bookmarkEnd w:id="23"/>
      <w:r w:rsidRPr="006252DC">
        <w:rPr>
          <w:rFonts w:cs="Times New Roman" w:eastAsia="Times New Roman"/>
          <w:b/>
          <w:bCs/>
          <w:color w:val="4F81BD"/>
          <w:lang w:eastAsia="hr-HR"/>
        </w:rPr>
        <w:t xml:space="preserve">  </w:t>
      </w:r>
    </w:p>
    <w:p w:rsidRDefault="006252DC" w:rsidP="006252DC" w:rsidR="006252DC" w:rsidRPr="006252DC">
      <w:pPr>
        <w:spacing w:after="0"/>
        <w:rPr>
          <w:rFonts w:cs="Times New Roman" w:eastAsia="Calibri"/>
          <w:lang w:eastAsia="en-GB" w:val="en-GB"/>
        </w:rPr>
      </w:pPr>
      <w:bookmarkStart w:name="_Toc451235619" w:id="24"/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Times New Roman"/>
          <w:color w:val="FF0000"/>
          <w:lang w:eastAsia="de-DE"/>
        </w:rPr>
      </w:pPr>
      <w:r w:rsidRPr="006252DC">
        <w:rPr>
          <w:rFonts w:cs="Times New Roman" w:eastAsia="Times New Roman"/>
          <w:lang w:eastAsia="de-DE"/>
        </w:rPr>
        <w:t>Osoba ovlaštena za zastupanje je Mate Viduka</w:t>
      </w:r>
      <w:r w:rsidRPr="006252DC">
        <w:rPr>
          <w:rFonts w:cs="Times New Roman" w:eastAsia="Times New Roman"/>
          <w:lang w:val="en-US"/>
        </w:rPr>
        <w:t xml:space="preserve">, član uprave koji </w:t>
      </w:r>
      <w:r w:rsidRPr="006252DC">
        <w:rPr>
          <w:rFonts w:cs="Times New Roman" w:eastAsia="Times New Roman"/>
          <w:lang w:eastAsia="de-DE"/>
        </w:rPr>
        <w:t>zastupa društvo pojedinačno i samostalno</w:t>
      </w:r>
      <w:r w:rsidRPr="006252DC">
        <w:rPr>
          <w:rFonts w:cs="Times New Roman" w:eastAsia="Times New Roman"/>
          <w:color w:val="FF0000"/>
          <w:lang w:val="en-US"/>
        </w:rPr>
        <w:t xml:space="preserve">. </w:t>
      </w:r>
      <w:r w:rsidRPr="006252DC">
        <w:rPr>
          <w:rFonts w:cs="Times New Roman" w:eastAsia="Times New Roman"/>
          <w:lang w:eastAsia="de-DE"/>
        </w:rPr>
        <w:t>Nakon restrukturiranja uprava tvrtke neće se mijenjati.</w:t>
      </w:r>
      <w:r w:rsidRPr="006252DC">
        <w:rPr>
          <w:rFonts w:cs="Times New Roman" w:eastAsia="Times New Roman"/>
          <w:color w:val="FF0000"/>
          <w:lang w:eastAsia="de-DE"/>
        </w:rPr>
        <w:t xml:space="preserve">  </w:t>
      </w:r>
    </w:p>
    <w:p w:rsidRDefault="006252DC" w:rsidP="006252DC" w:rsidR="006252DC" w:rsidRPr="006252DC">
      <w:pPr>
        <w:spacing w:after="0"/>
        <w:rPr>
          <w:rFonts w:cs="Times New Roman" w:eastAsia="Calibri"/>
          <w:lang w:eastAsia="de-DE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lang w:eastAsia="de-DE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lang w:eastAsia="de-DE" w:val="en-GB"/>
        </w:rPr>
      </w:pPr>
    </w:p>
    <w:p w:rsidRDefault="006252DC" w:rsidP="006252DC" w:rsidR="006252DC" w:rsidRPr="006252DC">
      <w:pPr>
        <w:keepNext/>
        <w:numPr>
          <w:ilvl w:val="2"/>
          <w:numId w:val="0"/>
        </w:numPr>
        <w:spacing w:after="60" w:before="240"/>
        <w:ind w:hanging="720" w:left="720"/>
        <w:outlineLvl w:val="2"/>
        <w:rPr>
          <w:rFonts w:cs="Times New Roman" w:eastAsia="Times New Roman"/>
          <w:b/>
          <w:bCs/>
          <w:color w:val="4F81BD"/>
          <w:lang w:eastAsia="hr-HR"/>
        </w:rPr>
      </w:pPr>
      <w:bookmarkStart w:name="_Toc482047546" w:id="25"/>
      <w:bookmarkStart w:name="_Toc477898296" w:id="26"/>
      <w:bookmarkStart w:name="_Toc472012447" w:id="27"/>
      <w:r w:rsidRPr="006252DC">
        <w:rPr>
          <w:rFonts w:cs="Times New Roman" w:eastAsia="Times New Roman"/>
          <w:b/>
          <w:bCs/>
          <w:color w:val="4F81BD"/>
          <w:lang w:eastAsia="hr-HR"/>
        </w:rPr>
        <w:t>Vlasnička struktura</w:t>
      </w:r>
      <w:bookmarkEnd w:id="24"/>
      <w:bookmarkEnd w:id="25"/>
      <w:bookmarkEnd w:id="26"/>
      <w:bookmarkEnd w:id="27"/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bookmarkStart w:name="_Toc451235620" w:id="28"/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proofErr w:type="gramStart"/>
      <w:r w:rsidRPr="006252DC">
        <w:rPr>
          <w:rFonts w:cs="Times New Roman" w:eastAsia="Calibri"/>
          <w:lang w:eastAsia="en-GB" w:val="en-GB"/>
        </w:rPr>
        <w:t>Tvrtka MATEO PRIDRAGA d.o.o. je u 100%-tnom privatnom vlasništvu, a vlasnik je Mate Viduka.</w:t>
      </w:r>
      <w:proofErr w:type="gramEnd"/>
      <w:r w:rsidRPr="006252DC">
        <w:rPr>
          <w:rFonts w:cs="Times New Roman" w:eastAsia="Calibri"/>
          <w:lang w:eastAsia="en-GB" w:val="en-GB"/>
        </w:rPr>
        <w:t xml:space="preserve"> </w:t>
      </w:r>
      <w:proofErr w:type="gramStart"/>
      <w:r w:rsidRPr="006252DC">
        <w:rPr>
          <w:rFonts w:cs="Times New Roman" w:eastAsia="Calibri"/>
          <w:lang w:eastAsia="en-GB" w:val="en-GB"/>
        </w:rPr>
        <w:t>Nakon restrukturiranja vlasnička struktura tvrtke neće se mijenjati.</w:t>
      </w:r>
      <w:proofErr w:type="gramEnd"/>
      <w:r w:rsidRPr="006252DC">
        <w:rPr>
          <w:rFonts w:cs="Times New Roman" w:eastAsia="Calibri"/>
          <w:lang w:eastAsia="en-GB" w:val="en-GB"/>
        </w:rPr>
        <w:t xml:space="preserve"> </w:t>
      </w:r>
      <w:proofErr w:type="gramStart"/>
      <w:r w:rsidRPr="006252DC">
        <w:rPr>
          <w:rFonts w:cs="Times New Roman" w:eastAsia="Calibri"/>
          <w:lang w:eastAsia="en-GB" w:val="en-GB"/>
        </w:rPr>
        <w:t>U nastavku se nalazi grafički prikaz vlasničke strukture prije i nakon mjera restrukturiranja.</w:t>
      </w:r>
      <w:proofErr w:type="gramEnd"/>
      <w:r w:rsidRPr="006252DC">
        <w:rPr>
          <w:rFonts w:cs="Times New Roman" w:eastAsia="Calibri"/>
          <w:lang w:eastAsia="en-GB" w:val="en-GB"/>
        </w:rPr>
        <w:t xml:space="preserve"> </w:t>
      </w:r>
    </w:p>
    <w:p w:rsidRDefault="006252DC" w:rsidP="006252DC" w:rsidR="006252DC" w:rsidRPr="006252DC">
      <w:pPr>
        <w:spacing w:lineRule="auto" w:line="360" w:after="0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jc w:val="center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noProof/>
          <w:lang w:eastAsia="hr-HR"/>
        </w:rPr>
        <w:drawing>
          <wp:inline distR="0" distL="0" distB="0" distT="0">
            <wp:extent cy="2743200" cx="4572000"/>
            <wp:effectExtent b="0" r="0" t="0" l="0"/>
            <wp:docPr name="Chart 2" id="3"/>
            <wp:cNvGraphicFramePr/>
            <a:graphic>
              <a:graphicData uri="http://schemas.openxmlformats.org/drawingml/2006/chart">
                <c:chart r:id="rId36"/>
              </a:graphicData>
            </a:graphic>
          </wp:inline>
        </w:drawing>
      </w:r>
    </w:p>
    <w:p w:rsidRDefault="006252DC" w:rsidP="006252DC" w:rsidR="006252DC" w:rsidRPr="006252DC">
      <w:pPr>
        <w:spacing w:lineRule="auto" w:line="360" w:after="0"/>
        <w:jc w:val="center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lineRule="auto" w:line="360" w:after="120"/>
        <w:contextualSpacing/>
        <w:jc w:val="center"/>
        <w:rPr>
          <w:rFonts w:cs="Times New Roman" w:eastAsia="Times New Roman"/>
          <w:color w:val="FF0000"/>
          <w:lang w:eastAsia="hr-HR"/>
        </w:rPr>
      </w:pPr>
      <w:r w:rsidRPr="006252DC">
        <w:rPr>
          <w:rFonts w:cs="Times New Roman" w:eastAsia="Times New Roman"/>
          <w:i/>
          <w:lang w:eastAsia="hr-HR"/>
        </w:rPr>
        <w:t>Vlasnička struktura prije i nakon mjera restrukturiranja</w:t>
      </w:r>
    </w:p>
    <w:p w:rsidRDefault="006252DC" w:rsidP="006252DC" w:rsidR="006252DC" w:rsidRPr="006252DC">
      <w:pPr>
        <w:spacing w:after="0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color w:val="FF0000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color w:val="FF0000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color w:val="FF0000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color w:val="FF0000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color w:val="FF0000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color w:val="FF0000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b/>
          <w:bCs/>
          <w:color w:val="548DD4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br w:type="page"/>
      </w:r>
    </w:p>
    <w:p w:rsidRDefault="006252DC" w:rsidP="006252DC" w:rsidR="006252DC" w:rsidRPr="006252DC">
      <w:pPr>
        <w:keepNext/>
        <w:numPr>
          <w:ilvl w:val="2"/>
          <w:numId w:val="0"/>
        </w:numPr>
        <w:spacing w:after="60" w:before="240"/>
        <w:ind w:hanging="720" w:left="720"/>
        <w:outlineLvl w:val="2"/>
        <w:rPr>
          <w:rFonts w:cs="Times New Roman" w:eastAsia="Times New Roman"/>
          <w:b/>
          <w:bCs/>
          <w:color w:val="4F81BD"/>
          <w:lang w:eastAsia="hr-HR"/>
        </w:rPr>
      </w:pPr>
      <w:r w:rsidRPr="006252DC">
        <w:rPr>
          <w:rFonts w:cs="Times New Roman" w:eastAsia="Times New Roman"/>
          <w:b/>
          <w:bCs/>
          <w:color w:val="4F81BD"/>
          <w:lang w:eastAsia="hr-HR" w:val="en-GB"/>
        </w:rPr>
        <w:lastRenderedPageBreak/>
        <w:t xml:space="preserve"> </w:t>
      </w:r>
      <w:bookmarkStart w:name="_Toc482047547" w:id="29"/>
      <w:bookmarkStart w:name="_Toc477898297" w:id="30"/>
      <w:bookmarkStart w:name="_Toc472012448" w:id="31"/>
      <w:r w:rsidRPr="006252DC">
        <w:rPr>
          <w:rFonts w:cs="Times New Roman" w:eastAsia="Times New Roman"/>
          <w:b/>
          <w:bCs/>
          <w:color w:val="4F81BD"/>
          <w:lang w:eastAsia="hr-HR"/>
        </w:rPr>
        <w:t>Operativno poslovanje i tržišna situacija</w:t>
      </w:r>
      <w:bookmarkEnd w:id="28"/>
      <w:bookmarkEnd w:id="29"/>
      <w:bookmarkEnd w:id="30"/>
      <w:bookmarkEnd w:id="31"/>
      <w:r w:rsidRPr="006252DC">
        <w:rPr>
          <w:rFonts w:cs="Times New Roman" w:eastAsia="Times New Roman"/>
          <w:b/>
          <w:bCs/>
          <w:color w:val="4F81BD"/>
          <w:lang w:eastAsia="hr-HR"/>
        </w:rPr>
        <w:t xml:space="preserve">     </w:t>
      </w:r>
      <w:r w:rsidRPr="006252DC">
        <w:rPr>
          <w:rFonts w:cs="Times New Roman" w:eastAsia="Times New Roman"/>
          <w:b/>
          <w:bCs/>
          <w:i/>
          <w:color w:val="4F81BD"/>
          <w:lang w:eastAsia="hr-HR"/>
        </w:rPr>
        <w:t xml:space="preserve"> </w:t>
      </w:r>
    </w:p>
    <w:p w:rsidRDefault="006252DC" w:rsidP="006252DC" w:rsidR="006252DC" w:rsidRPr="006252DC">
      <w:pPr>
        <w:widowControl w:val="false"/>
        <w:autoSpaceDE w:val="false"/>
        <w:autoSpaceDN w:val="false"/>
        <w:adjustRightInd w:val="false"/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 xml:space="preserve">Tvrtka MATEO PRIDRAGA d.o.o. bavi se pružanjem građevinarskih usluga, proizvodnjom građevinskog materijala </w:t>
      </w:r>
      <w:proofErr w:type="gramStart"/>
      <w:r w:rsidRPr="006252DC">
        <w:rPr>
          <w:rFonts w:cs="Times New Roman" w:eastAsia="Calibri"/>
          <w:lang w:eastAsia="en-GB" w:val="en-GB"/>
        </w:rPr>
        <w:t>te</w:t>
      </w:r>
      <w:proofErr w:type="gramEnd"/>
      <w:r w:rsidRPr="006252DC">
        <w:rPr>
          <w:rFonts w:cs="Times New Roman" w:eastAsia="Calibri"/>
          <w:lang w:eastAsia="en-GB" w:val="en-GB"/>
        </w:rPr>
        <w:t xml:space="preserve"> uslugama prijevoza.</w:t>
      </w: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proofErr w:type="gramStart"/>
      <w:r w:rsidRPr="006252DC">
        <w:rPr>
          <w:rFonts w:cs="Times New Roman" w:eastAsia="Calibri"/>
          <w:lang w:eastAsia="en-GB" w:val="en-GB"/>
        </w:rPr>
        <w:t>Tvrtka MATEO PRIDRAGA d.o.o. kvalitetna je tvrtka s profesionalnim pristupom poslovnim zadacima.</w:t>
      </w:r>
      <w:proofErr w:type="gramEnd"/>
      <w:r w:rsidRPr="006252DC">
        <w:rPr>
          <w:rFonts w:cs="Times New Roman" w:eastAsia="Calibri"/>
          <w:lang w:eastAsia="en-GB" w:val="en-GB"/>
        </w:rPr>
        <w:t xml:space="preserve"> Posluju </w:t>
      </w:r>
      <w:proofErr w:type="gramStart"/>
      <w:r w:rsidRPr="006252DC">
        <w:rPr>
          <w:rFonts w:cs="Times New Roman" w:eastAsia="Calibri"/>
          <w:lang w:eastAsia="en-GB" w:val="en-GB"/>
        </w:rPr>
        <w:t>na</w:t>
      </w:r>
      <w:proofErr w:type="gramEnd"/>
      <w:r w:rsidRPr="006252DC">
        <w:rPr>
          <w:rFonts w:cs="Times New Roman" w:eastAsia="Calibri"/>
          <w:lang w:eastAsia="en-GB" w:val="en-GB"/>
        </w:rPr>
        <w:t xml:space="preserve"> području cijele Republike Hrvatske. Radno i životno iskustvo vlasnika, odnosno direktora dokaz su kvalitete njegovih proizvoda i usluga te dobre prihvaćenosti na tržištu, no ekonomska kriza utjecala je na ne naplatu potraživanja od glavnog kupca, na nastanak sudskog spora vezanog uz Kamenolom što je dovelo u pitanje dozvolu te potom usporilo proizvodnju i na posljetku utjecalo na smanjenje prodaje, a blokada računa je potpuno onemogućila redovno poslovanje.</w:t>
      </w:r>
    </w:p>
    <w:p w:rsidRDefault="006252DC" w:rsidP="006252DC" w:rsidR="006252DC" w:rsidRPr="006252DC">
      <w:pPr>
        <w:widowControl w:val="false"/>
        <w:autoSpaceDE w:val="false"/>
        <w:autoSpaceDN w:val="false"/>
        <w:adjustRightInd w:val="false"/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widowControl w:val="false"/>
        <w:autoSpaceDE w:val="false"/>
        <w:autoSpaceDN w:val="false"/>
        <w:adjustRightInd w:val="false"/>
        <w:spacing w:lineRule="auto" w:line="360" w:after="0"/>
        <w:jc w:val="both"/>
        <w:rPr>
          <w:rFonts w:cs="Times New Roman" w:eastAsia="Calibri"/>
          <w:lang w:eastAsia="en-GB" w:val="en-GB"/>
        </w:rPr>
      </w:pPr>
      <w:proofErr w:type="gramStart"/>
      <w:r w:rsidRPr="006252DC">
        <w:rPr>
          <w:rFonts w:cs="Times New Roman" w:eastAsia="Calibri"/>
          <w:lang w:eastAsia="en-GB" w:val="en-GB"/>
        </w:rPr>
        <w:t>Tvrtka poslove traži putem javnih natječaja i preporukama poslovnih partnera, aktivno se i samoinicijativno javljaju za sve oglašene i neoglašene radove u građevinarstvu, no u uvjetima nelikvidnosti, insolventnosti i u konačnici s blokadom računa, nemoguće je poslovati i podmirivati dugove.</w:t>
      </w:r>
      <w:proofErr w:type="gramEnd"/>
      <w:r w:rsidRPr="006252DC">
        <w:rPr>
          <w:rFonts w:cs="Times New Roman" w:eastAsia="Calibri"/>
          <w:lang w:eastAsia="en-GB" w:val="en-GB"/>
        </w:rPr>
        <w:t xml:space="preserve"> </w:t>
      </w:r>
      <w:proofErr w:type="gramStart"/>
      <w:r w:rsidRPr="006252DC">
        <w:rPr>
          <w:rFonts w:cs="Times New Roman" w:eastAsia="Calibri"/>
          <w:lang w:eastAsia="en-GB" w:val="en-GB"/>
        </w:rPr>
        <w:t>Svejedno, tvrtka uvijek nastoji ići u korak s vremenom i osluškivati želje i potrebe tržišta.</w:t>
      </w:r>
      <w:proofErr w:type="gramEnd"/>
      <w:r w:rsidRPr="006252DC">
        <w:rPr>
          <w:rFonts w:cs="Times New Roman" w:eastAsia="Calibri"/>
          <w:lang w:eastAsia="en-GB" w:val="en-GB"/>
        </w:rPr>
        <w:t xml:space="preserve"> </w:t>
      </w:r>
      <w:proofErr w:type="gramStart"/>
      <w:r w:rsidRPr="006252DC">
        <w:rPr>
          <w:rFonts w:cs="Times New Roman" w:eastAsia="Calibri"/>
          <w:lang w:eastAsia="en-GB" w:val="en-GB"/>
        </w:rPr>
        <w:t>Poduzimaju sve moguće mjere kako bi povećali promet, vratili dugove i nastavili s redovnim poslovanjem.</w:t>
      </w:r>
      <w:proofErr w:type="gramEnd"/>
      <w:r w:rsidRPr="006252DC">
        <w:rPr>
          <w:rFonts w:cs="Times New Roman" w:eastAsia="Calibri"/>
          <w:lang w:eastAsia="en-GB" w:val="en-GB"/>
        </w:rPr>
        <w:t xml:space="preserve"> </w:t>
      </w: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 xml:space="preserve">  </w:t>
      </w:r>
    </w:p>
    <w:p w:rsidRDefault="006252DC" w:rsidP="006252DC" w:rsidR="006252DC" w:rsidRPr="006252DC">
      <w:pPr>
        <w:widowControl w:val="false"/>
        <w:autoSpaceDE w:val="false"/>
        <w:autoSpaceDN w:val="false"/>
        <w:adjustRightInd w:val="false"/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widowControl w:val="false"/>
        <w:autoSpaceDE w:val="false"/>
        <w:autoSpaceDN w:val="false"/>
        <w:adjustRightInd w:val="false"/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noProof/>
          <w:lang w:eastAsia="hr-HR"/>
        </w:rPr>
        <w:drawing>
          <wp:inline distR="0" distL="0" distB="0" distT="0">
            <wp:extent cy="3543300" cx="6294120"/>
            <wp:effectExtent b="0" r="0" t="0" l="0"/>
            <wp:docPr descr="Slikovni rezultat za Pripremni radovi na gradilištu" name="Picture 7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Slikovni rezultat za Pripremni radovi na gradilištu" name="Picture 7" id="0"/>
                    <pic:cNvPicPr>
                      <a:picLocks noChangeArrowheads="true" noChangeAspect="true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543300" cx="629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6252DC" w:rsidP="006252DC" w:rsidR="006252DC" w:rsidRPr="006252DC">
      <w:pPr>
        <w:spacing w:lineRule="auto" w:line="360" w:after="0"/>
        <w:ind w:right="142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keepNext/>
        <w:numPr>
          <w:ilvl w:val="2"/>
          <w:numId w:val="0"/>
        </w:numPr>
        <w:spacing w:after="60" w:before="240"/>
        <w:ind w:hanging="720" w:left="720"/>
        <w:outlineLvl w:val="2"/>
        <w:rPr>
          <w:rFonts w:cs="Times New Roman" w:eastAsia="Times New Roman"/>
          <w:b/>
          <w:bCs/>
          <w:color w:val="4F81BD"/>
          <w:lang w:eastAsia="hr-HR"/>
        </w:rPr>
      </w:pPr>
      <w:bookmarkStart w:name="_Toc482047548" w:id="32"/>
      <w:bookmarkStart w:name="_Toc477898298" w:id="33"/>
      <w:bookmarkStart w:name="_Toc472012449" w:id="34"/>
      <w:bookmarkStart w:name="_Toc462747743" w:id="35"/>
      <w:r w:rsidRPr="006252DC">
        <w:rPr>
          <w:rFonts w:cs="Times New Roman" w:eastAsia="Times New Roman"/>
          <w:b/>
          <w:bCs/>
          <w:color w:val="4F81BD"/>
          <w:lang w:eastAsia="hr-HR"/>
        </w:rPr>
        <w:t>Analiza zaposlenih</w:t>
      </w:r>
      <w:bookmarkEnd w:id="32"/>
      <w:bookmarkEnd w:id="33"/>
      <w:bookmarkEnd w:id="34"/>
      <w:bookmarkEnd w:id="35"/>
      <w:r w:rsidRPr="006252DC">
        <w:rPr>
          <w:rFonts w:cs="Times New Roman" w:eastAsia="Times New Roman"/>
          <w:b/>
          <w:bCs/>
          <w:color w:val="4F81BD"/>
          <w:lang w:eastAsia="hr-HR"/>
        </w:rPr>
        <w:t xml:space="preserve">  </w:t>
      </w:r>
      <w:r w:rsidRPr="006252DC">
        <w:rPr>
          <w:rFonts w:cs="Times New Roman" w:eastAsia="Times New Roman"/>
          <w:b/>
          <w:bCs/>
          <w:i/>
          <w:color w:val="4F81BD"/>
          <w:lang w:eastAsia="hr-HR"/>
        </w:rPr>
        <w:t xml:space="preserve"> </w:t>
      </w:r>
    </w:p>
    <w:p w:rsidRDefault="006252DC" w:rsidP="006252DC" w:rsidR="006252DC" w:rsidRPr="006252DC">
      <w:pPr>
        <w:spacing w:lineRule="auto" w:line="360" w:after="0"/>
        <w:ind w:right="142"/>
        <w:rPr>
          <w:rFonts w:cs="Times New Roman" w:eastAsia="Calibri"/>
          <w:color w:val="000000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ind w:right="142"/>
        <w:jc w:val="both"/>
        <w:rPr>
          <w:rFonts w:cs="Times New Roman" w:eastAsia="Calibri"/>
          <w:color w:val="000000"/>
          <w:lang w:eastAsia="en-GB" w:val="en-GB"/>
        </w:rPr>
      </w:pPr>
      <w:r w:rsidRPr="006252DC">
        <w:rPr>
          <w:rFonts w:cs="Times New Roman" w:eastAsia="Calibri"/>
          <w:color w:val="000000"/>
          <w:lang w:eastAsia="en-GB" w:val="en-GB"/>
        </w:rPr>
        <w:t xml:space="preserve">Tvrtka prije pokretanja predstečajnog postupka </w:t>
      </w:r>
      <w:proofErr w:type="gramStart"/>
      <w:r w:rsidRPr="006252DC">
        <w:rPr>
          <w:rFonts w:cs="Times New Roman" w:eastAsia="Calibri"/>
          <w:color w:val="000000"/>
          <w:lang w:eastAsia="en-GB" w:val="en-GB"/>
        </w:rPr>
        <w:t>nema</w:t>
      </w:r>
      <w:proofErr w:type="gramEnd"/>
      <w:r w:rsidRPr="006252DC">
        <w:rPr>
          <w:rFonts w:cs="Times New Roman" w:eastAsia="Calibri"/>
          <w:color w:val="000000"/>
          <w:lang w:eastAsia="en-GB" w:val="en-GB"/>
        </w:rPr>
        <w:t xml:space="preserve"> zaposlenih. Nakon restrukturiranja sukladno povećanju poslovanja tvrtka </w:t>
      </w:r>
      <w:proofErr w:type="gramStart"/>
      <w:r w:rsidRPr="006252DC">
        <w:rPr>
          <w:rFonts w:cs="Times New Roman" w:eastAsia="Calibri"/>
          <w:color w:val="000000"/>
          <w:lang w:eastAsia="en-GB" w:val="en-GB"/>
        </w:rPr>
        <w:t>će</w:t>
      </w:r>
      <w:proofErr w:type="gramEnd"/>
      <w:r w:rsidRPr="006252DC">
        <w:rPr>
          <w:rFonts w:cs="Times New Roman" w:eastAsia="Calibri"/>
          <w:color w:val="000000"/>
          <w:lang w:eastAsia="en-GB" w:val="en-GB"/>
        </w:rPr>
        <w:t xml:space="preserve"> povećati broj zaposlenih.</w:t>
      </w:r>
    </w:p>
    <w:p w:rsidRDefault="006252DC" w:rsidP="006252DC" w:rsidR="006252DC" w:rsidRPr="006252DC">
      <w:pPr>
        <w:tabs>
          <w:tab w:pos="1026" w:val="left"/>
        </w:tabs>
        <w:spacing w:lineRule="auto" w:line="360" w:after="0"/>
        <w:jc w:val="both"/>
        <w:rPr>
          <w:rFonts w:cs="Times New Roman" w:eastAsia="Calibri"/>
          <w:color w:val="000000"/>
          <w:lang w:eastAsia="en-GB" w:val="en-GB"/>
        </w:rPr>
      </w:pPr>
    </w:p>
    <w:p w:rsidRDefault="006252DC" w:rsidP="006252DC" w:rsidR="006252DC" w:rsidRPr="006252DC">
      <w:pPr>
        <w:tabs>
          <w:tab w:pos="1026" w:val="left"/>
        </w:tabs>
        <w:spacing w:lineRule="auto" w:line="360" w:after="0"/>
        <w:jc w:val="both"/>
        <w:rPr>
          <w:rFonts w:cs="Times New Roman" w:eastAsia="Calibri"/>
          <w:color w:val="000000"/>
          <w:lang w:eastAsia="en-GB" w:val="en-GB"/>
        </w:rPr>
      </w:pPr>
      <w:r w:rsidRPr="006252DC">
        <w:rPr>
          <w:rFonts w:cs="Times New Roman" w:eastAsia="Calibri"/>
          <w:color w:val="000000"/>
          <w:lang w:eastAsia="en-GB" w:val="en-GB"/>
        </w:rPr>
        <w:t xml:space="preserve">Planirano kretanje broja zaposlenih prikazano je grafičkim prikazom u nastavku, a odnosi se </w:t>
      </w:r>
      <w:proofErr w:type="gramStart"/>
      <w:r w:rsidRPr="006252DC">
        <w:rPr>
          <w:rFonts w:cs="Times New Roman" w:eastAsia="Calibri"/>
          <w:color w:val="000000"/>
          <w:lang w:eastAsia="en-GB" w:val="en-GB"/>
        </w:rPr>
        <w:t>na</w:t>
      </w:r>
      <w:proofErr w:type="gramEnd"/>
      <w:r w:rsidRPr="006252DC">
        <w:rPr>
          <w:rFonts w:cs="Times New Roman" w:eastAsia="Calibri"/>
          <w:color w:val="000000"/>
          <w:lang w:eastAsia="en-GB" w:val="en-GB"/>
        </w:rPr>
        <w:t xml:space="preserve"> period od 2017. </w:t>
      </w:r>
      <w:proofErr w:type="gramStart"/>
      <w:r w:rsidRPr="006252DC">
        <w:rPr>
          <w:rFonts w:cs="Times New Roman" w:eastAsia="Calibri"/>
          <w:color w:val="000000"/>
          <w:lang w:eastAsia="en-GB" w:val="en-GB"/>
        </w:rPr>
        <w:t>g. - 2022.</w:t>
      </w:r>
      <w:proofErr w:type="gramEnd"/>
      <w:r w:rsidRPr="006252DC">
        <w:rPr>
          <w:rFonts w:cs="Times New Roman" w:eastAsia="Calibri"/>
          <w:color w:val="000000"/>
          <w:lang w:eastAsia="en-GB" w:val="en-GB"/>
        </w:rPr>
        <w:t xml:space="preserve"> g. Grafički prikaz prikazuje povećanje broja zaposlenih u odnosu </w:t>
      </w:r>
      <w:proofErr w:type="gramStart"/>
      <w:r w:rsidRPr="006252DC">
        <w:rPr>
          <w:rFonts w:cs="Times New Roman" w:eastAsia="Calibri"/>
          <w:color w:val="000000"/>
          <w:lang w:eastAsia="en-GB" w:val="en-GB"/>
        </w:rPr>
        <w:t>na</w:t>
      </w:r>
      <w:proofErr w:type="gramEnd"/>
      <w:r w:rsidRPr="006252DC">
        <w:rPr>
          <w:rFonts w:cs="Times New Roman" w:eastAsia="Calibri"/>
          <w:color w:val="000000"/>
          <w:lang w:eastAsia="en-GB" w:val="en-GB"/>
        </w:rPr>
        <w:t xml:space="preserve"> prethodne godine (prosječan broj zaposlenih) što je rezultat restrukturiranja tvrtke i povećanja prodaje do kojeg se došlo kroz projekciju budućeg poslovanja tvrtke.</w:t>
      </w:r>
    </w:p>
    <w:p w:rsidRDefault="006252DC" w:rsidP="006252DC" w:rsidR="006252DC" w:rsidRPr="006252DC">
      <w:pPr>
        <w:tabs>
          <w:tab w:pos="1026" w:val="left"/>
        </w:tabs>
        <w:spacing w:after="0"/>
        <w:rPr>
          <w:rFonts w:cs="Times New Roman" w:eastAsia="Calibri"/>
          <w:i/>
          <w:color w:val="000000"/>
          <w:lang w:eastAsia="en-GB" w:val="en-GB"/>
        </w:rPr>
      </w:pPr>
    </w:p>
    <w:p w:rsidRDefault="006252DC" w:rsidP="006252DC" w:rsidR="006252DC" w:rsidRPr="006252DC">
      <w:pPr>
        <w:tabs>
          <w:tab w:pos="1026" w:val="left"/>
        </w:tabs>
        <w:spacing w:after="0"/>
        <w:rPr>
          <w:rFonts w:cs="Times New Roman" w:eastAsia="Calibri"/>
          <w:i/>
          <w:color w:val="000000"/>
          <w:lang w:eastAsia="en-GB" w:val="en-GB"/>
        </w:rPr>
      </w:pPr>
      <w:r w:rsidRPr="006252DC">
        <w:rPr>
          <w:rFonts w:cs="Times New Roman" w:eastAsia="Calibri"/>
          <w:noProof/>
          <w:lang w:eastAsia="hr-HR"/>
        </w:rPr>
        <w:drawing>
          <wp:inline distR="0" distL="0" distB="0" distT="0">
            <wp:extent cy="2773680" cx="5768340"/>
            <wp:effectExtent b="7620" r="3810" t="0" l="0"/>
            <wp:docPr name="Chart 1" id="5"/>
            <wp:cNvGraphicFramePr/>
            <a:graphic>
              <a:graphicData uri="http://schemas.openxmlformats.org/drawingml/2006/chart">
                <c:chart r:id="rId38"/>
              </a:graphicData>
            </a:graphic>
          </wp:inline>
        </w:drawing>
      </w:r>
    </w:p>
    <w:p w:rsidRDefault="006252DC" w:rsidP="006252DC" w:rsidR="006252DC" w:rsidRPr="006252DC">
      <w:pPr>
        <w:tabs>
          <w:tab w:pos="1026" w:val="left"/>
        </w:tabs>
        <w:spacing w:after="0"/>
        <w:jc w:val="center"/>
        <w:rPr>
          <w:rFonts w:cs="Times New Roman" w:eastAsia="Calibri"/>
          <w:i/>
          <w:color w:val="000000"/>
          <w:lang w:eastAsia="en-GB" w:val="en-GB"/>
        </w:rPr>
      </w:pPr>
      <w:r w:rsidRPr="006252DC">
        <w:rPr>
          <w:rFonts w:cs="Times New Roman" w:eastAsia="Calibri"/>
          <w:i/>
          <w:color w:val="000000"/>
          <w:lang w:eastAsia="en-GB" w:val="en-GB"/>
        </w:rPr>
        <w:t xml:space="preserve">Grafički prikaz: Plan kretanja broja </w:t>
      </w:r>
      <w:proofErr w:type="gramStart"/>
      <w:r w:rsidRPr="006252DC">
        <w:rPr>
          <w:rFonts w:cs="Times New Roman" w:eastAsia="Calibri"/>
          <w:i/>
          <w:color w:val="000000"/>
          <w:lang w:eastAsia="en-GB" w:val="en-GB"/>
        </w:rPr>
        <w:t>zaposlenih  po</w:t>
      </w:r>
      <w:proofErr w:type="gramEnd"/>
      <w:r w:rsidRPr="006252DC">
        <w:rPr>
          <w:rFonts w:cs="Times New Roman" w:eastAsia="Calibri"/>
          <w:i/>
          <w:color w:val="000000"/>
          <w:lang w:eastAsia="en-GB" w:val="en-GB"/>
        </w:rPr>
        <w:t xml:space="preserve"> godinama</w:t>
      </w:r>
    </w:p>
    <w:p w:rsidRDefault="006252DC" w:rsidP="006252DC" w:rsidR="006252DC" w:rsidRPr="006252DC">
      <w:pPr>
        <w:spacing w:after="0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br w:type="page"/>
      </w:r>
    </w:p>
    <w:p w:rsidRDefault="006252DC" w:rsidP="006252DC" w:rsidR="006252DC" w:rsidRPr="006252DC">
      <w:pPr>
        <w:keepNext/>
        <w:numPr>
          <w:ilvl w:val="2"/>
          <w:numId w:val="0"/>
        </w:numPr>
        <w:spacing w:after="60" w:before="240"/>
        <w:ind w:hanging="720" w:left="720"/>
        <w:outlineLvl w:val="2"/>
        <w:rPr>
          <w:rFonts w:cs="Times New Roman" w:eastAsia="Times New Roman"/>
          <w:b/>
          <w:bCs/>
          <w:i/>
          <w:color w:val="4F81BD"/>
          <w:lang w:eastAsia="hr-HR"/>
        </w:rPr>
      </w:pPr>
      <w:bookmarkStart w:name="_Toc482047549" w:id="36"/>
      <w:bookmarkStart w:name="_Toc477898299" w:id="37"/>
      <w:bookmarkStart w:name="_Toc472012450" w:id="38"/>
      <w:bookmarkStart w:name="_Toc451235621" w:id="39"/>
      <w:r w:rsidRPr="006252DC">
        <w:rPr>
          <w:rFonts w:cs="Times New Roman" w:eastAsia="Times New Roman"/>
          <w:b/>
          <w:bCs/>
          <w:color w:val="4F81BD"/>
          <w:lang w:eastAsia="hr-HR"/>
        </w:rPr>
        <w:lastRenderedPageBreak/>
        <w:t>Financijsko izvješće na 28.02.2017. godine</w:t>
      </w:r>
      <w:bookmarkEnd w:id="36"/>
      <w:bookmarkEnd w:id="37"/>
      <w:bookmarkEnd w:id="38"/>
      <w:bookmarkEnd w:id="39"/>
      <w:r w:rsidRPr="006252DC">
        <w:rPr>
          <w:rFonts w:cs="Times New Roman" w:eastAsia="Times New Roman"/>
          <w:b/>
          <w:bCs/>
          <w:color w:val="4F81BD"/>
          <w:lang w:eastAsia="hr-HR"/>
        </w:rPr>
        <w:t xml:space="preserve"> </w:t>
      </w:r>
    </w:p>
    <w:p w:rsidRDefault="006252DC" w:rsidP="006252DC" w:rsidR="006252DC" w:rsidRPr="006252DC">
      <w:pPr>
        <w:spacing w:lineRule="auto" w:line="360" w:after="0"/>
        <w:ind w:right="142"/>
        <w:jc w:val="both"/>
        <w:rPr>
          <w:rFonts w:cs="Times New Roman" w:eastAsia="Calibri"/>
          <w:b/>
          <w:i/>
          <w:color w:val="FF6600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ind w:right="142"/>
        <w:jc w:val="both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 xml:space="preserve">Financijski podaci prethodnog razdoblja, pokazuju smanjeni prihod u odnosu </w:t>
      </w:r>
      <w:proofErr w:type="gramStart"/>
      <w:r w:rsidRPr="006252DC">
        <w:rPr>
          <w:rFonts w:cs="Times New Roman" w:eastAsia="Calibri"/>
          <w:lang w:eastAsia="en-GB" w:val="en-GB"/>
        </w:rPr>
        <w:t>na</w:t>
      </w:r>
      <w:proofErr w:type="gramEnd"/>
      <w:r w:rsidRPr="006252DC">
        <w:rPr>
          <w:rFonts w:cs="Times New Roman" w:eastAsia="Calibri"/>
          <w:lang w:eastAsia="en-GB" w:val="en-GB"/>
        </w:rPr>
        <w:t xml:space="preserve"> prošlo razdoblje poslovanja. </w:t>
      </w:r>
      <w:proofErr w:type="gramStart"/>
      <w:r w:rsidRPr="006252DC">
        <w:rPr>
          <w:rFonts w:cs="Times New Roman" w:eastAsia="Calibri"/>
          <w:lang w:eastAsia="en-GB" w:val="en-GB"/>
        </w:rPr>
        <w:t>U 2016.</w:t>
      </w:r>
      <w:proofErr w:type="gramEnd"/>
      <w:r w:rsidRPr="006252DC">
        <w:rPr>
          <w:rFonts w:cs="Times New Roman" w:eastAsia="Calibri"/>
          <w:lang w:eastAsia="en-GB" w:val="en-GB"/>
        </w:rPr>
        <w:t xml:space="preserve"> </w:t>
      </w:r>
      <w:proofErr w:type="gramStart"/>
      <w:r w:rsidRPr="006252DC">
        <w:rPr>
          <w:rFonts w:cs="Times New Roman" w:eastAsia="Calibri"/>
          <w:lang w:eastAsia="en-GB" w:val="en-GB"/>
        </w:rPr>
        <w:t>godini</w:t>
      </w:r>
      <w:proofErr w:type="gramEnd"/>
      <w:r w:rsidRPr="006252DC">
        <w:rPr>
          <w:rFonts w:cs="Times New Roman" w:eastAsia="Calibri"/>
          <w:lang w:eastAsia="en-GB" w:val="en-GB"/>
        </w:rPr>
        <w:t xml:space="preserve"> rashodi su postali veći od prihoda zbog poremećaja na tržištu i ekonomske krize. Poboljšanje situacije očekuje se u drugoj polovici </w:t>
      </w:r>
      <w:proofErr w:type="gramStart"/>
      <w:r w:rsidRPr="006252DC">
        <w:rPr>
          <w:rFonts w:cs="Times New Roman" w:eastAsia="Calibri"/>
          <w:lang w:eastAsia="en-GB" w:val="en-GB"/>
        </w:rPr>
        <w:t>2017.g.,</w:t>
      </w:r>
      <w:proofErr w:type="gramEnd"/>
      <w:r w:rsidRPr="006252DC">
        <w:rPr>
          <w:rFonts w:cs="Times New Roman" w:eastAsia="Calibri"/>
          <w:lang w:eastAsia="en-GB" w:val="en-GB"/>
        </w:rPr>
        <w:t xml:space="preserve"> kao i predugovaranje većih poslova iz kojih društvo planira vratiti obveze koje je preuzelo, no bez deblokade računa i reprograma obaveza kroz predstečajni postupak manje je vjerojatno da će se tvrtka vlastitim snagama vratiti u redovno poslovanje i otplatiti dugove.   </w:t>
      </w: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 xml:space="preserve">S druge strane iz bilance </w:t>
      </w:r>
      <w:proofErr w:type="gramStart"/>
      <w:r w:rsidRPr="006252DC">
        <w:rPr>
          <w:rFonts w:cs="Times New Roman" w:eastAsia="Calibri"/>
          <w:lang w:eastAsia="en-GB" w:val="en-GB"/>
        </w:rPr>
        <w:t>na</w:t>
      </w:r>
      <w:proofErr w:type="gramEnd"/>
      <w:r w:rsidRPr="006252DC">
        <w:rPr>
          <w:rFonts w:cs="Times New Roman" w:eastAsia="Calibri"/>
          <w:lang w:eastAsia="en-GB" w:val="en-GB"/>
        </w:rPr>
        <w:t xml:space="preserve"> dan 28.02.2017.  vidljivo je da je  potraživanje  tvrtke ukupno 585.203  kn, dok su obveze 1.303.649 kn. Istovremeno tvrtka ima dugotrajnu  imovinu u vrijednosti 379.670 kn, što je dobra osnova za nastavak uspješnog poslovanja. </w:t>
      </w:r>
    </w:p>
    <w:p w:rsidRDefault="006252DC" w:rsidP="006252DC" w:rsidR="006252DC" w:rsidRPr="006252DC">
      <w:pPr>
        <w:spacing w:lineRule="auto" w:line="360" w:after="0"/>
        <w:ind w:right="142"/>
        <w:jc w:val="both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ind w:right="142"/>
        <w:jc w:val="both"/>
        <w:rPr>
          <w:rFonts w:cs="Times New Roman" w:eastAsia="Calibri"/>
          <w:lang w:eastAsia="en-GB" w:val="en-GB"/>
        </w:rPr>
      </w:pPr>
      <w:proofErr w:type="gramStart"/>
      <w:r w:rsidRPr="006252DC">
        <w:rPr>
          <w:rFonts w:cs="Times New Roman" w:eastAsia="Calibri"/>
          <w:lang w:eastAsia="en-GB" w:val="en-GB"/>
        </w:rPr>
        <w:t>Rezultati poslovanja dati su u računu dobiti i gubitka (28.02.2017.) u nastavku, dok grafički prikazi pokazuju komparaciju prihoda i rashoda, potraživanja i obaveza.</w:t>
      </w:r>
      <w:proofErr w:type="gramEnd"/>
    </w:p>
    <w:p w:rsidRDefault="006252DC" w:rsidP="006252DC" w:rsidR="006252DC" w:rsidRPr="006252DC">
      <w:pPr>
        <w:spacing w:lineRule="auto" w:line="360" w:after="0"/>
        <w:ind w:right="142"/>
        <w:jc w:val="both"/>
        <w:rPr>
          <w:rFonts w:cs="Times New Roman" w:eastAsia="Calibri"/>
          <w:sz w:val="20"/>
          <w:lang w:eastAsia="en-GB" w:val="en-GB"/>
        </w:rPr>
      </w:pPr>
    </w:p>
    <w:tbl>
      <w:tblPr>
        <w:tblW w:type="dxa" w:w="8980"/>
        <w:jc w:val="center"/>
        <w:tblLook w:val="04A0" w:noVBand="1" w:noHBand="0" w:lastColumn="0" w:firstColumn="1" w:lastRow="0" w:firstRow="1"/>
      </w:tblPr>
      <w:tblGrid>
        <w:gridCol w:w="6340"/>
        <w:gridCol w:w="1320"/>
        <w:gridCol w:w="1320"/>
      </w:tblGrid>
      <w:tr w:rsidTr="006252DC" w:rsidR="006252DC" w:rsidRPr="006252DC">
        <w:trPr>
          <w:trHeight w:val="300"/>
          <w:jc w:val="center"/>
        </w:trPr>
        <w:tc>
          <w:tcPr>
            <w:tcW w:type="dxa" w:w="766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Arial" w:eastAsia="Times New Roman" w:hAnsi="Arial" w:ascii="Arial"/>
                <w:b/>
                <w:bCs/>
                <w:color w:val="000090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b/>
                <w:bCs/>
                <w:color w:val="000090"/>
                <w:lang w:eastAsia="en-GB" w:val="en-GB"/>
              </w:rPr>
              <w:t>RAČUN DOBITI I GUBITKA</w:t>
            </w:r>
          </w:p>
        </w:tc>
        <w:tc>
          <w:tcPr>
            <w:tcW w:type="dxa" w:w="1320"/>
            <w:vMerge w:val="restart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CCCCFF" w:val="pct25"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en-GB" w:val="en-GB"/>
              </w:rPr>
              <w:t>Obrazac</w:t>
            </w:r>
            <w:r w:rsidRPr="006252DC"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en-GB" w:val="en-GB"/>
              </w:rPr>
              <w:br/>
              <w:t>POD-RDG</w:t>
            </w:r>
          </w:p>
        </w:tc>
      </w:tr>
      <w:tr w:rsidTr="006252DC" w:rsidR="006252DC" w:rsidRPr="006252DC">
        <w:trPr>
          <w:trHeight w:val="260"/>
          <w:jc w:val="center"/>
        </w:trPr>
        <w:tc>
          <w:tcPr>
            <w:tcW w:type="dxa" w:w="766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en-GB" w:val="en-GB"/>
              </w:rPr>
            </w:pPr>
            <w:proofErr w:type="gramStart"/>
            <w:r w:rsidRPr="006252DC"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en-GB" w:val="en-GB"/>
              </w:rPr>
              <w:t>za</w:t>
            </w:r>
            <w:proofErr w:type="gramEnd"/>
            <w:r w:rsidRPr="006252DC"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en-GB" w:val="en-GB"/>
              </w:rPr>
              <w:t xml:space="preserve"> razdoblje 01.01.2017. </w:t>
            </w:r>
            <w:proofErr w:type="gramStart"/>
            <w:r w:rsidRPr="006252DC"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en-GB" w:val="en-GB"/>
              </w:rPr>
              <w:t>do</w:t>
            </w:r>
            <w:proofErr w:type="gramEnd"/>
            <w:r w:rsidRPr="006252DC"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en-GB" w:val="en-GB"/>
              </w:rPr>
              <w:t xml:space="preserve"> 28.02.2017.</w:t>
            </w:r>
          </w:p>
        </w:tc>
        <w:tc>
          <w:tcPr>
            <w:tcW w:type="auto" w:w="0"/>
            <w:vMerge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en-GB" w:val="en-GB"/>
              </w:rPr>
            </w:pP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Arial" w:eastAsia="Times New Roman" w:hAnsi="Arial" w:ascii="Arial"/>
                <w:color w:val="000090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9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Arial" w:eastAsia="Times New Roman" w:hAnsi="Arial" w:ascii="Arial"/>
                <w:b/>
                <w:bCs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b/>
                <w:bCs/>
                <w:sz w:val="18"/>
                <w:szCs w:val="18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8980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C0C0C0" w:val="pct12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eastAsia="en-GB" w:val="en-GB"/>
              </w:rPr>
              <w:t>Obveznik: 42228937982; MATEO PRIDRAGA DOO</w:t>
            </w:r>
          </w:p>
        </w:tc>
      </w:tr>
      <w:tr w:rsidTr="006252DC" w:rsidR="006252DC" w:rsidRPr="006252DC">
        <w:trPr>
          <w:trHeight w:val="4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969696" w:color="auto" w:val="clear"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en-GB" w:val="en-GB"/>
              </w:rPr>
              <w:t>Naziv pozicije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969696" w:color="auto" w:val="clear"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en-GB" w:val="en-GB"/>
              </w:rPr>
              <w:t>Prethodna godina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969696" w:color="auto" w:val="clear"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en-GB" w:val="en-GB"/>
              </w:rPr>
              <w:t>Tekuća godina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969696" w:color="auto" w:val="clear"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Arial" w:eastAsia="Times New Roman" w:hAnsi="Arial" w:ascii="Arial"/>
                <w:b/>
                <w:bCs/>
                <w:color w:val="FFFFFF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b/>
                <w:bCs/>
                <w:color w:val="FFFFFF"/>
                <w:sz w:val="18"/>
                <w:szCs w:val="18"/>
                <w:lang w:eastAsia="en-GB" w:val="en-GB"/>
              </w:rPr>
              <w:t>1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969696" w:color="auto" w:val="clear"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Arial" w:eastAsia="Times New Roman" w:hAnsi="Arial" w:ascii="Arial"/>
                <w:b/>
                <w:bCs/>
                <w:color w:val="FFFFFF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b/>
                <w:bCs/>
                <w:color w:val="FFFFFF"/>
                <w:sz w:val="18"/>
                <w:szCs w:val="18"/>
                <w:lang w:eastAsia="en-GB" w:val="en-GB"/>
              </w:rPr>
              <w:t>4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969696" w:color="auto" w:val="clear"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Arial" w:eastAsia="Times New Roman" w:hAnsi="Arial" w:ascii="Arial"/>
                <w:b/>
                <w:bCs/>
                <w:color w:val="FFFFFF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b/>
                <w:bCs/>
                <w:color w:val="FFFFFF"/>
                <w:sz w:val="18"/>
                <w:szCs w:val="18"/>
                <w:lang w:eastAsia="en-GB" w:val="en-GB"/>
              </w:rPr>
              <w:t>5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 xml:space="preserve">I. POSLOVNI PRIHODI </w:t>
            </w:r>
            <w:r w:rsidRPr="006252DC">
              <w:rPr>
                <w:rFonts w:cs="Arial" w:eastAsia="Times New Roman" w:hAnsi="Arial" w:ascii="Arial"/>
                <w:color w:val="333399"/>
                <w:sz w:val="18"/>
                <w:szCs w:val="18"/>
                <w:lang w:eastAsia="en-GB" w:val="en-GB"/>
              </w:rPr>
              <w:t>(AOP 126 do 130)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31.032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429.429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1. Prihodi od prodaje s poduzetnicima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2. Prihodi od prodaje (izvan grupe)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3. Prihodi na temelju upotrebe vlastitih proizvoda, robe i usluga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4. Ostali poslovni prihodi s poduzetnicima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5. Ostali poslovni prihodi (izvan grupe)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31.032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429.429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 xml:space="preserve">II. POSLOVNI RASHODI </w:t>
            </w:r>
            <w:r w:rsidRPr="006252DC">
              <w:rPr>
                <w:rFonts w:cs="Arial" w:eastAsia="Times New Roman" w:hAnsi="Arial" w:ascii="Arial"/>
                <w:color w:val="333399"/>
                <w:sz w:val="18"/>
                <w:szCs w:val="18"/>
                <w:lang w:eastAsia="en-GB" w:val="en-GB"/>
              </w:rPr>
              <w:t>(AOP 132+133+137+141+142+143+146+153)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46.709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9.375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1. Promjene vrijednosti zaliha proizvodnje u tijeku i gotovih proizvoda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2. Materijalni troškovi (AOP 134 do 136)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39.962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9.375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  <w:t xml:space="preserve">        a) Troškovi sirovina i materijala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  <w:t xml:space="preserve">        b) Troškovi prodane robe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  <w:t xml:space="preserve">        c) Ostali vanjski troškovi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39.962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9.375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3. Troškovi osoblja (AOP 138 do 140)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  <w:t xml:space="preserve">        a) Neto plaće i nadnice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  <w:t xml:space="preserve">        b) Troškovi poreza i doprinosa iz plaća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  <w:t xml:space="preserve">        c) Doprinosi na plaće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4. Amortizacija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5. Ostali troškovi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6.747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6. Vrijednosna usklađenja (AOP 144+145)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  <w:t xml:space="preserve">       a) dugotrajne imovine osim financijske imovine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  <w:t xml:space="preserve">       b) kratkotrajne imovine osim financijske imovine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7. Rezerviranja (AOP 147 do 152)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  <w:lastRenderedPageBreak/>
              <w:t xml:space="preserve">       a) Rezerviranja za mirovine, otpremnine i slične obveze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  <w:t xml:space="preserve">       b) Rezerviranja za porezne obveze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  <w:t xml:space="preserve">       c) Rezerviranja za započete sudske sporove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  <w:t xml:space="preserve">       d) Rezerviranja za troškove obnavljanja prirodnih bogatstava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  <w:t xml:space="preserve">       e) Rezerviranja za troškove u jamstvenim rokovima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  <w:t xml:space="preserve">       f) Druga rezerviranja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8. Ostali poslovni rashodi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 xml:space="preserve">III. FINANCIJSKI PRIHODI </w:t>
            </w:r>
            <w:r w:rsidRPr="006252DC">
              <w:rPr>
                <w:rFonts w:cs="Arial" w:eastAsia="Times New Roman" w:hAnsi="Arial" w:ascii="Arial"/>
                <w:color w:val="333399"/>
                <w:sz w:val="18"/>
                <w:szCs w:val="18"/>
                <w:lang w:eastAsia="en-GB" w:val="en-GB"/>
              </w:rPr>
              <w:t>(AOP 155 do 164)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1. Prihodi od ulaganja u udjele (dionice) poduzetnika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2. Prihodi od ulaganja u udjele (dionice) društava povezanih</w:t>
            </w: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br/>
              <w:t xml:space="preserve">         sudjelujućim interesima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3. Prihodi od ostalih dugotrajnih financijskih ulaganja i zajmova</w:t>
            </w: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br/>
              <w:t xml:space="preserve">         poduzetnicima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4. Ostali prihodi s osnove kamata iz odnosa s poduzetnicima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5. Tečajne razlike i ostali financijski prihodi iz odnosa s</w:t>
            </w: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br/>
              <w:t xml:space="preserve">         poduzetnicima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6. Prihodi od ostalih dugotrajnih financijskih ulaganja i zajmova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7. Ostali prihodi s osnove kamata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8. Tečajne razlike i ostali financijski prihodi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9. Nerealizirani dobici (prihodi) od financijske imovine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10. Ostali financijski prihodi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 xml:space="preserve">IV. FINANCIJSKI RASHODI </w:t>
            </w:r>
            <w:r w:rsidRPr="006252DC">
              <w:rPr>
                <w:rFonts w:cs="Arial" w:eastAsia="Times New Roman" w:hAnsi="Arial" w:ascii="Arial"/>
                <w:color w:val="333399"/>
                <w:sz w:val="18"/>
                <w:szCs w:val="18"/>
                <w:lang w:eastAsia="en-GB" w:val="en-GB"/>
              </w:rPr>
              <w:t>(AOP 166 do 172)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1. Rashodi s osnove kamata i slični rashodi s poduzetnicima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ind w:firstLineChars="100" w:firstLine="18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2. Tečajne razlike i drugi rashodi s poduzetnicima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ind w:firstLineChars="100" w:firstLine="18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3. Rashodi s osnove kamata i slični rashodi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ind w:firstLineChars="100" w:firstLine="18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4. Tečajne razlike i drugi rashodi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ind w:firstLineChars="100" w:firstLine="18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5. Nerealizirani gubici (rashodi) od financijske imovine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ind w:firstLineChars="100" w:firstLine="18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6. Vrijednosna usklađenja financijske imovine (neto)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ind w:firstLineChars="100" w:firstLine="18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7. Ostali financijski rashodi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>V.    UDIO U DOBITI OD DRUŠTAVA POVEZANIH SUDJELUJUĆIM</w:t>
            </w:r>
            <w:r w:rsidRPr="006252DC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br/>
              <w:t xml:space="preserve">        INTERESOM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>VI.   UDIO U DOBITI OD  ZAJEDNIČKIH POTHVATA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>VII.  UDIO U GUBITKU OD DRUŠTAVA POVEZANIH SUDJELUJUĆIM</w:t>
            </w:r>
            <w:r w:rsidRPr="006252DC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br/>
              <w:t xml:space="preserve">        INTERESOM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>VIII. UDIO U GUBITKU OD ZAJEDNIČKIH POTHVATA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 xml:space="preserve">IX.   UKUPNI PRIHODI </w:t>
            </w:r>
            <w:r w:rsidRPr="006252DC">
              <w:rPr>
                <w:rFonts w:cs="Arial" w:eastAsia="Times New Roman" w:hAnsi="Arial" w:ascii="Arial"/>
                <w:color w:val="333399"/>
                <w:sz w:val="18"/>
                <w:szCs w:val="18"/>
                <w:lang w:eastAsia="en-GB" w:val="en-GB"/>
              </w:rPr>
              <w:t>(AOP 125+154+173 + 174)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31.032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429.429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 xml:space="preserve">X.    UKUPNI RASHODI </w:t>
            </w:r>
            <w:r w:rsidRPr="006252DC">
              <w:rPr>
                <w:rFonts w:cs="Arial" w:eastAsia="Times New Roman" w:hAnsi="Arial" w:ascii="Arial"/>
                <w:color w:val="333399"/>
                <w:sz w:val="18"/>
                <w:szCs w:val="18"/>
                <w:lang w:eastAsia="en-GB" w:val="en-GB"/>
              </w:rPr>
              <w:t>(AOP 131+165+175 + 176)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46.709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9.375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 xml:space="preserve">XI.   DOBIT ILI GUBITAK PRIJE OPOREZIVANJA </w:t>
            </w:r>
            <w:r w:rsidRPr="006252DC">
              <w:rPr>
                <w:rFonts w:cs="Arial" w:eastAsia="Times New Roman" w:hAnsi="Arial" w:ascii="Arial"/>
                <w:color w:val="333399"/>
                <w:sz w:val="18"/>
                <w:szCs w:val="18"/>
                <w:lang w:eastAsia="en-GB" w:val="en-GB"/>
              </w:rPr>
              <w:t>(AOP 177-178)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-15.677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420.054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ind w:firstLineChars="100" w:firstLine="18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1. Dobit prije oporezivanja (AOP 177-178)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420.054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ind w:firstLineChars="100" w:firstLine="18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2. Gubitak prije oporezivanja (AOP 178-177)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15.677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>XII.  POREZ NA DOBIT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 xml:space="preserve">XIII. DOBIT ILI GUBITAK RAZDOBLJA </w:t>
            </w:r>
            <w:r w:rsidRPr="006252DC">
              <w:rPr>
                <w:rFonts w:cs="Arial" w:eastAsia="Times New Roman" w:hAnsi="Arial" w:ascii="Arial"/>
                <w:color w:val="333399"/>
                <w:sz w:val="18"/>
                <w:szCs w:val="18"/>
                <w:lang w:eastAsia="en-GB" w:val="en-GB"/>
              </w:rPr>
              <w:t>(AOP 179-182)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-15.677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420.054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ind w:firstLineChars="100" w:firstLine="18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1. Dobit razdoblja (AOP 179-182)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420.054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63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ind w:firstLineChars="100" w:firstLine="18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2. Gubitak razdoblja (AOP 182-179)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15.677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</w:tr>
    </w:tbl>
    <w:p w:rsidRDefault="006252DC" w:rsidP="006252DC" w:rsidR="006252DC" w:rsidRPr="006252DC">
      <w:pPr>
        <w:spacing w:lineRule="auto" w:line="360" w:after="0"/>
        <w:ind w:right="142"/>
        <w:jc w:val="both"/>
        <w:rPr>
          <w:rFonts w:cs="Times New Roman" w:eastAsia="Calibri"/>
          <w:sz w:val="20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ind w:right="142"/>
        <w:jc w:val="both"/>
        <w:rPr>
          <w:rFonts w:cs="Times New Roman" w:eastAsia="Calibri"/>
          <w:color w:val="FF0000"/>
          <w:sz w:val="20"/>
          <w:lang w:eastAsia="en-GB" w:val="en-GB"/>
        </w:rPr>
      </w:pPr>
    </w:p>
    <w:p w:rsidRDefault="006252DC" w:rsidP="006252DC" w:rsidR="006252DC" w:rsidRPr="006252DC">
      <w:pPr>
        <w:snapToGrid w:val="false"/>
        <w:spacing w:lineRule="auto" w:line="360" w:after="0"/>
        <w:jc w:val="both"/>
        <w:rPr>
          <w:rFonts w:cs="Times New Roman" w:eastAsia="Times New Roman"/>
          <w:i/>
          <w:sz w:val="20"/>
          <w:lang w:val="fr-FR"/>
        </w:rPr>
      </w:pPr>
    </w:p>
    <w:p w:rsidRDefault="006252DC" w:rsidP="006252DC" w:rsidR="006252DC" w:rsidRPr="006252DC">
      <w:pPr>
        <w:snapToGrid w:val="false"/>
        <w:spacing w:lineRule="auto" w:line="360" w:after="0"/>
        <w:jc w:val="both"/>
        <w:rPr>
          <w:rFonts w:cs="Times New Roman" w:eastAsia="Times New Roman"/>
          <w:sz w:val="20"/>
        </w:rPr>
      </w:pPr>
    </w:p>
    <w:p w:rsidRDefault="006252DC" w:rsidP="006252DC" w:rsidR="006252DC" w:rsidRPr="006252DC">
      <w:pPr>
        <w:snapToGrid w:val="false"/>
        <w:spacing w:lineRule="auto" w:line="360" w:after="0"/>
        <w:jc w:val="both"/>
        <w:rPr>
          <w:rFonts w:cs="Times New Roman" w:eastAsia="Times New Roman"/>
          <w:sz w:val="20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snapToGrid w:val="false"/>
          <w:sz w:val="20"/>
          <w:lang w:val="en-GB"/>
        </w:rPr>
      </w:pPr>
      <w:r w:rsidRPr="006252DC">
        <w:rPr>
          <w:rFonts w:cs="Times New Roman" w:eastAsia="Calibri"/>
          <w:sz w:val="20"/>
          <w:lang w:eastAsia="en-GB" w:val="en-GB"/>
        </w:rPr>
        <w:br w:type="page"/>
      </w:r>
    </w:p>
    <w:p w:rsidRDefault="006252DC" w:rsidP="006252DC" w:rsidR="006252DC" w:rsidRPr="006252DC">
      <w:pPr>
        <w:spacing w:lineRule="auto" w:line="360" w:after="0"/>
        <w:ind w:right="142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lastRenderedPageBreak/>
        <w:t xml:space="preserve">U nastavku slijedi bilanca tvrtke </w:t>
      </w:r>
      <w:proofErr w:type="gramStart"/>
      <w:r w:rsidRPr="006252DC">
        <w:rPr>
          <w:rFonts w:cs="Times New Roman" w:eastAsia="Calibri"/>
          <w:lang w:eastAsia="en-GB" w:val="en-GB"/>
        </w:rPr>
        <w:t>na</w:t>
      </w:r>
      <w:proofErr w:type="gramEnd"/>
      <w:r w:rsidRPr="006252DC">
        <w:rPr>
          <w:rFonts w:cs="Times New Roman" w:eastAsia="Calibri"/>
          <w:lang w:eastAsia="en-GB" w:val="en-GB"/>
        </w:rPr>
        <w:t xml:space="preserve"> dan 28.02.2017.</w:t>
      </w:r>
    </w:p>
    <w:tbl>
      <w:tblPr>
        <w:tblW w:type="dxa" w:w="8320"/>
        <w:tblInd w:type="dxa" w:w="113"/>
        <w:tblLook w:val="04A0" w:noVBand="1" w:noHBand="0" w:lastColumn="0" w:firstColumn="1" w:lastRow="0" w:firstRow="1"/>
      </w:tblPr>
      <w:tblGrid>
        <w:gridCol w:w="5680"/>
        <w:gridCol w:w="1320"/>
        <w:gridCol w:w="1320"/>
      </w:tblGrid>
      <w:tr w:rsidTr="006252DC" w:rsidR="006252DC" w:rsidRPr="006252DC">
        <w:trPr>
          <w:trHeight w:val="320"/>
        </w:trPr>
        <w:tc>
          <w:tcPr>
            <w:tcW w:type="dxa" w:w="700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Arial" w:eastAsia="Times New Roman" w:hAnsi="Arial" w:ascii="Arial"/>
                <w:b/>
                <w:bCs/>
                <w:color w:val="000090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b/>
                <w:bCs/>
                <w:color w:val="000090"/>
                <w:lang w:eastAsia="en-GB" w:val="en-GB"/>
              </w:rPr>
              <w:t>BILANCA</w:t>
            </w:r>
          </w:p>
        </w:tc>
        <w:tc>
          <w:tcPr>
            <w:tcW w:type="dxa" w:w="1320"/>
            <w:vMerge w:val="restart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CCCCFF" w:val="pct25"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en-GB" w:val="en-GB"/>
              </w:rPr>
              <w:t>Obrazac</w:t>
            </w:r>
            <w:r w:rsidRPr="006252DC"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en-GB" w:val="en-GB"/>
              </w:rPr>
              <w:br/>
              <w:t>POD-BIL</w:t>
            </w:r>
          </w:p>
        </w:tc>
      </w:tr>
      <w:tr w:rsidTr="006252DC" w:rsidR="006252DC" w:rsidRPr="006252DC">
        <w:trPr>
          <w:trHeight w:val="260"/>
        </w:trPr>
        <w:tc>
          <w:tcPr>
            <w:tcW w:type="dxa" w:w="700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en-GB" w:val="en-GB"/>
              </w:rPr>
            </w:pPr>
            <w:proofErr w:type="gramStart"/>
            <w:r w:rsidRPr="006252DC"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en-GB" w:val="en-GB"/>
              </w:rPr>
              <w:t>stanje</w:t>
            </w:r>
            <w:proofErr w:type="gramEnd"/>
            <w:r w:rsidRPr="006252DC"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en-GB" w:val="en-GB"/>
              </w:rPr>
              <w:t xml:space="preserve"> na dan 28.02.2017.</w:t>
            </w:r>
          </w:p>
        </w:tc>
        <w:tc>
          <w:tcPr>
            <w:tcW w:type="auto" w:w="0"/>
            <w:vMerge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en-GB" w:val="en-GB"/>
              </w:rPr>
            </w:pP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8320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C0C0C0" w:val="pct25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eastAsia="en-GB" w:val="en-GB"/>
              </w:rPr>
              <w:t>Obveznik: 42228937982; MATEO PRIDRAGA DOO</w:t>
            </w:r>
          </w:p>
        </w:tc>
      </w:tr>
      <w:tr w:rsidTr="006252DC" w:rsidR="006252DC" w:rsidRPr="006252DC">
        <w:trPr>
          <w:trHeight w:val="66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969696" w:color="auto" w:val="clear"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en-GB" w:val="en-GB"/>
              </w:rPr>
              <w:t>Naziv pozicije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969696" w:color="auto" w:val="clear"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en-GB" w:val="en-GB"/>
              </w:rPr>
              <w:t>Prethodna godina</w:t>
            </w:r>
            <w:r w:rsidRPr="006252DC"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en-GB" w:val="en-GB"/>
              </w:rPr>
              <w:br/>
              <w:t>(neto)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969696" w:color="auto" w:val="clear"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en-GB" w:val="en-GB"/>
              </w:rPr>
              <w:t>Tekuća godina</w:t>
            </w:r>
            <w:r w:rsidRPr="006252DC"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en-GB" w:val="en-GB"/>
              </w:rPr>
              <w:br/>
              <w:t>(neto)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8320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0C0C0" w:color="auto" w:val="clear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eastAsia="en-GB" w:val="en-GB"/>
              </w:rPr>
              <w:t>AKTIVA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>A)  POTRAŽIVANJA ZA UPISANI A NEUPLAĆENI KAPITAL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 xml:space="preserve">B)  DUGOTRAJNA IMOVINA </w:t>
            </w:r>
            <w:r w:rsidRPr="006252DC">
              <w:rPr>
                <w:rFonts w:cs="Arial" w:eastAsia="Times New Roman" w:hAnsi="Arial" w:ascii="Arial"/>
                <w:color w:val="333399"/>
                <w:sz w:val="18"/>
                <w:szCs w:val="18"/>
                <w:lang w:eastAsia="en-GB" w:val="en-GB"/>
              </w:rPr>
              <w:t>(AOP 003+010+020+031+036)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379.670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379.670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I. NEMATERIJALNA IMOVINA (AOP 004 do 009)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1. Izdaci za razvoj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48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2. Koncesije, patenti, licencije, robne i uslužne marke, softver</w:t>
            </w: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br/>
              <w:t xml:space="preserve">        i ostala prava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3. Goodwill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4. Predujmovi za nabavu nematerijalne imovine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5. Nematerijalna imovina u pripremi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6. Ostala nematerijalna imovina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II. MATERIJALNA IMOVINA (AOP 011 do 019)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379.670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379.670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1. Zemljište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247.764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247.764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2. Građevinski objekti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126.906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126.906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3. Postrojenja i oprema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4. Alati, pogonski inventar i transportna imovina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5.000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5.000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5. Biološka imovina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6. Predujmovi za materijalnu imovinu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7. Materijalna imovina u pripremi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8. Ostala materijalna imovina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9. Ulaganje u nekretnine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III. DUGOTRAJNA FINANCIJSKA IMOVINA (AOP 021 do 030)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1. Ulaganja u udjele (dionice) poduzetnika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2. Ulaganja u ostale vrijednosne papire poduzetnika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3. Dani zajmovi, depoziti i slično poduzetnicima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48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4.Ulaganja u udjele (dionice) društava povezanih sudjelujućim</w:t>
            </w: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br/>
              <w:t xml:space="preserve">         interesom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48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5. Ulaganja u ostale vrijednosne papire društava povezanih</w:t>
            </w: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br/>
              <w:t xml:space="preserve">         sudjelujućim interesom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48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6. Dani zajmovi, depoziti i slično društvima povezanim</w:t>
            </w: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br/>
              <w:t xml:space="preserve">         sudjelujućim interesom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7. Ulaganja u vrijednosne papire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8. Dani zajmovi, depoziti i slično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9. Ostala ulaganja koja se obračunavaju metodom udjela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10.  Ostala dugotrajna financijska imovina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IV. POTRAŽIVANJA (AOP 032 do 035)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1. Potraživanja od poduzetnika unutar grupe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2. Potraživanja od društava povezanih sudjelujućim interesom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3. Potraživanja od kupaca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4. Ostala potraživanja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V. ODGOĐENA POREZNA IMOVINA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 xml:space="preserve">C)  KRATKOTRAJNA IMOVINA </w:t>
            </w:r>
            <w:r w:rsidRPr="006252DC">
              <w:rPr>
                <w:rFonts w:cs="Arial" w:eastAsia="Times New Roman" w:hAnsi="Arial" w:ascii="Arial"/>
                <w:color w:val="333399"/>
                <w:sz w:val="18"/>
                <w:szCs w:val="18"/>
                <w:lang w:eastAsia="en-GB" w:val="en-GB"/>
              </w:rPr>
              <w:t>(AOP 038+046+053+063)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604.600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586.176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I. ZALIHE (AOP 039 do 045)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1. Sirovine i materijal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2. Proizvodnja u tijeku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3. Gotovi proizvodi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lastRenderedPageBreak/>
              <w:t xml:space="preserve">    4. Trgovačka roba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5. Predujmovi za zalihe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6. Dugotrajna imovina namijenjena prodaji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7. Biološka imovina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II. POTRAŽIVANJA (AOP 047 do 052)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603.627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585.203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1. Potraživanja od poduzetnika unutar grupe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2. Potraživanja od društava povezanih sudjelujućim interesom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3. Potraživanja od kupaca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603.627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585.203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4. Potraživanja od zaposlenika i članova poduzetnika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5. Potraživanja od države i drugih institucija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6. Ostala potraživanja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III. KRATKOTRAJNA FINANCIJSKA IMOVINA (AOP 054 do 062)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1. Ulaganja u udjele (dionice) poduzetnika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2. Ulaganja u ostale vrijednosne papire poduzetnika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3. Dani zajmovi, depoziti i slično poduzetnicima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48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4. Ulaganja u udjele (dionice) društava povezanih</w:t>
            </w: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br/>
              <w:t xml:space="preserve">         sudjelujućim interesom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48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5. Ulaganja u ostale vrijednosne papire društava povezanih</w:t>
            </w: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br/>
              <w:t xml:space="preserve">         sudjelujućim interesom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48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6. Dani zajmovi, depoziti i slično društvima povezanim</w:t>
            </w: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br/>
              <w:t xml:space="preserve">         sudjelujućim interesom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7. Ulaganja u vrijednosne papire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8. Dani zajmovi, depoziti i slično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9. Ostala financijska imovina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IV. NOVAC U BANCI I BLAGAJNI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973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973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>D)  PLAĆENI TROŠKOVI BUDUĆEG RAZDOBLJA I OBRAČUNATI</w:t>
            </w:r>
            <w:r w:rsidRPr="006252DC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br/>
              <w:t xml:space="preserve">      PRIHODI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 xml:space="preserve">E)  UKUPNO AKTIVA </w:t>
            </w:r>
            <w:r w:rsidRPr="006252DC">
              <w:rPr>
                <w:rFonts w:cs="Arial" w:eastAsia="Times New Roman" w:hAnsi="Arial" w:ascii="Arial"/>
                <w:color w:val="333399"/>
                <w:sz w:val="18"/>
                <w:szCs w:val="18"/>
                <w:lang w:eastAsia="en-GB" w:val="en-GB"/>
              </w:rPr>
              <w:t>(AOP 001+002+037+064)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984.270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965.846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>F)  IZVANBILANČNI ZAPISI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8320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0C0C0" w:color="auto" w:val="clear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eastAsia="en-GB" w:val="en-GB"/>
              </w:rPr>
              <w:t>PASIVA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 xml:space="preserve">A)  KAPITAL I REZERVE </w:t>
            </w:r>
            <w:r w:rsidRPr="006252DC">
              <w:rPr>
                <w:rFonts w:cs="Arial" w:eastAsia="Times New Roman" w:hAnsi="Arial" w:ascii="Arial"/>
                <w:color w:val="333399"/>
                <w:sz w:val="18"/>
                <w:szCs w:val="18"/>
                <w:lang w:eastAsia="en-GB" w:val="en-GB"/>
              </w:rPr>
              <w:t>(AOP 068 do 070+076+077+081+084+087)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-757.856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-337.803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I. TEMELJNI (UPISANI) KAPITAL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446.600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446.600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II. KAPITALNE REZERVE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III. REZERVE IZ DOBITI (AOP 071+072-073+074+075)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1. Zakonske rezerve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2. Rezerve za vlastite dionice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3. Vlastite dionice i udjeli (odbitna stavka)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4. Statutarne rezerve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5. Ostale rezerve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IV. REVALORIZACIJSKE REZERVE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V. REZERVE FER VRIJEDNOSTI (AOP 078 do 080)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1. Fer vrijednost financijske imovine raspoložive za prodaju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2. Učinkoviti dio zaštite novčanih tokova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3. Učinkoviti dio zaštite neto ulaganja u inozemstvu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VI. ZADRŽANA DOBIT ILI PRENESENI GUBITAK (AOP 082-083)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-1.188.779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-1.204.457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1. Zadržana dobit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311.376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2. Preneseni gubitak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1.500.155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1.204.457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VII. DOBIT ILI GUBITAK POSLOVNE GODINE (AOP 085-086)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-15.677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420.054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1. Dobit poslovne godine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420.054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2. Gubitak poslovne godine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15.677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VIII. MANJINSKI (NEKONTROLIRAJUĆI) INTERES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 xml:space="preserve">B)  REZERVIRANJA </w:t>
            </w:r>
            <w:r w:rsidRPr="006252DC">
              <w:rPr>
                <w:rFonts w:cs="Arial" w:eastAsia="Times New Roman" w:hAnsi="Arial" w:ascii="Arial"/>
                <w:color w:val="333399"/>
                <w:sz w:val="18"/>
                <w:szCs w:val="18"/>
                <w:lang w:eastAsia="en-GB" w:val="en-GB"/>
              </w:rPr>
              <w:t>(AOP 089 do 094)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1. Rezerviranja za mirovine, otpremnine i slične obveze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2. Rezerviranja za porezne obveze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lastRenderedPageBreak/>
              <w:t xml:space="preserve">     3. Rezerviranja za započete sudske sporove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4. Rezerviranja za troškove obnavljanja prirodnih bogatstava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5. Rezerviranja za troškove u jamstvenim rokovima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6. Druga rezerviranja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 xml:space="preserve">C)  DUGOROČNE OBVEZE </w:t>
            </w:r>
            <w:r w:rsidRPr="006252DC">
              <w:rPr>
                <w:rFonts w:cs="Arial" w:eastAsia="Times New Roman" w:hAnsi="Arial" w:ascii="Arial"/>
                <w:color w:val="333399"/>
                <w:sz w:val="18"/>
                <w:szCs w:val="18"/>
                <w:lang w:eastAsia="en-GB" w:val="en-GB"/>
              </w:rPr>
              <w:t>(AOP 096 do 106)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1. Obveze prema poduzetnicima unutar grupe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2. Obveze za zajmove, depozite i slično poduzetnika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3. Obveze prema društvima povezanim sudjelujućim interesom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48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4. Obveze za zajmove, depozite i slično društava povezanih</w:t>
            </w: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br/>
              <w:t xml:space="preserve">         sudjelujućim interesom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5. Obveze za zajmove, depozite i slično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6. Obveze prema bankama i drugim financijskim institucijama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7. Obveze za predujmove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8. Obveze prema dobavljačima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9. Obveze po vrijednosnim papirima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10. Ostale dugoročne obveze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11. Odgođena porezna obveza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 xml:space="preserve">D)  KRATKOROČNE OBVEZE </w:t>
            </w:r>
            <w:r w:rsidRPr="006252DC">
              <w:rPr>
                <w:rFonts w:cs="Arial" w:eastAsia="Times New Roman" w:hAnsi="Arial" w:ascii="Arial"/>
                <w:color w:val="333399"/>
                <w:sz w:val="18"/>
                <w:szCs w:val="18"/>
                <w:lang w:eastAsia="en-GB" w:val="en-GB"/>
              </w:rPr>
              <w:t>(AOP 108 do 121)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1.742.126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1.303.649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1. Obveze prema poduzetnicima unutar grupe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2. Obveze za zajmove, depozite i slično poduzetnika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3. Obveze prema društvima povezanim sudjelujućim interesom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48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4. Obveze za zajmove, depozite i slično društava povezanih</w:t>
            </w: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br/>
              <w:t xml:space="preserve">         sudjelujućim interesom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5. Obveze za zajmove, depozite i slično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40.000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40.000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6. Obveze prema bankama i drugim financijskim institucijama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7. Obveze za predujmove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8. Obveze prema dobavljačima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94.241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116.730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9. Obveze po vrijednosnim papirima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10. Obveze prema zaposlenicima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444.991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11. Obveze  za poreze, doprinose i sličana davanja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1.162.894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1.146.919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12. Obveze s osnove udjela u rezultatu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13. Obveze po osnovi dugotrajne imovine namijenjene prodaji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14. Ostale kratkoročne obveze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>E) ODGOĐENO PLAĆANJE TROŠKOVA I PRIHOD BUDUĆEGA</w:t>
            </w:r>
            <w:r w:rsidRPr="006252DC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br/>
              <w:t xml:space="preserve">     RAZDOBLJA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 xml:space="preserve">F) UKUPNO – PASIVA </w:t>
            </w:r>
            <w:r w:rsidRPr="006252DC">
              <w:rPr>
                <w:rFonts w:cs="Arial" w:eastAsia="Times New Roman" w:hAnsi="Arial" w:ascii="Arial"/>
                <w:color w:val="333399"/>
                <w:sz w:val="18"/>
                <w:szCs w:val="18"/>
                <w:lang w:eastAsia="en-GB" w:val="en-GB"/>
              </w:rPr>
              <w:t>(AOP 067+088+095+107+122)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984.270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965.846</w:t>
            </w:r>
          </w:p>
        </w:tc>
      </w:tr>
      <w:tr w:rsidTr="006252DC" w:rsidR="006252DC" w:rsidRPr="006252DC">
        <w:trPr>
          <w:trHeight w:val="240"/>
        </w:trPr>
        <w:tc>
          <w:tcPr>
            <w:tcW w:type="dxa" w:w="56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>G)  IZVANBILANČNI ZAPISI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0</w:t>
            </w:r>
          </w:p>
        </w:tc>
      </w:tr>
    </w:tbl>
    <w:p w:rsidRDefault="006252DC" w:rsidP="006252DC" w:rsidR="006252DC" w:rsidRPr="006252DC">
      <w:pPr>
        <w:spacing w:after="0"/>
        <w:rPr>
          <w:rFonts w:cs="Times New Roman" w:eastAsia="Calibri"/>
          <w:sz w:val="20"/>
          <w:lang w:eastAsia="en-GB" w:val="en-GB"/>
        </w:rPr>
      </w:pPr>
      <w:r w:rsidRPr="006252DC">
        <w:rPr>
          <w:rFonts w:cs="Times New Roman" w:eastAsia="Calibri"/>
          <w:sz w:val="20"/>
          <w:lang w:eastAsia="en-GB" w:val="en-GB"/>
        </w:rPr>
        <w:br w:type="page"/>
      </w:r>
    </w:p>
    <w:p w:rsidRDefault="006252DC" w:rsidP="006252DC" w:rsidR="006252DC" w:rsidRPr="006252DC">
      <w:pPr>
        <w:keepNext/>
        <w:numPr>
          <w:ilvl w:val="2"/>
          <w:numId w:val="0"/>
        </w:numPr>
        <w:spacing w:after="60" w:before="240"/>
        <w:ind w:hanging="720" w:left="720"/>
        <w:outlineLvl w:val="2"/>
        <w:rPr>
          <w:rFonts w:cs="Times New Roman" w:eastAsia="Times New Roman"/>
          <w:b/>
          <w:bCs/>
          <w:color w:val="4F81BD"/>
          <w:lang w:eastAsia="hr-HR" w:val="en-US"/>
        </w:rPr>
      </w:pPr>
      <w:bookmarkStart w:name="_Toc451235622" w:id="40"/>
      <w:bookmarkStart w:name="_Toc482047550" w:id="41"/>
      <w:bookmarkStart w:name="_Toc477898300" w:id="42"/>
      <w:bookmarkStart w:name="_Toc472012451" w:id="43"/>
      <w:bookmarkStart w:name="_Toc292093911" w:id="44"/>
      <w:bookmarkStart w:name="_Toc283111385" w:id="45"/>
      <w:r w:rsidRPr="006252DC">
        <w:rPr>
          <w:rFonts w:cs="Times New Roman" w:eastAsia="Times New Roman"/>
          <w:b/>
          <w:bCs/>
          <w:color w:val="4F81BD"/>
          <w:lang w:eastAsia="hr-HR"/>
        </w:rPr>
        <w:lastRenderedPageBreak/>
        <w:t xml:space="preserve">Opis činjenica i okolnosti iz kojih proizlazi postojanje </w:t>
      </w:r>
      <w:bookmarkEnd w:id="40"/>
      <w:r w:rsidRPr="006252DC">
        <w:rPr>
          <w:rFonts w:cs="Times New Roman" w:eastAsia="Times New Roman"/>
          <w:b/>
          <w:bCs/>
          <w:color w:val="4F81BD"/>
          <w:lang w:eastAsia="hr-HR" w:val="en-US"/>
        </w:rPr>
        <w:t>prijeteće nesposobnosti za plaćanje</w:t>
      </w:r>
      <w:bookmarkEnd w:id="41"/>
      <w:bookmarkEnd w:id="42"/>
      <w:bookmarkEnd w:id="43"/>
      <w:r w:rsidRPr="006252DC">
        <w:rPr>
          <w:rFonts w:cs="Times New Roman" w:eastAsia="Times New Roman"/>
          <w:b/>
          <w:bCs/>
          <w:color w:val="4F81BD"/>
          <w:lang w:eastAsia="hr-HR" w:val="en-US"/>
        </w:rPr>
        <w:t xml:space="preserve"> </w:t>
      </w:r>
    </w:p>
    <w:p w:rsidRDefault="006252DC" w:rsidP="006252DC" w:rsidR="006252DC" w:rsidRPr="006252DC">
      <w:pPr>
        <w:spacing w:after="0"/>
        <w:rPr>
          <w:rFonts w:cs="Times New Roman" w:eastAsia="Calibri"/>
          <w:lang w:eastAsia="en-GB" w:val="en-US"/>
        </w:rPr>
      </w:pP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proofErr w:type="gramStart"/>
      <w:r w:rsidRPr="006252DC">
        <w:rPr>
          <w:rFonts w:cs="Times New Roman" w:eastAsia="Calibri"/>
          <w:lang w:eastAsia="en-GB" w:val="en-GB"/>
        </w:rPr>
        <w:t>Sukladno čl.</w:t>
      </w:r>
      <w:proofErr w:type="gramEnd"/>
      <w:r w:rsidRPr="006252DC">
        <w:rPr>
          <w:rFonts w:cs="Times New Roman" w:eastAsia="Calibri"/>
          <w:lang w:eastAsia="en-GB" w:val="en-GB"/>
        </w:rPr>
        <w:t xml:space="preserve"> 4. Stečajnog Zakona,  u uvjetima nastupa nelikvidnosti koje se ogleda u nemogućnosti da MATEO PRIDRAGA d.o.o. poduzetim mjerama financijskog restrukturiranja izvan predstečajnog </w:t>
      </w:r>
      <w:r w:rsidRPr="006252DC">
        <w:rPr>
          <w:rFonts w:cs="Times New Roman" w:eastAsia="Calibri"/>
          <w:color w:val="000000"/>
          <w:lang w:eastAsia="en-GB" w:val="en-GB"/>
        </w:rPr>
        <w:t xml:space="preserve">postupka sam uspostavi stanje likvidnosti, tvrtka </w:t>
      </w:r>
      <w:r w:rsidRPr="006252DC">
        <w:rPr>
          <w:rFonts w:cs="Times New Roman" w:eastAsia="Calibri"/>
          <w:lang w:eastAsia="en-GB" w:val="en-GB"/>
        </w:rPr>
        <w:t xml:space="preserve">MATEO PRIDRAGA d.o.o. pokreće predstečajni postupak. Prijeteća nesposobnost za plaćanje evidentna je, </w:t>
      </w:r>
      <w:proofErr w:type="gramStart"/>
      <w:r w:rsidRPr="006252DC">
        <w:rPr>
          <w:rFonts w:cs="Times New Roman" w:eastAsia="Calibri"/>
          <w:lang w:eastAsia="en-GB" w:val="en-GB"/>
        </w:rPr>
        <w:t>a</w:t>
      </w:r>
      <w:proofErr w:type="gramEnd"/>
      <w:r w:rsidRPr="006252DC">
        <w:rPr>
          <w:rFonts w:cs="Times New Roman" w:eastAsia="Calibri"/>
          <w:lang w:eastAsia="en-GB" w:val="en-GB"/>
        </w:rPr>
        <w:t xml:space="preserve"> ogleda se u činjenici da: </w:t>
      </w: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numPr>
          <w:ilvl w:val="0"/>
          <w:numId w:val="47"/>
        </w:numPr>
        <w:spacing w:lineRule="auto" w:line="360" w:after="0"/>
        <w:contextualSpacing/>
        <w:jc w:val="both"/>
        <w:rPr>
          <w:rFonts w:cs="Times New Roman" w:eastAsia="Times New Roman"/>
          <w:lang w:val="en-US"/>
        </w:rPr>
      </w:pPr>
      <w:r w:rsidRPr="006252DC">
        <w:rPr>
          <w:rFonts w:cs="Times New Roman" w:eastAsia="Times New Roman"/>
          <w:lang w:val="en-US"/>
        </w:rPr>
        <w:t xml:space="preserve">Dužnik u Očevidniku redoslijeda osnova za plaćanje koji vodi Financijska agencija ima evidentirane neizvršene osnove za plaćanje, odnosno da je na dan predaje Prijedloga za </w:t>
      </w:r>
      <w:r w:rsidRPr="006252DC">
        <w:rPr>
          <w:rFonts w:cs="Times New Roman" w:eastAsia="Times New Roman"/>
          <w:color w:val="000000"/>
          <w:lang w:val="en-US"/>
        </w:rPr>
        <w:t>pokretanje predstečajnog postupka do</w:t>
      </w:r>
      <w:r w:rsidRPr="006252DC">
        <w:rPr>
          <w:rFonts w:cs="Times New Roman" w:eastAsia="Times New Roman"/>
          <w:lang w:val="en-US"/>
        </w:rPr>
        <w:t xml:space="preserve"> 60 dana u blokadi što je dokazao potvrdom sa Fine o danima blokade i Očevidnikom o redosljedu plaćanja, priloženim Prijedlogu za pokretanje predstečajnog postupka. </w:t>
      </w:r>
    </w:p>
    <w:p w:rsidRDefault="006252DC" w:rsidP="006252DC" w:rsidR="006252DC" w:rsidRPr="006252DC">
      <w:pPr>
        <w:spacing w:lineRule="auto" w:line="360" w:after="0"/>
        <w:ind w:left="720"/>
        <w:contextualSpacing/>
        <w:jc w:val="both"/>
        <w:rPr>
          <w:rFonts w:cs="Times New Roman" w:eastAsia="Times New Roman"/>
          <w:color w:val="000000"/>
          <w:lang w:val="en-US"/>
        </w:rPr>
      </w:pPr>
    </w:p>
    <w:p w:rsidRDefault="006252DC" w:rsidP="006252DC" w:rsidR="006252DC" w:rsidRPr="006252DC">
      <w:pPr>
        <w:spacing w:after="0"/>
        <w:jc w:val="both"/>
        <w:rPr>
          <w:rFonts w:cs="Times New Roman" w:eastAsia="Times New Roman"/>
          <w:color w:val="000000"/>
          <w:lang w:eastAsia="en-GB" w:val="en-GB"/>
        </w:rPr>
      </w:pPr>
      <w:r w:rsidRPr="006252DC">
        <w:rPr>
          <w:rFonts w:cs="Times New Roman" w:eastAsia="Calibri"/>
          <w:lang w:val="en-US"/>
        </w:rPr>
        <w:t xml:space="preserve">Također dužnik </w:t>
      </w:r>
      <w:proofErr w:type="gramStart"/>
      <w:r w:rsidRPr="006252DC">
        <w:rPr>
          <w:rFonts w:cs="Times New Roman" w:eastAsia="Calibri"/>
          <w:lang w:val="en-US"/>
        </w:rPr>
        <w:t>na</w:t>
      </w:r>
      <w:proofErr w:type="gramEnd"/>
      <w:r w:rsidRPr="006252DC">
        <w:rPr>
          <w:rFonts w:cs="Times New Roman" w:eastAsia="Calibri"/>
          <w:lang w:val="en-US"/>
        </w:rPr>
        <w:t xml:space="preserve"> dan 28.02.2017. </w:t>
      </w:r>
      <w:proofErr w:type="gramStart"/>
      <w:r w:rsidRPr="006252DC">
        <w:rPr>
          <w:rFonts w:cs="Times New Roman" w:eastAsia="Calibri"/>
          <w:lang w:val="en-US"/>
        </w:rPr>
        <w:t xml:space="preserve">ima </w:t>
      </w:r>
      <w:r w:rsidRPr="006252DC">
        <w:rPr>
          <w:rFonts w:cs="Times New Roman" w:eastAsia="Calibri"/>
          <w:color w:val="000000"/>
          <w:lang w:eastAsia="en-GB" w:val="en-US"/>
        </w:rPr>
        <w:t xml:space="preserve"> </w:t>
      </w:r>
      <w:r w:rsidRPr="006252DC">
        <w:rPr>
          <w:rFonts w:cs="Times New Roman" w:eastAsia="Times New Roman"/>
          <w:color w:val="000000"/>
          <w:lang w:eastAsia="en-GB" w:val="en-GB"/>
        </w:rPr>
        <w:t>4.589.420,45</w:t>
      </w:r>
      <w:proofErr w:type="gramEnd"/>
      <w:r w:rsidRPr="006252DC">
        <w:rPr>
          <w:rFonts w:cs="Times New Roman" w:eastAsia="Times New Roman"/>
          <w:color w:val="000000"/>
          <w:lang w:eastAsia="en-GB" w:val="en-GB"/>
        </w:rPr>
        <w:t xml:space="preserve"> </w:t>
      </w:r>
      <w:r w:rsidRPr="006252DC">
        <w:rPr>
          <w:rFonts w:cs="Times New Roman" w:eastAsia="Calibri"/>
          <w:lang w:val="en-US"/>
        </w:rPr>
        <w:t>kn obveza.</w:t>
      </w: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bCs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bCs/>
          <w:lang w:eastAsia="en-GB" w:val="en-GB"/>
        </w:rPr>
      </w:pPr>
      <w:r w:rsidRPr="006252DC">
        <w:rPr>
          <w:rFonts w:cs="Times New Roman" w:eastAsia="Calibri"/>
          <w:bCs/>
          <w:lang w:eastAsia="en-GB" w:val="en-GB"/>
        </w:rPr>
        <w:t xml:space="preserve">Bez provedba mjera financijskog i operativnog restrukturiranja, tvrtka neće biti u mogućnosti podmirivati obaveze u skladu </w:t>
      </w:r>
      <w:proofErr w:type="gramStart"/>
      <w:r w:rsidRPr="006252DC">
        <w:rPr>
          <w:rFonts w:cs="Times New Roman" w:eastAsia="Calibri"/>
          <w:bCs/>
          <w:lang w:eastAsia="en-GB" w:val="en-GB"/>
        </w:rPr>
        <w:t>sa</w:t>
      </w:r>
      <w:proofErr w:type="gramEnd"/>
      <w:r w:rsidRPr="006252DC">
        <w:rPr>
          <w:rFonts w:cs="Times New Roman" w:eastAsia="Calibri"/>
          <w:bCs/>
          <w:lang w:eastAsia="en-GB" w:val="en-GB"/>
        </w:rPr>
        <w:t xml:space="preserve"> zakonskim rokovima. </w:t>
      </w:r>
    </w:p>
    <w:p w:rsidRDefault="006252DC" w:rsidP="006252DC" w:rsidR="006252DC" w:rsidRPr="006252DC">
      <w:pPr>
        <w:spacing w:lineRule="auto" w:line="360" w:after="0"/>
        <w:rPr>
          <w:rFonts w:cs="Times New Roman" w:eastAsia="Calibri"/>
          <w:color w:val="323235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rPr>
          <w:rFonts w:cs="Times New Roman" w:eastAsia="Calibri"/>
          <w:color w:val="323235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b/>
          <w:bCs/>
          <w:iCs/>
          <w:color w:val="4F81BD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br w:type="page"/>
      </w:r>
    </w:p>
    <w:p w:rsidRDefault="006252DC" w:rsidP="006252DC" w:rsidR="006252DC" w:rsidRPr="006252DC">
      <w:pPr>
        <w:keepNext/>
        <w:numPr>
          <w:ilvl w:val="2"/>
          <w:numId w:val="0"/>
        </w:numPr>
        <w:spacing w:after="60" w:before="240"/>
        <w:ind w:hanging="720" w:left="720"/>
        <w:outlineLvl w:val="2"/>
        <w:rPr>
          <w:rFonts w:cs="Times New Roman" w:eastAsia="Times New Roman"/>
          <w:b/>
          <w:bCs/>
          <w:color w:val="4F81BD"/>
          <w:lang w:eastAsia="hr-HR"/>
        </w:rPr>
      </w:pPr>
      <w:bookmarkStart w:name="_Toc482047551" w:id="46"/>
      <w:bookmarkStart w:name="_Toc477898301" w:id="47"/>
      <w:bookmarkStart w:name="_Toc472012452" w:id="48"/>
      <w:r w:rsidRPr="006252DC">
        <w:rPr>
          <w:rFonts w:cs="Times New Roman" w:eastAsia="Times New Roman"/>
          <w:b/>
          <w:bCs/>
          <w:color w:val="4F81BD"/>
          <w:lang w:eastAsia="hr-HR"/>
        </w:rPr>
        <w:lastRenderedPageBreak/>
        <w:t>Opis činjenica i okolnosti iz kojih proizlazi postojanje uvjeta za otvaranje predstečajnog postupka</w:t>
      </w:r>
      <w:bookmarkEnd w:id="46"/>
      <w:bookmarkEnd w:id="47"/>
      <w:bookmarkEnd w:id="48"/>
      <w:r w:rsidRPr="006252DC">
        <w:rPr>
          <w:rFonts w:cs="Times New Roman" w:eastAsia="Times New Roman"/>
          <w:b/>
          <w:bCs/>
          <w:color w:val="4F81BD"/>
          <w:lang w:eastAsia="hr-HR"/>
        </w:rPr>
        <w:t xml:space="preserve"> </w:t>
      </w: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US"/>
        </w:rPr>
      </w:pPr>
      <w:r w:rsidRPr="006252DC">
        <w:rPr>
          <w:rFonts w:cs="Times New Roman" w:eastAsia="Calibri"/>
          <w:lang w:eastAsia="en-GB" w:val="en-GB"/>
        </w:rPr>
        <w:t xml:space="preserve">Ključni događaj koji je doveo tvrtku MATEO PRIDRAGA d.o.o. do predstečajnog postupka je </w:t>
      </w:r>
      <w:r w:rsidRPr="006252DC">
        <w:rPr>
          <w:rFonts w:cs="Times New Roman" w:eastAsia="Calibri"/>
          <w:lang w:eastAsia="en-GB" w:val="en-US"/>
        </w:rPr>
        <w:t xml:space="preserve">ekonomska kriza zbog koje je došlo do </w:t>
      </w:r>
      <w:r w:rsidRPr="006252DC">
        <w:rPr>
          <w:rFonts w:cs="Times New Roman" w:eastAsia="Calibri"/>
          <w:lang w:eastAsia="en-GB" w:val="en-GB"/>
        </w:rPr>
        <w:t xml:space="preserve">nenaplate potraživanja, sudskog spora vezanog uz Kamenolom što je dovelo u pitanje dozvolu te potom usporilo proizvodnju, smanjenje prodaje i </w:t>
      </w:r>
      <w:r w:rsidRPr="006252DC">
        <w:rPr>
          <w:rFonts w:cs="Times New Roman" w:eastAsia="Calibri"/>
          <w:lang w:eastAsia="en-GB" w:val="en-US"/>
        </w:rPr>
        <w:t>nerestrukturiranje tvrtke.</w:t>
      </w: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 xml:space="preserve">Tvrtka MATEO PRIDRAGA d.o.o. nije u mogućnosti uz svoje redovne obveze podmirivati obveze prema vjerovnicima, a u uvjetima blokade nemoguće je dalje poslovati </w:t>
      </w:r>
      <w:proofErr w:type="gramStart"/>
      <w:r w:rsidRPr="006252DC">
        <w:rPr>
          <w:rFonts w:cs="Times New Roman" w:eastAsia="Calibri"/>
          <w:lang w:eastAsia="en-GB" w:val="en-GB"/>
        </w:rPr>
        <w:t>te</w:t>
      </w:r>
      <w:proofErr w:type="gramEnd"/>
      <w:r w:rsidRPr="006252DC">
        <w:rPr>
          <w:rFonts w:cs="Times New Roman" w:eastAsia="Calibri"/>
          <w:lang w:eastAsia="en-GB" w:val="en-GB"/>
        </w:rPr>
        <w:t xml:space="preserve"> zbog toga pokreće predstečajni postupak.</w:t>
      </w:r>
    </w:p>
    <w:p w:rsidRDefault="006252DC" w:rsidP="006252DC" w:rsidR="006252DC" w:rsidRPr="006252DC">
      <w:pPr>
        <w:spacing w:lineRule="auto" w:line="360" w:after="0"/>
        <w:rPr>
          <w:rFonts w:cs="Times New Roman" w:eastAsia="Calibri"/>
          <w:color w:val="323235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jc w:val="center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noProof/>
          <w:lang w:eastAsia="hr-HR"/>
        </w:rPr>
        <w:drawing>
          <wp:inline distR="0" distL="0" distB="0" distT="0">
            <wp:extent cy="3771900" cx="6202680"/>
            <wp:effectExtent b="0" r="7620" t="0" l="0"/>
            <wp:docPr descr="Slikovni rezultat za Rezanje, oblikovanje i obrada kamena" name="Picture 11" id="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Slikovni rezultat za Rezanje, oblikovanje i obrada kamena" name="Picture 11" id="0"/>
                    <pic:cNvPicPr>
                      <a:picLocks noChangeArrowheads="true" noChangeAspect="true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771900" cx="620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52DC">
        <w:rPr>
          <w:rFonts w:cs="Times New Roman" w:eastAsia="Calibri"/>
          <w:noProof/>
          <w:lang w:eastAsia="hr-HR"/>
        </w:rPr>
        <w:t xml:space="preserve"> </w:t>
      </w:r>
    </w:p>
    <w:p w:rsidRDefault="006252DC" w:rsidP="006252DC" w:rsidR="006252DC" w:rsidRPr="006252DC">
      <w:pPr>
        <w:spacing w:lineRule="auto" w:line="360" w:after="0"/>
        <w:jc w:val="center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jc w:val="center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jc w:val="center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jc w:val="center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jc w:val="center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jc w:val="center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jc w:val="center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jc w:val="center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keepNext/>
        <w:numPr>
          <w:ilvl w:val="2"/>
          <w:numId w:val="0"/>
        </w:numPr>
        <w:spacing w:after="60" w:before="240"/>
        <w:ind w:hanging="720" w:left="720"/>
        <w:outlineLvl w:val="2"/>
        <w:rPr>
          <w:rFonts w:cs="Times New Roman" w:eastAsia="Times New Roman"/>
          <w:b/>
          <w:bCs/>
          <w:color w:val="4F81BD"/>
          <w:lang w:eastAsia="hr-HR"/>
        </w:rPr>
      </w:pPr>
      <w:bookmarkStart w:name="_Toc482047552" w:id="49"/>
      <w:bookmarkStart w:name="_Toc477898302" w:id="50"/>
      <w:bookmarkStart w:name="_Toc472012453" w:id="51"/>
      <w:bookmarkStart w:name="_Toc451235623" w:id="52"/>
      <w:bookmarkStart w:name="_Toc273607768" w:id="53"/>
      <w:bookmarkEnd w:id="44"/>
      <w:bookmarkEnd w:id="45"/>
      <w:r w:rsidRPr="006252DC">
        <w:rPr>
          <w:rFonts w:cs="Times New Roman" w:eastAsia="Times New Roman"/>
          <w:b/>
          <w:bCs/>
          <w:color w:val="4F81BD"/>
          <w:lang w:eastAsia="hr-HR"/>
        </w:rPr>
        <w:t>Ukupne obveze društva</w:t>
      </w:r>
      <w:bookmarkEnd w:id="49"/>
      <w:bookmarkEnd w:id="50"/>
      <w:bookmarkEnd w:id="51"/>
      <w:bookmarkEnd w:id="52"/>
      <w:r w:rsidRPr="006252DC">
        <w:rPr>
          <w:rFonts w:cs="Times New Roman" w:eastAsia="Times New Roman"/>
          <w:b/>
          <w:bCs/>
          <w:color w:val="4F81BD"/>
          <w:lang w:eastAsia="hr-HR"/>
        </w:rPr>
        <w:t xml:space="preserve"> </w:t>
      </w: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i/>
          <w:lang w:eastAsia="en-GB" w:val="en-GB"/>
        </w:rPr>
      </w:pPr>
    </w:p>
    <w:p w:rsidRDefault="006252DC" w:rsidP="006252DC" w:rsidR="006252DC" w:rsidRPr="006252DC">
      <w:pPr>
        <w:spacing w:after="0"/>
        <w:jc w:val="both"/>
        <w:rPr>
          <w:rFonts w:cs="Times New Roman" w:eastAsia="Times New Roman"/>
          <w:color w:val="000000"/>
          <w:lang w:eastAsia="en-GB" w:val="en-GB"/>
        </w:rPr>
      </w:pPr>
      <w:proofErr w:type="gramStart"/>
      <w:r w:rsidRPr="006252DC">
        <w:rPr>
          <w:rFonts w:cs="Times New Roman" w:eastAsia="Calibri"/>
          <w:lang w:eastAsia="en-GB" w:val="en-GB"/>
        </w:rPr>
        <w:t>Ukupne obveze društva MATEO PRIDRAGA d.o.o.</w:t>
      </w:r>
      <w:proofErr w:type="gramEnd"/>
      <w:r w:rsidRPr="006252DC">
        <w:rPr>
          <w:rFonts w:cs="Times New Roman" w:eastAsia="Calibri"/>
          <w:lang w:eastAsia="en-GB" w:val="en-GB"/>
        </w:rPr>
        <w:t xml:space="preserve">  </w:t>
      </w:r>
      <w:proofErr w:type="gramStart"/>
      <w:r w:rsidRPr="006252DC">
        <w:rPr>
          <w:rFonts w:cs="Times New Roman" w:eastAsia="Calibri"/>
          <w:lang w:eastAsia="en-GB" w:val="en-GB"/>
        </w:rPr>
        <w:t>iznose</w:t>
      </w:r>
      <w:proofErr w:type="gramEnd"/>
      <w:r w:rsidRPr="006252DC">
        <w:rPr>
          <w:rFonts w:cs="Times New Roman" w:eastAsia="Calibri"/>
          <w:lang w:eastAsia="en-GB" w:val="en-GB"/>
        </w:rPr>
        <w:t xml:space="preserve"> </w:t>
      </w:r>
      <w:r w:rsidRPr="006252DC">
        <w:rPr>
          <w:rFonts w:cs="Times New Roman" w:eastAsia="Times New Roman"/>
          <w:color w:val="000000"/>
          <w:lang w:eastAsia="en-GB" w:val="en-GB"/>
        </w:rPr>
        <w:t>4.589.420,45 kn.</w:t>
      </w: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after="0"/>
        <w:jc w:val="center"/>
        <w:rPr>
          <w:rFonts w:cs="Times New Roman" w:eastAsia="Calibri"/>
          <w:i/>
          <w:lang w:eastAsia="en-GB" w:val="en-GB"/>
        </w:rPr>
      </w:pPr>
      <w:r w:rsidRPr="006252DC">
        <w:rPr>
          <w:rFonts w:cs="Times New Roman" w:eastAsia="Calibri"/>
          <w:i/>
          <w:lang w:eastAsia="en-GB" w:val="en-GB"/>
        </w:rPr>
        <w:t>Tablica 1: Tražbine neosiguranih vjerovnika</w:t>
      </w:r>
    </w:p>
    <w:p w:rsidRDefault="006252DC" w:rsidP="006252DC" w:rsidR="006252DC" w:rsidRPr="006252DC">
      <w:pPr>
        <w:spacing w:after="0"/>
        <w:jc w:val="center"/>
        <w:rPr>
          <w:rFonts w:cs="Times New Roman" w:eastAsia="Calibri"/>
          <w:i/>
          <w:lang w:eastAsia="en-GB" w:val="en-GB"/>
        </w:rPr>
      </w:pPr>
    </w:p>
    <w:tbl>
      <w:tblPr>
        <w:tblW w:type="dxa" w:w="9832"/>
        <w:tblInd w:type="dxa" w:w="113"/>
        <w:tblLook w:val="04A0" w:noVBand="1" w:noHBand="0" w:lastColumn="0" w:firstColumn="1" w:lastRow="0" w:firstRow="1"/>
      </w:tblPr>
      <w:tblGrid>
        <w:gridCol w:w="550"/>
        <w:gridCol w:w="1880"/>
        <w:gridCol w:w="4203"/>
        <w:gridCol w:w="1476"/>
        <w:gridCol w:w="1723"/>
      </w:tblGrid>
      <w:tr w:rsidTr="006252DC" w:rsidR="006252DC" w:rsidRPr="006252DC">
        <w:trPr>
          <w:trHeight w:val="640"/>
        </w:trPr>
        <w:tc>
          <w:tcPr>
            <w:tcW w:type="dxa" w:w="55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color w:val="000000"/>
                <w:lang w:eastAsia="en-GB" w:val="en-GB"/>
              </w:rPr>
              <w:t>RB</w:t>
            </w:r>
          </w:p>
        </w:tc>
        <w:tc>
          <w:tcPr>
            <w:tcW w:type="dxa" w:w="188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color w:val="000000"/>
                <w:lang w:eastAsia="en-GB" w:val="en-GB"/>
              </w:rPr>
              <w:t>OIB</w:t>
            </w:r>
          </w:p>
        </w:tc>
        <w:tc>
          <w:tcPr>
            <w:tcW w:type="dxa" w:w="420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color w:val="000000"/>
                <w:lang w:eastAsia="en-GB" w:val="en-GB"/>
              </w:rPr>
              <w:t xml:space="preserve">NAZIV VJEROVNIKA  </w:t>
            </w:r>
          </w:p>
        </w:tc>
        <w:tc>
          <w:tcPr>
            <w:tcW w:type="dxa" w:w="147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color w:val="000000"/>
                <w:lang w:eastAsia="en-GB" w:val="en-GB"/>
              </w:rPr>
              <w:t>IZNOS OBVEZE</w:t>
            </w:r>
          </w:p>
        </w:tc>
        <w:tc>
          <w:tcPr>
            <w:tcW w:type="dxa" w:w="172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color w:val="000000"/>
                <w:lang w:eastAsia="en-GB" w:val="en-GB"/>
              </w:rPr>
              <w:t>STRUKTURA</w:t>
            </w:r>
          </w:p>
        </w:tc>
      </w:tr>
      <w:tr w:rsidTr="006252DC" w:rsidR="006252DC" w:rsidRPr="006252DC">
        <w:trPr>
          <w:trHeight w:val="320"/>
        </w:trPr>
        <w:tc>
          <w:tcPr>
            <w:tcW w:type="dxa" w:w="5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1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79061449459</w:t>
            </w:r>
          </w:p>
        </w:tc>
        <w:tc>
          <w:tcPr>
            <w:tcW w:type="dxa" w:w="420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PRVA LIGA vl. IVICA VIDUKA</w:t>
            </w:r>
          </w:p>
        </w:tc>
        <w:tc>
          <w:tcPr>
            <w:tcW w:type="dxa" w:w="147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20.494,06</w:t>
            </w:r>
          </w:p>
        </w:tc>
        <w:tc>
          <w:tcPr>
            <w:tcW w:type="dxa" w:w="17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0,45%</w:t>
            </w:r>
          </w:p>
        </w:tc>
      </w:tr>
      <w:tr w:rsidTr="006252DC" w:rsidR="006252DC" w:rsidRPr="006252DC">
        <w:trPr>
          <w:trHeight w:val="320"/>
        </w:trPr>
        <w:tc>
          <w:tcPr>
            <w:tcW w:type="dxa" w:w="5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2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74056056752</w:t>
            </w:r>
          </w:p>
        </w:tc>
        <w:tc>
          <w:tcPr>
            <w:tcW w:type="dxa" w:w="420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FORCH d.o.o.</w:t>
            </w:r>
          </w:p>
        </w:tc>
        <w:tc>
          <w:tcPr>
            <w:tcW w:type="dxa" w:w="147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614,60</w:t>
            </w:r>
          </w:p>
        </w:tc>
        <w:tc>
          <w:tcPr>
            <w:tcW w:type="dxa" w:w="17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0,01%</w:t>
            </w:r>
          </w:p>
        </w:tc>
      </w:tr>
      <w:tr w:rsidTr="006252DC" w:rsidR="006252DC" w:rsidRPr="006252DC">
        <w:trPr>
          <w:trHeight w:val="320"/>
        </w:trPr>
        <w:tc>
          <w:tcPr>
            <w:tcW w:type="dxa" w:w="5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3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36523098396</w:t>
            </w:r>
          </w:p>
        </w:tc>
        <w:tc>
          <w:tcPr>
            <w:tcW w:type="dxa" w:w="420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EFFECTUS d.o.o.</w:t>
            </w:r>
          </w:p>
        </w:tc>
        <w:tc>
          <w:tcPr>
            <w:tcW w:type="dxa" w:w="147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2.400,00</w:t>
            </w:r>
          </w:p>
        </w:tc>
        <w:tc>
          <w:tcPr>
            <w:tcW w:type="dxa" w:w="17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0,05%</w:t>
            </w:r>
          </w:p>
        </w:tc>
      </w:tr>
      <w:tr w:rsidTr="006252DC" w:rsidR="006252DC" w:rsidRPr="006252DC">
        <w:trPr>
          <w:trHeight w:val="320"/>
        </w:trPr>
        <w:tc>
          <w:tcPr>
            <w:tcW w:type="dxa" w:w="5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4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83612640175</w:t>
            </w:r>
          </w:p>
        </w:tc>
        <w:tc>
          <w:tcPr>
            <w:tcW w:type="dxa" w:w="420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LUNIKO INŽENJERING d.o.o.</w:t>
            </w:r>
          </w:p>
        </w:tc>
        <w:tc>
          <w:tcPr>
            <w:tcW w:type="dxa" w:w="147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13.687,50</w:t>
            </w:r>
          </w:p>
        </w:tc>
        <w:tc>
          <w:tcPr>
            <w:tcW w:type="dxa" w:w="17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0,30%</w:t>
            </w:r>
          </w:p>
        </w:tc>
      </w:tr>
      <w:tr w:rsidTr="006252DC" w:rsidR="006252DC" w:rsidRPr="006252DC">
        <w:trPr>
          <w:trHeight w:val="320"/>
        </w:trPr>
        <w:tc>
          <w:tcPr>
            <w:tcW w:type="dxa" w:w="5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5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87910130484</w:t>
            </w:r>
          </w:p>
        </w:tc>
        <w:tc>
          <w:tcPr>
            <w:tcW w:type="dxa" w:w="420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TRANSPORT BETON LUBINA d.o.o.</w:t>
            </w:r>
          </w:p>
        </w:tc>
        <w:tc>
          <w:tcPr>
            <w:tcW w:type="dxa" w:w="147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15.577,56</w:t>
            </w:r>
          </w:p>
        </w:tc>
        <w:tc>
          <w:tcPr>
            <w:tcW w:type="dxa" w:w="17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0,34%</w:t>
            </w:r>
          </w:p>
        </w:tc>
      </w:tr>
      <w:tr w:rsidTr="006252DC" w:rsidR="006252DC" w:rsidRPr="006252DC">
        <w:trPr>
          <w:trHeight w:val="320"/>
        </w:trPr>
        <w:tc>
          <w:tcPr>
            <w:tcW w:type="dxa" w:w="5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6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78913530404</w:t>
            </w:r>
          </w:p>
        </w:tc>
        <w:tc>
          <w:tcPr>
            <w:tcW w:type="dxa" w:w="420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JUKIĆ DAM d.o.o.</w:t>
            </w:r>
          </w:p>
        </w:tc>
        <w:tc>
          <w:tcPr>
            <w:tcW w:type="dxa" w:w="147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23.452,32</w:t>
            </w:r>
          </w:p>
        </w:tc>
        <w:tc>
          <w:tcPr>
            <w:tcW w:type="dxa" w:w="17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0,51%</w:t>
            </w:r>
          </w:p>
        </w:tc>
      </w:tr>
      <w:tr w:rsidTr="006252DC" w:rsidR="006252DC" w:rsidRPr="006252DC">
        <w:trPr>
          <w:trHeight w:val="320"/>
        </w:trPr>
        <w:tc>
          <w:tcPr>
            <w:tcW w:type="dxa" w:w="5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7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26004523816</w:t>
            </w:r>
          </w:p>
        </w:tc>
        <w:tc>
          <w:tcPr>
            <w:tcW w:type="dxa" w:w="420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TRGOMETAL d.o.o.</w:t>
            </w:r>
          </w:p>
        </w:tc>
        <w:tc>
          <w:tcPr>
            <w:tcW w:type="dxa" w:w="147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33.066,08</w:t>
            </w:r>
          </w:p>
        </w:tc>
        <w:tc>
          <w:tcPr>
            <w:tcW w:type="dxa" w:w="17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0,72%</w:t>
            </w:r>
          </w:p>
        </w:tc>
      </w:tr>
      <w:tr w:rsidTr="006252DC" w:rsidR="006252DC" w:rsidRPr="006252DC">
        <w:trPr>
          <w:trHeight w:val="320"/>
        </w:trPr>
        <w:tc>
          <w:tcPr>
            <w:tcW w:type="dxa" w:w="5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8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11059217210</w:t>
            </w:r>
          </w:p>
        </w:tc>
        <w:tc>
          <w:tcPr>
            <w:tcW w:type="dxa" w:w="420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VIGINES</w:t>
            </w:r>
          </w:p>
        </w:tc>
        <w:tc>
          <w:tcPr>
            <w:tcW w:type="dxa" w:w="147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48.325,00</w:t>
            </w:r>
          </w:p>
        </w:tc>
        <w:tc>
          <w:tcPr>
            <w:tcW w:type="dxa" w:w="17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1,05%</w:t>
            </w:r>
          </w:p>
        </w:tc>
      </w:tr>
      <w:tr w:rsidTr="006252DC" w:rsidR="006252DC" w:rsidRPr="006252DC">
        <w:trPr>
          <w:trHeight w:val="320"/>
        </w:trPr>
        <w:tc>
          <w:tcPr>
            <w:tcW w:type="dxa" w:w="5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9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18683136487</w:t>
            </w:r>
          </w:p>
        </w:tc>
        <w:tc>
          <w:tcPr>
            <w:tcW w:type="dxa" w:w="420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RH, Ministarstvo financija, Porezna uprava</w:t>
            </w:r>
          </w:p>
        </w:tc>
        <w:tc>
          <w:tcPr>
            <w:tcW w:type="dxa" w:w="147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1.167.806,55</w:t>
            </w:r>
          </w:p>
        </w:tc>
        <w:tc>
          <w:tcPr>
            <w:tcW w:type="dxa" w:w="17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25,45%</w:t>
            </w:r>
          </w:p>
        </w:tc>
      </w:tr>
      <w:tr w:rsidTr="006252DC" w:rsidR="006252DC" w:rsidRPr="006252DC">
        <w:trPr>
          <w:trHeight w:val="320"/>
        </w:trPr>
        <w:tc>
          <w:tcPr>
            <w:tcW w:type="dxa" w:w="5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10</w:t>
            </w:r>
          </w:p>
        </w:tc>
        <w:tc>
          <w:tcPr>
            <w:tcW w:type="dxa" w:w="188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Calibri"/>
                <w:color w:val="000000"/>
                <w:lang w:eastAsia="en-GB" w:val="en-GB"/>
              </w:rPr>
              <w:t>42709941217</w:t>
            </w:r>
          </w:p>
        </w:tc>
        <w:tc>
          <w:tcPr>
            <w:tcW w:type="dxa" w:w="420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Calibri"/>
                <w:color w:val="000000"/>
                <w:lang w:eastAsia="en-GB" w:val="en-GB"/>
              </w:rPr>
              <w:t>MATE VIDUKA</w:t>
            </w:r>
          </w:p>
        </w:tc>
        <w:tc>
          <w:tcPr>
            <w:tcW w:type="dxa" w:w="147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Calibri"/>
                <w:color w:val="000000"/>
                <w:lang w:eastAsia="en-GB" w:val="en-GB"/>
              </w:rPr>
              <w:t>20.000,00</w:t>
            </w:r>
          </w:p>
        </w:tc>
        <w:tc>
          <w:tcPr>
            <w:tcW w:type="dxa" w:w="172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Calibri"/>
                <w:color w:val="000000"/>
                <w:lang w:eastAsia="en-GB" w:val="en-GB"/>
              </w:rPr>
              <w:t>0,44%</w:t>
            </w:r>
          </w:p>
        </w:tc>
      </w:tr>
      <w:tr w:rsidTr="006252DC" w:rsidR="006252DC" w:rsidRPr="006252DC">
        <w:trPr>
          <w:trHeight w:val="320"/>
        </w:trPr>
        <w:tc>
          <w:tcPr>
            <w:tcW w:type="dxa" w:w="5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FF0000"/>
                <w:lang w:eastAsia="en-GB" w:val="en-GB"/>
              </w:rPr>
            </w:pPr>
            <w:r w:rsidRPr="006252DC">
              <w:rPr>
                <w:rFonts w:cs="Times New Roman" w:eastAsia="Times New Roman"/>
                <w:lang w:eastAsia="en-GB" w:val="en-GB"/>
              </w:rPr>
              <w:t>11</w:t>
            </w:r>
          </w:p>
        </w:tc>
        <w:tc>
          <w:tcPr>
            <w:tcW w:type="dxa" w:w="18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FF0000"/>
                <w:lang w:eastAsia="en-GB" w:val="en-GB"/>
              </w:rPr>
            </w:pPr>
            <w:r w:rsidRPr="006252DC">
              <w:rPr>
                <w:rFonts w:cs="Times New Roman" w:eastAsia="Calibri"/>
                <w:color w:val="000000"/>
                <w:lang w:eastAsia="en-GB" w:val="en-GB"/>
              </w:rPr>
              <w:t>79061449459</w:t>
            </w:r>
          </w:p>
        </w:tc>
        <w:tc>
          <w:tcPr>
            <w:tcW w:type="dxa" w:w="420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FF0000"/>
                <w:lang w:eastAsia="en-GB" w:val="en-GB"/>
              </w:rPr>
            </w:pPr>
            <w:r w:rsidRPr="006252DC">
              <w:rPr>
                <w:rFonts w:cs="Times New Roman" w:eastAsia="Calibri"/>
                <w:color w:val="000000"/>
                <w:lang w:eastAsia="en-GB" w:val="en-GB"/>
              </w:rPr>
              <w:t>IVICA VIDUKA</w:t>
            </w:r>
          </w:p>
        </w:tc>
        <w:tc>
          <w:tcPr>
            <w:tcW w:type="dxa" w:w="147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FF0000"/>
                <w:lang w:eastAsia="en-GB" w:val="en-GB"/>
              </w:rPr>
            </w:pPr>
            <w:r w:rsidRPr="006252DC">
              <w:rPr>
                <w:rFonts w:cs="Times New Roman" w:eastAsia="Calibri"/>
                <w:color w:val="000000"/>
                <w:lang w:eastAsia="en-GB" w:val="en-GB"/>
              </w:rPr>
              <w:t>1.876.500,00</w:t>
            </w:r>
          </w:p>
        </w:tc>
        <w:tc>
          <w:tcPr>
            <w:tcW w:type="dxa" w:w="172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FF0000"/>
                <w:lang w:eastAsia="en-GB" w:val="en-GB"/>
              </w:rPr>
            </w:pPr>
            <w:r w:rsidRPr="006252DC">
              <w:rPr>
                <w:rFonts w:cs="Times New Roman" w:eastAsia="Calibri"/>
                <w:color w:val="000000"/>
                <w:lang w:eastAsia="en-GB" w:val="en-GB"/>
              </w:rPr>
              <w:t>40,89%</w:t>
            </w:r>
          </w:p>
        </w:tc>
      </w:tr>
      <w:tr w:rsidTr="006252DC" w:rsidR="006252DC" w:rsidRPr="006252DC">
        <w:trPr>
          <w:trHeight w:val="405"/>
        </w:trPr>
        <w:tc>
          <w:tcPr>
            <w:tcW w:type="dxa" w:w="5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12</w:t>
            </w:r>
          </w:p>
        </w:tc>
        <w:tc>
          <w:tcPr>
            <w:tcW w:type="dxa" w:w="18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Calibri"/>
                <w:color w:val="000000"/>
                <w:lang w:eastAsia="en-GB" w:val="en-GB"/>
              </w:rPr>
            </w:pPr>
          </w:p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Calibri"/>
                <w:color w:val="000000"/>
                <w:lang w:eastAsia="en-GB" w:val="en-GB"/>
              </w:rPr>
            </w:pPr>
          </w:p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Calibri"/>
                <w:color w:val="000000"/>
                <w:lang w:eastAsia="en-GB" w:val="en-GB"/>
              </w:rPr>
            </w:pPr>
            <w:r w:rsidRPr="006252DC">
              <w:rPr>
                <w:rFonts w:cs="Times New Roman" w:eastAsia="Calibri"/>
                <w:color w:val="000000"/>
                <w:lang w:eastAsia="en-GB" w:val="en-GB"/>
              </w:rPr>
              <w:t>98311716168</w:t>
            </w:r>
          </w:p>
        </w:tc>
        <w:tc>
          <w:tcPr>
            <w:tcW w:type="dxa" w:w="420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 BABILONA d.o.o.</w:t>
            </w:r>
          </w:p>
        </w:tc>
        <w:tc>
          <w:tcPr>
            <w:tcW w:type="dxa" w:w="147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1.367.482,87</w:t>
            </w:r>
          </w:p>
        </w:tc>
        <w:tc>
          <w:tcPr>
            <w:tcW w:type="dxa" w:w="172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29,80%</w:t>
            </w:r>
          </w:p>
        </w:tc>
      </w:tr>
      <w:tr w:rsidTr="006252DC" w:rsidR="006252DC" w:rsidRPr="006252DC">
        <w:trPr>
          <w:trHeight w:val="249"/>
        </w:trPr>
        <w:tc>
          <w:tcPr>
            <w:tcW w:type="dxa" w:w="5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b/>
                <w:bCs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color w:val="000000"/>
                <w:lang w:eastAsia="en-GB" w:val="en-GB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color w:val="000000"/>
                <w:lang w:eastAsia="en-GB" w:val="en-GB"/>
              </w:rPr>
              <w:t> </w:t>
            </w:r>
          </w:p>
        </w:tc>
        <w:tc>
          <w:tcPr>
            <w:tcW w:type="dxa" w:w="420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b/>
                <w:bCs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color w:val="000000"/>
                <w:lang w:eastAsia="en-GB" w:val="en-GB"/>
              </w:rPr>
              <w:t>Ukupno:</w:t>
            </w:r>
          </w:p>
        </w:tc>
        <w:tc>
          <w:tcPr>
            <w:tcW w:type="dxa" w:w="147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b/>
                <w:bCs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color w:val="000000"/>
                <w:lang w:eastAsia="en-GB" w:val="en-GB"/>
              </w:rPr>
              <w:t>4.589.420,45</w:t>
            </w:r>
          </w:p>
        </w:tc>
        <w:tc>
          <w:tcPr>
            <w:tcW w:type="dxa" w:w="172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b/>
                <w:bCs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color w:val="000000"/>
                <w:lang w:eastAsia="en-GB" w:val="en-GB"/>
              </w:rPr>
              <w:t>100,00%</w:t>
            </w:r>
          </w:p>
        </w:tc>
      </w:tr>
    </w:tbl>
    <w:p w:rsidRDefault="006252DC" w:rsidP="006252DC" w:rsidR="006252DC" w:rsidRPr="006252DC">
      <w:pPr>
        <w:spacing w:after="0"/>
        <w:rPr>
          <w:rFonts w:cs="Times New Roman" w:eastAsia="Calibri"/>
          <w:i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i/>
          <w:sz w:val="20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sz w:val="20"/>
          <w:lang w:eastAsia="en-GB" w:val="en-GB"/>
        </w:rPr>
      </w:pPr>
      <w:bookmarkStart w:name="_Toc451235624" w:id="54"/>
    </w:p>
    <w:p w:rsidRDefault="006252DC" w:rsidP="006252DC" w:rsidR="006252DC" w:rsidRPr="006252DC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  <w:color w:val="4F81BD"/>
        </w:rPr>
      </w:pPr>
      <w:bookmarkStart w:name="_Toc477898303" w:id="55"/>
      <w:bookmarkStart w:name="_Toc472012454" w:id="56"/>
    </w:p>
    <w:p w:rsidRDefault="006252DC" w:rsidP="006252DC" w:rsidR="006252DC" w:rsidRPr="006252DC">
      <w:pPr>
        <w:spacing w:after="0"/>
        <w:rPr>
          <w:rFonts w:cs="Times New Roman" w:eastAsia="Times New Roman"/>
          <w:b/>
          <w:color w:val="4F81BD"/>
        </w:rPr>
      </w:pPr>
      <w:r w:rsidRPr="006252DC">
        <w:rPr>
          <w:rFonts w:cs="Times New Roman" w:eastAsia="Calibri"/>
          <w:lang w:eastAsia="en-GB" w:val="en-GB"/>
        </w:rPr>
        <w:br w:type="page"/>
      </w:r>
    </w:p>
    <w:p w:rsidRDefault="006252DC" w:rsidP="006252DC" w:rsidR="006252DC" w:rsidRPr="006252DC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  <w:color w:val="4F81BD"/>
        </w:rPr>
      </w:pPr>
      <w:bookmarkStart w:name="_Toc482047553" w:id="57"/>
      <w:r w:rsidRPr="006252DC">
        <w:rPr>
          <w:rFonts w:cs="Times New Roman" w:eastAsia="Times New Roman"/>
          <w:b/>
          <w:color w:val="4F81BD"/>
        </w:rPr>
        <w:lastRenderedPageBreak/>
        <w:t>2. IZRAČUN MANJKA LIKVIDNIH SREDSTAVA NA DAN PRILOŽENIH FINANCIJSKIH IZVJEŠTAJA</w:t>
      </w:r>
      <w:bookmarkEnd w:id="54"/>
      <w:bookmarkEnd w:id="55"/>
      <w:bookmarkEnd w:id="56"/>
      <w:bookmarkEnd w:id="57"/>
      <w:r w:rsidRPr="006252DC">
        <w:rPr>
          <w:rFonts w:cs="Times New Roman" w:eastAsia="Times New Roman"/>
          <w:b/>
          <w:color w:val="4F81BD"/>
        </w:rPr>
        <w:t xml:space="preserve"> </w:t>
      </w:r>
    </w:p>
    <w:bookmarkEnd w:id="15"/>
    <w:bookmarkEnd w:id="53"/>
    <w:p w:rsidRDefault="006252DC" w:rsidP="006252DC" w:rsidR="006252DC" w:rsidRPr="006252DC">
      <w:pPr>
        <w:snapToGrid w:val="false"/>
        <w:spacing w:lineRule="auto" w:line="360" w:after="0"/>
        <w:jc w:val="both"/>
        <w:rPr>
          <w:rFonts w:cs="Times New Roman" w:eastAsia="Times New Roman"/>
        </w:rPr>
      </w:pPr>
    </w:p>
    <w:p w:rsidRDefault="006252DC" w:rsidP="006252DC" w:rsidR="006252DC" w:rsidRPr="006252DC">
      <w:pPr>
        <w:snapToGrid w:val="false"/>
        <w:spacing w:lineRule="auto" w:line="360" w:after="0"/>
        <w:rPr>
          <w:rFonts w:cs="Times New Roman" w:eastAsia="Times New Roman"/>
        </w:rPr>
      </w:pPr>
      <w:r w:rsidRPr="006252DC">
        <w:rPr>
          <w:rFonts w:cs="Times New Roman" w:eastAsia="Times New Roman"/>
        </w:rPr>
        <w:t>U nastavku je prikazan izračun manjka likvidnih sredstava na dan 28.02.2017. godine.</w:t>
      </w:r>
    </w:p>
    <w:p w:rsidRDefault="006252DC" w:rsidP="006252DC" w:rsidR="006252DC" w:rsidRPr="006252DC">
      <w:pPr>
        <w:spacing w:after="0"/>
        <w:rPr>
          <w:rFonts w:cs="Times New Roman" w:eastAsia="Calibri"/>
          <w:i/>
          <w:color w:val="000000"/>
          <w:lang w:eastAsia="en-GB" w:val="en-GB"/>
        </w:rPr>
      </w:pPr>
      <w:r w:rsidRPr="006252DC">
        <w:rPr>
          <w:rFonts w:cs="Times New Roman" w:eastAsia="Calibri"/>
          <w:i/>
          <w:color w:val="000000"/>
          <w:lang w:eastAsia="en-GB" w:val="en-GB"/>
        </w:rPr>
        <w:t xml:space="preserve"> </w:t>
      </w:r>
    </w:p>
    <w:tbl>
      <w:tblPr>
        <w:tblW w:type="dxa" w:w="6820"/>
        <w:jc w:val="center"/>
        <w:tblLook w:val="04A0" w:noVBand="1" w:noHBand="0" w:lastColumn="0" w:firstColumn="1" w:lastRow="0" w:firstRow="1"/>
      </w:tblPr>
      <w:tblGrid>
        <w:gridCol w:w="5580"/>
        <w:gridCol w:w="1240"/>
      </w:tblGrid>
      <w:tr w:rsidTr="006252DC" w:rsidR="006252DC" w:rsidRPr="006252DC">
        <w:trPr>
          <w:trHeight w:val="320"/>
          <w:jc w:val="center"/>
        </w:trPr>
        <w:tc>
          <w:tcPr>
            <w:tcW w:type="dxa" w:w="558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lang w:eastAsia="en-GB" w:val="en-GB"/>
              </w:rPr>
              <w:t>Pozicija</w:t>
            </w:r>
          </w:p>
        </w:tc>
        <w:tc>
          <w:tcPr>
            <w:tcW w:type="dxa" w:w="124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lang w:eastAsia="en-GB" w:val="en-GB"/>
              </w:rPr>
              <w:t>Iznos</w:t>
            </w:r>
          </w:p>
        </w:tc>
      </w:tr>
      <w:tr w:rsidTr="006252DC" w:rsidR="006252DC" w:rsidRPr="006252DC">
        <w:trPr>
          <w:trHeight w:val="320"/>
          <w:jc w:val="center"/>
        </w:trPr>
        <w:tc>
          <w:tcPr>
            <w:tcW w:type="dxa" w:w="5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1. Alati, pogonski inventar i transportna imovina</w:t>
            </w:r>
          </w:p>
        </w:tc>
        <w:tc>
          <w:tcPr>
            <w:tcW w:type="dxa" w:w="12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5.000</w:t>
            </w:r>
          </w:p>
        </w:tc>
      </w:tr>
      <w:tr w:rsidTr="006252DC" w:rsidR="006252DC" w:rsidRPr="006252DC">
        <w:trPr>
          <w:trHeight w:val="320"/>
          <w:jc w:val="center"/>
        </w:trPr>
        <w:tc>
          <w:tcPr>
            <w:tcW w:type="dxa" w:w="5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2. Potraživanja od kupaca</w:t>
            </w:r>
          </w:p>
        </w:tc>
        <w:tc>
          <w:tcPr>
            <w:tcW w:type="dxa" w:w="12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585.203</w:t>
            </w:r>
          </w:p>
        </w:tc>
      </w:tr>
      <w:tr w:rsidTr="006252DC" w:rsidR="006252DC" w:rsidRPr="006252DC">
        <w:trPr>
          <w:trHeight w:val="320"/>
          <w:jc w:val="center"/>
        </w:trPr>
        <w:tc>
          <w:tcPr>
            <w:tcW w:type="dxa" w:w="5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3. Novac</w:t>
            </w:r>
          </w:p>
        </w:tc>
        <w:tc>
          <w:tcPr>
            <w:tcW w:type="dxa" w:w="12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973</w:t>
            </w:r>
          </w:p>
        </w:tc>
      </w:tr>
      <w:tr w:rsidTr="006252DC" w:rsidR="006252DC" w:rsidRPr="006252DC">
        <w:trPr>
          <w:trHeight w:val="320"/>
          <w:jc w:val="center"/>
        </w:trPr>
        <w:tc>
          <w:tcPr>
            <w:tcW w:type="dxa" w:w="5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b/>
                <w:bCs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lang w:eastAsia="en-GB" w:val="en-GB"/>
              </w:rPr>
              <w:t>UKUPNO LIKVIDNA IMOVINA:</w:t>
            </w:r>
          </w:p>
        </w:tc>
        <w:tc>
          <w:tcPr>
            <w:tcW w:type="dxa" w:w="12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b/>
                <w:bCs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lang w:eastAsia="en-GB" w:val="en-GB"/>
              </w:rPr>
              <w:t>591.176</w:t>
            </w:r>
          </w:p>
        </w:tc>
      </w:tr>
      <w:tr w:rsidTr="006252DC" w:rsidR="006252DC" w:rsidRPr="006252DC">
        <w:trPr>
          <w:trHeight w:val="320"/>
          <w:jc w:val="center"/>
        </w:trPr>
        <w:tc>
          <w:tcPr>
            <w:tcW w:type="dxa" w:w="5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1. Obveze za zajmove, depozite i slično</w:t>
            </w:r>
          </w:p>
        </w:tc>
        <w:tc>
          <w:tcPr>
            <w:tcW w:type="dxa" w:w="12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40.000</w:t>
            </w:r>
          </w:p>
        </w:tc>
      </w:tr>
      <w:tr w:rsidTr="006252DC" w:rsidR="006252DC" w:rsidRPr="006252DC">
        <w:trPr>
          <w:trHeight w:val="320"/>
          <w:jc w:val="center"/>
        </w:trPr>
        <w:tc>
          <w:tcPr>
            <w:tcW w:type="dxa" w:w="5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2. Obveze prema dobavljačima</w:t>
            </w:r>
          </w:p>
        </w:tc>
        <w:tc>
          <w:tcPr>
            <w:tcW w:type="dxa" w:w="12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116.730</w:t>
            </w:r>
          </w:p>
        </w:tc>
      </w:tr>
      <w:tr w:rsidTr="006252DC" w:rsidR="006252DC" w:rsidRPr="006252DC">
        <w:trPr>
          <w:trHeight w:val="320"/>
          <w:jc w:val="center"/>
        </w:trPr>
        <w:tc>
          <w:tcPr>
            <w:tcW w:type="dxa" w:w="5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3. Obveze  za poreze, doprinose i sličana davanja</w:t>
            </w:r>
          </w:p>
        </w:tc>
        <w:tc>
          <w:tcPr>
            <w:tcW w:type="dxa" w:w="12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1.146.919</w:t>
            </w:r>
          </w:p>
        </w:tc>
      </w:tr>
      <w:tr w:rsidTr="006252DC" w:rsidR="006252DC" w:rsidRPr="006252DC">
        <w:trPr>
          <w:trHeight w:val="320"/>
          <w:jc w:val="center"/>
        </w:trPr>
        <w:tc>
          <w:tcPr>
            <w:tcW w:type="dxa" w:w="5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b/>
                <w:bCs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lang w:eastAsia="en-GB" w:val="en-GB"/>
              </w:rPr>
              <w:t>UKUPNO OBVEZE:</w:t>
            </w:r>
          </w:p>
        </w:tc>
        <w:tc>
          <w:tcPr>
            <w:tcW w:type="dxa" w:w="12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b/>
                <w:bCs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lang w:eastAsia="en-GB" w:val="en-GB"/>
              </w:rPr>
              <w:t>1.303.649</w:t>
            </w:r>
          </w:p>
        </w:tc>
      </w:tr>
      <w:tr w:rsidTr="006252DC" w:rsidR="006252DC" w:rsidRPr="006252DC">
        <w:trPr>
          <w:trHeight w:val="320"/>
          <w:jc w:val="center"/>
        </w:trPr>
        <w:tc>
          <w:tcPr>
            <w:tcW w:type="dxa" w:w="5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b/>
                <w:bCs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lang w:eastAsia="en-GB" w:val="en-GB"/>
              </w:rPr>
              <w:t>MANJAK LIKVIDNIH SREDSTAVA:</w:t>
            </w:r>
          </w:p>
        </w:tc>
        <w:tc>
          <w:tcPr>
            <w:tcW w:type="dxa" w:w="12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b/>
                <w:bCs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lang w:eastAsia="en-GB" w:val="en-GB"/>
              </w:rPr>
              <w:t>-712.473</w:t>
            </w:r>
          </w:p>
        </w:tc>
      </w:tr>
    </w:tbl>
    <w:p w:rsidRDefault="006252DC" w:rsidP="006252DC" w:rsidR="006252DC" w:rsidRPr="006252DC">
      <w:pPr>
        <w:spacing w:after="0"/>
        <w:rPr>
          <w:rFonts w:cs="Times New Roman" w:eastAsia="Calibri"/>
          <w:i/>
          <w:color w:val="000000"/>
          <w:sz w:val="20"/>
          <w:lang w:eastAsia="en-GB" w:val="en-GB"/>
        </w:rPr>
      </w:pPr>
    </w:p>
    <w:p w:rsidRDefault="006252DC" w:rsidP="006252DC" w:rsidR="006252DC" w:rsidRPr="006252DC">
      <w:pPr>
        <w:spacing w:after="0"/>
        <w:jc w:val="center"/>
        <w:rPr>
          <w:rFonts w:cs="Times New Roman" w:eastAsia="Calibri"/>
          <w:i/>
          <w:lang w:eastAsia="en-GB" w:val="en-GB"/>
        </w:rPr>
      </w:pPr>
      <w:r w:rsidRPr="006252DC">
        <w:rPr>
          <w:rFonts w:cs="Times New Roman" w:eastAsia="Calibri"/>
          <w:i/>
          <w:color w:val="000000"/>
          <w:lang w:eastAsia="en-GB" w:val="en-GB"/>
        </w:rPr>
        <w:t>Tablica 1: Izračun manjka likvidnih sredstava</w:t>
      </w:r>
    </w:p>
    <w:p w:rsidRDefault="006252DC" w:rsidP="006252DC" w:rsidR="006252DC" w:rsidRPr="006252DC">
      <w:pPr>
        <w:numPr>
          <w:ilvl w:val="0"/>
          <w:numId w:val="47"/>
        </w:numPr>
        <w:spacing w:lineRule="auto" w:line="360" w:after="0"/>
        <w:ind w:left="0"/>
        <w:rPr>
          <w:rFonts w:cs="Times New Roman" w:eastAsia="Times New Roman"/>
          <w:lang w:eastAsia="hr-HR"/>
        </w:rPr>
      </w:pPr>
    </w:p>
    <w:p w:rsidRDefault="006252DC" w:rsidP="006252DC" w:rsidR="006252DC" w:rsidRPr="006252DC">
      <w:pPr>
        <w:numPr>
          <w:ilvl w:val="0"/>
          <w:numId w:val="47"/>
        </w:numPr>
        <w:spacing w:lineRule="auto" w:line="360" w:after="0"/>
        <w:ind w:left="0"/>
        <w:rPr>
          <w:rFonts w:cs="Times New Roman" w:eastAsia="Times New Roman"/>
          <w:lang w:eastAsia="hr-HR"/>
        </w:rPr>
      </w:pPr>
    </w:p>
    <w:p w:rsidRDefault="006252DC" w:rsidP="006252DC" w:rsidR="006252DC" w:rsidRPr="006252DC">
      <w:pPr>
        <w:numPr>
          <w:ilvl w:val="0"/>
          <w:numId w:val="47"/>
        </w:numPr>
        <w:spacing w:lineRule="auto" w:line="360" w:after="0"/>
        <w:ind w:left="0"/>
        <w:rPr>
          <w:rFonts w:cs="Times New Roman" w:eastAsia="Times New Roman"/>
          <w:lang w:eastAsia="hr-HR"/>
        </w:rPr>
      </w:pPr>
      <w:r w:rsidRPr="006252DC">
        <w:rPr>
          <w:rFonts w:cs="Times New Roman" w:eastAsia="Times New Roman"/>
          <w:lang w:eastAsia="hr-HR"/>
        </w:rPr>
        <w:t xml:space="preserve">Manjak likvidnih sredstava na dan 28.02.2017. godine iznosi </w:t>
      </w:r>
      <w:r w:rsidRPr="006252DC">
        <w:rPr>
          <w:rFonts w:cs="Times New Roman" w:eastAsia="Times New Roman"/>
          <w:b/>
          <w:bCs/>
          <w:lang w:eastAsia="hr-HR"/>
        </w:rPr>
        <w:t xml:space="preserve"> 712.473 kn</w:t>
      </w:r>
      <w:r w:rsidRPr="006252DC">
        <w:rPr>
          <w:rFonts w:cs="Times New Roman" w:eastAsia="Times New Roman"/>
          <w:lang w:eastAsia="hr-HR"/>
        </w:rPr>
        <w:t>, a isti je iskazan kao razlika obveza i likvidne  imovine (brzo unovčive).</w:t>
      </w:r>
    </w:p>
    <w:p w:rsidRDefault="006252DC" w:rsidP="006252DC" w:rsidR="006252DC" w:rsidRPr="006252DC">
      <w:pPr>
        <w:numPr>
          <w:ilvl w:val="0"/>
          <w:numId w:val="47"/>
        </w:numPr>
        <w:spacing w:lineRule="auto" w:line="360" w:after="0"/>
        <w:ind w:left="0"/>
        <w:rPr>
          <w:rFonts w:cs="Times New Roman" w:eastAsia="Times New Roman"/>
          <w:sz w:val="20"/>
          <w:lang w:eastAsia="hr-HR"/>
        </w:rPr>
      </w:pPr>
    </w:p>
    <w:p w:rsidRDefault="006252DC" w:rsidP="006252DC" w:rsidR="006252DC" w:rsidRPr="006252DC">
      <w:pPr>
        <w:numPr>
          <w:ilvl w:val="0"/>
          <w:numId w:val="47"/>
        </w:numPr>
        <w:spacing w:lineRule="auto" w:line="360" w:after="0"/>
        <w:ind w:left="0"/>
        <w:rPr>
          <w:rFonts w:cs="Times New Roman" w:eastAsia="Times New Roman"/>
          <w:sz w:val="20"/>
          <w:lang w:eastAsia="hr-HR"/>
        </w:rPr>
      </w:pPr>
    </w:p>
    <w:p w:rsidRDefault="006252DC" w:rsidP="006252DC" w:rsidR="006252DC" w:rsidRPr="006252DC">
      <w:pPr>
        <w:numPr>
          <w:ilvl w:val="0"/>
          <w:numId w:val="47"/>
        </w:numPr>
        <w:spacing w:lineRule="auto" w:line="360" w:after="0"/>
        <w:ind w:left="0"/>
        <w:jc w:val="center"/>
        <w:rPr>
          <w:rFonts w:cs="Times New Roman" w:eastAsia="Times New Roman"/>
          <w:sz w:val="20"/>
          <w:lang w:eastAsia="hr-HR"/>
        </w:rPr>
      </w:pPr>
      <w:r w:rsidRPr="006252DC">
        <w:rPr>
          <w:rFonts w:cs="Times New Roman" w:eastAsia="Times New Roman"/>
          <w:noProof/>
          <w:lang w:eastAsia="hr-HR"/>
        </w:rPr>
        <w:drawing>
          <wp:inline distR="0" distL="0" distB="0" distT="0">
            <wp:extent cy="2758440" cx="5097780"/>
            <wp:effectExtent b="3810" r="7620" t="0" l="0"/>
            <wp:docPr descr="Slikovni rezultat za Projektiranje i gra&amp;dstrok;enje gra&amp;dstrok;evina te stru&amp;ccaron;ni nadzor gra&amp;dstrok;enja" name="Picture 14" id="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Slikovni rezultat za Projektiranje i gra&amp;dstrok;enje gra&amp;dstrok;evina te stru&amp;ccaron;ni nadzor gra&amp;dstrok;enja" name="Picture 14" id="0"/>
                    <pic:cNvPicPr>
                      <a:picLocks noChangeArrowheads="true" noChangeAspect="true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758440" cx="509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6252DC" w:rsidP="006252DC" w:rsidR="006252DC" w:rsidRPr="006252DC">
      <w:pPr>
        <w:numPr>
          <w:ilvl w:val="0"/>
          <w:numId w:val="47"/>
        </w:numPr>
        <w:spacing w:lineRule="auto" w:line="360" w:after="0"/>
        <w:ind w:left="0"/>
        <w:jc w:val="center"/>
        <w:rPr>
          <w:rFonts w:cs="Times New Roman" w:eastAsia="Times New Roman"/>
          <w:sz w:val="20"/>
          <w:lang w:eastAsia="hr-HR"/>
        </w:rPr>
      </w:pPr>
      <w:r w:rsidRPr="006252DC">
        <w:rPr>
          <w:rFonts w:cs="Times New Roman" w:eastAsia="Times New Roman"/>
          <w:sz w:val="20"/>
          <w:lang w:eastAsia="hr-HR"/>
        </w:rPr>
        <w:br w:type="page"/>
      </w:r>
    </w:p>
    <w:p w:rsidRDefault="006252DC" w:rsidP="006252DC" w:rsidR="006252DC" w:rsidRPr="006252DC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  <w:color w:val="4F81BD"/>
        </w:rPr>
      </w:pPr>
      <w:bookmarkStart w:name="_Toc482047554" w:id="58"/>
      <w:bookmarkStart w:name="_Toc477898304" w:id="59"/>
      <w:bookmarkStart w:name="_Toc472012455" w:id="60"/>
      <w:bookmarkStart w:name="_Toc451235625" w:id="61"/>
      <w:r w:rsidRPr="006252DC">
        <w:rPr>
          <w:rFonts w:cs="Times New Roman" w:eastAsia="Times New Roman"/>
          <w:b/>
          <w:color w:val="4F81BD"/>
        </w:rPr>
        <w:lastRenderedPageBreak/>
        <w:t>3. OPIS MJERA  FINANCIJSKOG  RESTRUKTURIRANJA I IZRAČUN NJIHOVIH UČINAKA NA MANJAK LIKVIDNIH SREDSTAVA</w:t>
      </w:r>
      <w:bookmarkEnd w:id="58"/>
      <w:bookmarkEnd w:id="59"/>
      <w:bookmarkEnd w:id="60"/>
      <w:bookmarkEnd w:id="61"/>
    </w:p>
    <w:p w:rsidRDefault="006252DC" w:rsidP="006252DC" w:rsidR="006252DC" w:rsidRPr="006252DC">
      <w:pPr>
        <w:numPr>
          <w:ilvl w:val="0"/>
          <w:numId w:val="47"/>
        </w:numPr>
        <w:spacing w:lineRule="auto" w:line="360" w:after="0"/>
        <w:ind w:left="0"/>
        <w:rPr>
          <w:rFonts w:cs="Times New Roman" w:eastAsia="Times New Roman"/>
          <w:b/>
          <w:color w:val="4F81BD"/>
          <w:lang w:eastAsia="hr-HR"/>
        </w:rPr>
      </w:pPr>
    </w:p>
    <w:p w:rsidRDefault="006252DC" w:rsidP="006252DC" w:rsidR="006252DC" w:rsidRPr="006252DC">
      <w:pPr>
        <w:snapToGrid w:val="false"/>
        <w:spacing w:lineRule="auto" w:line="360" w:after="0"/>
        <w:jc w:val="both"/>
        <w:rPr>
          <w:rFonts w:cs="Times New Roman" w:eastAsia="Times New Roman" w:hAnsi="Arial" w:ascii="Arial"/>
          <w:color w:val="000000"/>
          <w:sz w:val="20"/>
          <w:szCs w:val="20"/>
          <w:lang w:val="fr-FR"/>
        </w:rPr>
      </w:pPr>
      <w:r w:rsidRPr="006252DC">
        <w:rPr>
          <w:rFonts w:cs="Times New Roman" w:eastAsia="Times New Roman"/>
        </w:rPr>
        <w:t>Vjerovnici koji sudjeluju u predstečajnom postupku, svrstani</w:t>
      </w:r>
      <w:r w:rsidRPr="006252DC">
        <w:rPr>
          <w:rFonts w:cs="Times New Roman" w:eastAsia="Times New Roman"/>
          <w:color w:val="000000"/>
        </w:rPr>
        <w:t xml:space="preserve"> su u  jednu grupu vjerovnika, a koji čine ukupne obveze društva.</w:t>
      </w:r>
    </w:p>
    <w:p w:rsidRDefault="006252DC" w:rsidP="006252DC" w:rsidR="006252DC" w:rsidRPr="006252DC">
      <w:pPr>
        <w:snapToGrid w:val="false"/>
        <w:spacing w:lineRule="auto" w:line="360" w:after="0"/>
        <w:jc w:val="center"/>
        <w:rPr>
          <w:rFonts w:cs="Times New Roman" w:eastAsia="Times New Roman"/>
          <w:i/>
          <w:color w:val="FF6600"/>
        </w:rPr>
      </w:pPr>
    </w:p>
    <w:p w:rsidRDefault="006252DC" w:rsidP="006252DC" w:rsidR="006252DC" w:rsidRPr="006252DC">
      <w:pPr>
        <w:snapToGrid w:val="false"/>
        <w:spacing w:lineRule="auto" w:line="360" w:after="0"/>
        <w:jc w:val="center"/>
        <w:rPr>
          <w:rFonts w:cs="Times New Roman" w:eastAsia="Times New Roman"/>
          <w:i/>
        </w:rPr>
      </w:pPr>
      <w:r w:rsidRPr="006252DC">
        <w:rPr>
          <w:rFonts w:cs="Times New Roman" w:eastAsia="Times New Roman"/>
          <w:i/>
        </w:rPr>
        <w:t>Tablica 1: Financijsko restrukturiranje</w:t>
      </w:r>
    </w:p>
    <w:tbl>
      <w:tblPr>
        <w:tblW w:type="dxa" w:w="8490"/>
        <w:jc w:val="center"/>
        <w:tblLook w:val="04A0" w:noVBand="1" w:noHBand="0" w:lastColumn="0" w:firstColumn="1" w:lastRow="0" w:firstRow="1"/>
      </w:tblPr>
      <w:tblGrid>
        <w:gridCol w:w="3670"/>
        <w:gridCol w:w="1540"/>
        <w:gridCol w:w="1960"/>
        <w:gridCol w:w="1320"/>
      </w:tblGrid>
      <w:tr w:rsidTr="006252DC" w:rsidR="006252DC" w:rsidRPr="006252DC">
        <w:trPr>
          <w:trHeight w:val="320"/>
          <w:jc w:val="center"/>
        </w:trPr>
        <w:tc>
          <w:tcPr>
            <w:tcW w:type="dxa" w:w="3670"/>
            <w:vMerge w:val="restart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Vjerovnik</w:t>
            </w:r>
          </w:p>
        </w:tc>
        <w:tc>
          <w:tcPr>
            <w:tcW w:type="dxa" w:w="1540"/>
            <w:vMerge w:val="restart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Visina tražbine</w:t>
            </w:r>
          </w:p>
        </w:tc>
        <w:tc>
          <w:tcPr>
            <w:tcW w:type="dxa" w:w="196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Prijedlog izmirenja</w:t>
            </w:r>
          </w:p>
        </w:tc>
        <w:tc>
          <w:tcPr>
            <w:tcW w:type="dxa" w:w="1320"/>
            <w:vMerge w:val="restart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Struktura</w:t>
            </w:r>
          </w:p>
        </w:tc>
      </w:tr>
      <w:tr w:rsidTr="006252DC" w:rsidR="006252DC" w:rsidRPr="006252DC">
        <w:trPr>
          <w:trHeight w:val="320"/>
          <w:jc w:val="center"/>
        </w:trPr>
        <w:tc>
          <w:tcPr>
            <w:tcW w:type="auto" w:w="0"/>
            <w:vMerge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</w:p>
        </w:tc>
        <w:tc>
          <w:tcPr>
            <w:tcW w:type="auto" w:w="0"/>
            <w:vMerge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</w:p>
        </w:tc>
        <w:tc>
          <w:tcPr>
            <w:tcW w:type="dxa" w:w="19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Rok</w:t>
            </w:r>
          </w:p>
        </w:tc>
        <w:tc>
          <w:tcPr>
            <w:tcW w:type="auto" w:w="0"/>
            <w:vMerge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</w:p>
        </w:tc>
      </w:tr>
      <w:tr w:rsidTr="006252DC" w:rsidR="006252DC" w:rsidRPr="006252DC">
        <w:trPr>
          <w:trHeight w:val="320"/>
          <w:jc w:val="center"/>
        </w:trPr>
        <w:tc>
          <w:tcPr>
            <w:tcW w:type="dxa" w:w="367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VJEROVNICI</w:t>
            </w:r>
          </w:p>
        </w:tc>
        <w:tc>
          <w:tcPr>
            <w:tcW w:type="dxa" w:w="15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4.589.420,45</w:t>
            </w:r>
          </w:p>
        </w:tc>
        <w:tc>
          <w:tcPr>
            <w:tcW w:type="dxa" w:w="19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1+3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100,00%</w:t>
            </w:r>
          </w:p>
        </w:tc>
      </w:tr>
      <w:tr w:rsidTr="006252DC" w:rsidR="006252DC" w:rsidRPr="006252DC">
        <w:trPr>
          <w:trHeight w:val="320"/>
          <w:jc w:val="center"/>
        </w:trPr>
        <w:tc>
          <w:tcPr>
            <w:tcW w:type="dxa" w:w="367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UKUPNO BEZUVJETNE OBVEZE:</w:t>
            </w:r>
          </w:p>
        </w:tc>
        <w:tc>
          <w:tcPr>
            <w:tcW w:type="dxa" w:w="15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4.589.420,45</w:t>
            </w:r>
          </w:p>
        </w:tc>
        <w:tc>
          <w:tcPr>
            <w:tcW w:type="dxa" w:w="19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100,00%</w:t>
            </w:r>
          </w:p>
        </w:tc>
      </w:tr>
      <w:tr w:rsidTr="006252DC" w:rsidR="006252DC" w:rsidRPr="006252DC">
        <w:trPr>
          <w:trHeight w:val="320"/>
          <w:jc w:val="center"/>
        </w:trPr>
        <w:tc>
          <w:tcPr>
            <w:tcW w:type="dxa" w:w="367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 xml:space="preserve">Razlučni vjerovnici </w:t>
            </w:r>
          </w:p>
        </w:tc>
        <w:tc>
          <w:tcPr>
            <w:tcW w:type="dxa" w:w="15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0,00</w:t>
            </w:r>
          </w:p>
        </w:tc>
        <w:tc>
          <w:tcPr>
            <w:tcW w:type="dxa" w:w="19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-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-</w:t>
            </w:r>
          </w:p>
        </w:tc>
      </w:tr>
      <w:tr w:rsidTr="006252DC" w:rsidR="006252DC" w:rsidRPr="006252DC">
        <w:trPr>
          <w:trHeight w:val="320"/>
          <w:jc w:val="center"/>
        </w:trPr>
        <w:tc>
          <w:tcPr>
            <w:tcW w:type="dxa" w:w="367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 xml:space="preserve">Izlučni vjerovnici </w:t>
            </w:r>
          </w:p>
        </w:tc>
        <w:tc>
          <w:tcPr>
            <w:tcW w:type="dxa" w:w="15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0,00</w:t>
            </w:r>
          </w:p>
        </w:tc>
        <w:tc>
          <w:tcPr>
            <w:tcW w:type="dxa" w:w="19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-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-</w:t>
            </w:r>
          </w:p>
        </w:tc>
      </w:tr>
      <w:tr w:rsidTr="006252DC" w:rsidR="006252DC" w:rsidRPr="006252DC">
        <w:trPr>
          <w:trHeight w:val="320"/>
          <w:jc w:val="center"/>
        </w:trPr>
        <w:tc>
          <w:tcPr>
            <w:tcW w:type="dxa" w:w="367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Prioritetne tražbine</w:t>
            </w:r>
          </w:p>
        </w:tc>
        <w:tc>
          <w:tcPr>
            <w:tcW w:type="dxa" w:w="15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0,00</w:t>
            </w:r>
          </w:p>
        </w:tc>
        <w:tc>
          <w:tcPr>
            <w:tcW w:type="dxa" w:w="19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PRIORITETNO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-</w:t>
            </w:r>
          </w:p>
        </w:tc>
      </w:tr>
      <w:tr w:rsidTr="006252DC" w:rsidR="006252DC" w:rsidRPr="006252DC">
        <w:trPr>
          <w:trHeight w:val="320"/>
          <w:jc w:val="center"/>
        </w:trPr>
        <w:tc>
          <w:tcPr>
            <w:tcW w:type="dxa" w:w="367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UKUPNO:</w:t>
            </w:r>
          </w:p>
        </w:tc>
        <w:tc>
          <w:tcPr>
            <w:tcW w:type="dxa" w:w="15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0,00</w:t>
            </w:r>
          </w:p>
        </w:tc>
        <w:tc>
          <w:tcPr>
            <w:tcW w:type="dxa" w:w="19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320"/>
          <w:jc w:val="center"/>
        </w:trPr>
        <w:tc>
          <w:tcPr>
            <w:tcW w:type="dxa" w:w="367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SVEUKUPNO:</w:t>
            </w:r>
          </w:p>
        </w:tc>
        <w:tc>
          <w:tcPr>
            <w:tcW w:type="dxa" w:w="15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4.589.420,45</w:t>
            </w:r>
          </w:p>
        </w:tc>
        <w:tc>
          <w:tcPr>
            <w:tcW w:type="dxa" w:w="19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 </w:t>
            </w:r>
          </w:p>
        </w:tc>
      </w:tr>
    </w:tbl>
    <w:p w:rsidRDefault="006252DC" w:rsidP="006252DC" w:rsidR="006252DC" w:rsidRPr="006252DC">
      <w:pPr>
        <w:snapToGrid w:val="false"/>
        <w:spacing w:lineRule="auto" w:line="360" w:after="0"/>
        <w:jc w:val="both"/>
        <w:rPr>
          <w:rFonts w:cs="Times New Roman" w:eastAsia="Times New Roman"/>
          <w:sz w:val="20"/>
          <w:lang w:eastAsia="hr-HR"/>
        </w:rPr>
      </w:pPr>
    </w:p>
    <w:p w:rsidRDefault="006252DC" w:rsidP="006252DC" w:rsidR="006252DC" w:rsidRPr="006252DC">
      <w:pPr>
        <w:numPr>
          <w:ilvl w:val="0"/>
          <w:numId w:val="47"/>
        </w:numPr>
        <w:spacing w:lineRule="auto" w:line="360" w:after="0"/>
        <w:ind w:left="0"/>
        <w:rPr>
          <w:rFonts w:cs="Times New Roman" w:eastAsia="Times New Roman"/>
          <w:sz w:val="20"/>
          <w:lang w:eastAsia="hr-HR"/>
        </w:rPr>
      </w:pPr>
    </w:p>
    <w:p w:rsidRDefault="006252DC" w:rsidP="006252DC" w:rsidR="006252DC" w:rsidRPr="006252DC">
      <w:pPr>
        <w:snapToGrid w:val="false"/>
        <w:spacing w:lineRule="auto" w:line="360" w:after="0"/>
        <w:jc w:val="both"/>
        <w:rPr>
          <w:rFonts w:cs="Times New Roman" w:eastAsia="Times New Roman"/>
          <w:lang w:eastAsia="hr-HR"/>
        </w:rPr>
      </w:pPr>
      <w:r w:rsidRPr="006252DC">
        <w:rPr>
          <w:rFonts w:cs="Times New Roman" w:eastAsia="Times New Roman"/>
          <w:lang w:eastAsia="hr-HR"/>
        </w:rPr>
        <w:t xml:space="preserve">U svrhu financijskog restrukturiranja društva potrebno je poduzeti određene mjere financijskog restrukturiranja, sukladno prijedlogu </w:t>
      </w:r>
      <w:r w:rsidRPr="006252DC">
        <w:rPr>
          <w:rFonts w:cs="Times New Roman" w:eastAsia="Times New Roman"/>
          <w:color w:val="000000"/>
          <w:lang w:eastAsia="hr-HR"/>
        </w:rPr>
        <w:t>predstečajnog postupka.</w:t>
      </w:r>
      <w:r w:rsidRPr="006252DC">
        <w:rPr>
          <w:rFonts w:cs="Times New Roman" w:eastAsia="Times New Roman"/>
          <w:lang w:eastAsia="hr-HR"/>
        </w:rPr>
        <w:t xml:space="preserve"> Na taj način tvrtka će stabilizirati poslovanje, te će joj se omogućiti provedba mjera operativnog restrukturiranja s ciljem uspostave održivog modela poslovanja. Mjere financijskog restrukturiranja odnose se na otpis dijela obaveza i reprogram ostatka duga. </w:t>
      </w:r>
    </w:p>
    <w:p w:rsidRDefault="006252DC" w:rsidP="006252DC" w:rsidR="006252DC" w:rsidRPr="006252DC">
      <w:pPr>
        <w:snapToGrid w:val="false"/>
        <w:spacing w:lineRule="auto" w:line="360" w:after="0"/>
        <w:jc w:val="both"/>
        <w:rPr>
          <w:rFonts w:cs="Times New Roman" w:eastAsia="Times New Roman"/>
          <w:color w:val="4F81BD"/>
        </w:rPr>
      </w:pPr>
    </w:p>
    <w:p w:rsidRDefault="006252DC" w:rsidP="006252DC" w:rsidR="006252DC" w:rsidRPr="006252DC">
      <w:pPr>
        <w:snapToGrid w:val="false"/>
        <w:spacing w:lineRule="auto" w:line="360" w:after="0"/>
        <w:jc w:val="both"/>
        <w:rPr>
          <w:rFonts w:cs="Times New Roman" w:eastAsia="Times New Roman" w:hAnsi="Arial" w:ascii="Arial"/>
          <w:b/>
          <w:sz w:val="20"/>
          <w:szCs w:val="20"/>
          <w:u w:val="single"/>
          <w:lang w:val="fr-FR"/>
        </w:rPr>
      </w:pPr>
      <w:r w:rsidRPr="006252DC">
        <w:rPr>
          <w:rFonts w:cs="Times New Roman" w:eastAsia="Times New Roman"/>
          <w:b/>
          <w:color w:val="000000"/>
          <w:u w:val="single"/>
        </w:rPr>
        <w:t>Prijedlog predstečajnog postupka po</w:t>
      </w:r>
      <w:r w:rsidRPr="006252DC">
        <w:rPr>
          <w:rFonts w:cs="Times New Roman" w:eastAsia="Times New Roman"/>
          <w:b/>
          <w:u w:val="single"/>
        </w:rPr>
        <w:t xml:space="preserve"> grupama vjerovnika: </w:t>
      </w:r>
    </w:p>
    <w:p w:rsidRDefault="006252DC" w:rsidP="006252DC" w:rsidR="006252DC" w:rsidRPr="006252DC">
      <w:pPr>
        <w:snapToGrid w:val="false"/>
        <w:spacing w:lineRule="auto" w:line="360" w:after="0"/>
        <w:jc w:val="both"/>
        <w:rPr>
          <w:rFonts w:cs="Times New Roman" w:eastAsia="Times New Roman"/>
        </w:rPr>
      </w:pPr>
    </w:p>
    <w:p w:rsidRDefault="006252DC" w:rsidP="006252DC" w:rsidR="006252DC" w:rsidRPr="006252DC">
      <w:pPr>
        <w:numPr>
          <w:ilvl w:val="0"/>
          <w:numId w:val="48"/>
        </w:numPr>
        <w:spacing w:lineRule="auto" w:line="360" w:after="0"/>
        <w:contextualSpacing/>
        <w:jc w:val="both"/>
        <w:rPr>
          <w:rFonts w:cs="Times New Roman" w:eastAsia="Times New Roman"/>
          <w:b/>
          <w:bCs/>
          <w:lang w:eastAsia="hr-HR"/>
        </w:rPr>
      </w:pPr>
      <w:r w:rsidRPr="006252DC">
        <w:rPr>
          <w:rFonts w:cs="Times New Roman" w:eastAsia="Times New Roman"/>
          <w:lang w:eastAsia="hr-HR"/>
        </w:rPr>
        <w:t xml:space="preserve">Dug prema grupi </w:t>
      </w:r>
      <w:r w:rsidRPr="006252DC">
        <w:rPr>
          <w:rFonts w:cs="Times New Roman" w:eastAsia="Times New Roman"/>
          <w:b/>
          <w:lang w:eastAsia="hr-HR"/>
        </w:rPr>
        <w:t xml:space="preserve">VJEROVNICI </w:t>
      </w:r>
      <w:r w:rsidRPr="006252DC">
        <w:rPr>
          <w:rFonts w:cs="Times New Roman" w:eastAsia="Times New Roman"/>
          <w:lang w:eastAsia="hr-HR"/>
        </w:rPr>
        <w:t xml:space="preserve">na dan 28.02.2017. godine iznosi </w:t>
      </w:r>
      <w:r w:rsidRPr="006252DC">
        <w:rPr>
          <w:rFonts w:cs="Times New Roman" w:eastAsia="Times New Roman"/>
          <w:color w:val="000000"/>
          <w:lang w:eastAsia="hr-HR"/>
        </w:rPr>
        <w:t xml:space="preserve">4.589.420,45 </w:t>
      </w:r>
      <w:r w:rsidRPr="006252DC">
        <w:rPr>
          <w:rFonts w:cs="Times New Roman" w:eastAsia="Times New Roman"/>
          <w:lang w:eastAsia="hr-HR"/>
        </w:rPr>
        <w:t xml:space="preserve">kn. Predlaže se otpis tražbina za 70%. Preostalih 30% tražbina otplatiti će se na 36 mjeseci uz dodatnih 12 mjeseci počeka, bez kamata, u jednakim mjesečnim anuitetima, počevši od pravomoćnosti Rješenja Trgovačkog suda o sklopljenom predstečajnom postupku, svakog 15-tog u mjesecu. </w:t>
      </w:r>
    </w:p>
    <w:p w:rsidRDefault="006252DC" w:rsidP="006252DC" w:rsidR="006252DC" w:rsidRPr="006252DC">
      <w:pPr>
        <w:spacing w:lineRule="auto" w:line="360" w:after="0"/>
        <w:ind w:left="720"/>
        <w:contextualSpacing/>
        <w:jc w:val="both"/>
        <w:rPr>
          <w:rFonts w:cs="Times New Roman" w:eastAsia="Times New Roman"/>
          <w:b/>
          <w:bCs/>
          <w:sz w:val="15"/>
          <w:szCs w:val="20"/>
          <w:lang w:eastAsia="hr-HR"/>
        </w:rPr>
      </w:pPr>
    </w:p>
    <w:tbl>
      <w:tblPr>
        <w:tblW w:type="dxa" w:w="10220"/>
        <w:tblInd w:type="dxa" w:w="113"/>
        <w:tblLook w:val="04A0" w:noVBand="1" w:noHBand="0" w:lastColumn="0" w:firstColumn="1" w:lastRow="0" w:firstRow="1"/>
      </w:tblPr>
      <w:tblGrid>
        <w:gridCol w:w="494"/>
        <w:gridCol w:w="1472"/>
        <w:gridCol w:w="2800"/>
        <w:gridCol w:w="1266"/>
        <w:gridCol w:w="1266"/>
        <w:gridCol w:w="1450"/>
        <w:gridCol w:w="1472"/>
      </w:tblGrid>
      <w:tr w:rsidTr="006252DC" w:rsidR="006252DC" w:rsidRPr="006252DC">
        <w:trPr>
          <w:trHeight w:val="640"/>
        </w:trPr>
        <w:tc>
          <w:tcPr>
            <w:tcW w:type="dxa" w:w="49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  <w:t>RB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  <w:t>OIB</w:t>
            </w:r>
          </w:p>
        </w:tc>
        <w:tc>
          <w:tcPr>
            <w:tcW w:type="dxa" w:w="280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  <w:t xml:space="preserve">NAZIV VJEROVNIKA  </w:t>
            </w:r>
          </w:p>
        </w:tc>
        <w:tc>
          <w:tcPr>
            <w:tcW w:type="dxa" w:w="126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  <w:t>IZNOS OBVEZE</w:t>
            </w:r>
          </w:p>
        </w:tc>
        <w:tc>
          <w:tcPr>
            <w:tcW w:type="dxa" w:w="126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  <w:t>OTPIS</w:t>
            </w:r>
          </w:p>
        </w:tc>
        <w:tc>
          <w:tcPr>
            <w:tcW w:type="dxa" w:w="145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  <w:t>PREOSTALO ZA OTPLATU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  <w:t>STRUKTURA</w:t>
            </w:r>
          </w:p>
        </w:tc>
      </w:tr>
      <w:tr w:rsidTr="006252DC" w:rsidR="006252DC" w:rsidRPr="006252DC">
        <w:trPr>
          <w:trHeight w:val="320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1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79061449459</w:t>
            </w:r>
          </w:p>
        </w:tc>
        <w:tc>
          <w:tcPr>
            <w:tcW w:type="dxa" w:w="28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PRVA LIGA vl. IVICA VIDUKA</w:t>
            </w:r>
          </w:p>
        </w:tc>
        <w:tc>
          <w:tcPr>
            <w:tcW w:type="dxa" w:w="12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20.494,06</w:t>
            </w:r>
          </w:p>
        </w:tc>
        <w:tc>
          <w:tcPr>
            <w:tcW w:type="dxa" w:w="12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14.345,84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6.148,22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0,45%</w:t>
            </w:r>
          </w:p>
        </w:tc>
      </w:tr>
      <w:tr w:rsidTr="006252DC" w:rsidR="006252DC" w:rsidRPr="006252DC">
        <w:trPr>
          <w:trHeight w:val="320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lastRenderedPageBreak/>
              <w:t>2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74056056752</w:t>
            </w:r>
          </w:p>
        </w:tc>
        <w:tc>
          <w:tcPr>
            <w:tcW w:type="dxa" w:w="28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FORCH d.o.o.</w:t>
            </w:r>
          </w:p>
        </w:tc>
        <w:tc>
          <w:tcPr>
            <w:tcW w:type="dxa" w:w="12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614,60</w:t>
            </w:r>
          </w:p>
        </w:tc>
        <w:tc>
          <w:tcPr>
            <w:tcW w:type="dxa" w:w="12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430,22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184,38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0,01%</w:t>
            </w:r>
          </w:p>
        </w:tc>
      </w:tr>
      <w:tr w:rsidTr="006252DC" w:rsidR="006252DC" w:rsidRPr="006252DC">
        <w:trPr>
          <w:trHeight w:val="320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3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36523098396</w:t>
            </w:r>
          </w:p>
        </w:tc>
        <w:tc>
          <w:tcPr>
            <w:tcW w:type="dxa" w:w="28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EFFECTUS d.o.o.</w:t>
            </w:r>
          </w:p>
        </w:tc>
        <w:tc>
          <w:tcPr>
            <w:tcW w:type="dxa" w:w="12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2.400,00</w:t>
            </w:r>
          </w:p>
        </w:tc>
        <w:tc>
          <w:tcPr>
            <w:tcW w:type="dxa" w:w="12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1.680,00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720,00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0,05%</w:t>
            </w:r>
          </w:p>
        </w:tc>
      </w:tr>
      <w:tr w:rsidTr="006252DC" w:rsidR="006252DC" w:rsidRPr="006252DC">
        <w:trPr>
          <w:trHeight w:val="320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4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83612640175</w:t>
            </w:r>
          </w:p>
        </w:tc>
        <w:tc>
          <w:tcPr>
            <w:tcW w:type="dxa" w:w="28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LUNIKO INŽENJERING d.o.o.</w:t>
            </w:r>
          </w:p>
        </w:tc>
        <w:tc>
          <w:tcPr>
            <w:tcW w:type="dxa" w:w="12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13.687,50</w:t>
            </w:r>
          </w:p>
        </w:tc>
        <w:tc>
          <w:tcPr>
            <w:tcW w:type="dxa" w:w="12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9.581,25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4.106,25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0,30%</w:t>
            </w:r>
          </w:p>
        </w:tc>
      </w:tr>
      <w:tr w:rsidTr="006252DC" w:rsidR="006252DC" w:rsidRPr="006252DC">
        <w:trPr>
          <w:trHeight w:val="320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5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87910130484</w:t>
            </w:r>
          </w:p>
        </w:tc>
        <w:tc>
          <w:tcPr>
            <w:tcW w:type="dxa" w:w="28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TRANSPORT BETON LUBINA d.o.o.</w:t>
            </w:r>
          </w:p>
        </w:tc>
        <w:tc>
          <w:tcPr>
            <w:tcW w:type="dxa" w:w="12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15.577,56</w:t>
            </w:r>
          </w:p>
        </w:tc>
        <w:tc>
          <w:tcPr>
            <w:tcW w:type="dxa" w:w="12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10.904,29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4.673,27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0,34%</w:t>
            </w:r>
          </w:p>
        </w:tc>
      </w:tr>
      <w:tr w:rsidTr="006252DC" w:rsidR="006252DC" w:rsidRPr="006252DC">
        <w:trPr>
          <w:trHeight w:val="320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6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78913530404</w:t>
            </w:r>
          </w:p>
        </w:tc>
        <w:tc>
          <w:tcPr>
            <w:tcW w:type="dxa" w:w="28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JUKIĆ DAM d.o.o.</w:t>
            </w:r>
          </w:p>
        </w:tc>
        <w:tc>
          <w:tcPr>
            <w:tcW w:type="dxa" w:w="12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23.452,32</w:t>
            </w:r>
          </w:p>
        </w:tc>
        <w:tc>
          <w:tcPr>
            <w:tcW w:type="dxa" w:w="12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16.416,62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7.035,70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0,51%</w:t>
            </w:r>
          </w:p>
        </w:tc>
      </w:tr>
      <w:tr w:rsidTr="006252DC" w:rsidR="006252DC" w:rsidRPr="006252DC">
        <w:trPr>
          <w:trHeight w:val="320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7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26004523816</w:t>
            </w:r>
          </w:p>
        </w:tc>
        <w:tc>
          <w:tcPr>
            <w:tcW w:type="dxa" w:w="28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TRGOMETAL d.o.o.</w:t>
            </w:r>
          </w:p>
        </w:tc>
        <w:tc>
          <w:tcPr>
            <w:tcW w:type="dxa" w:w="12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33.066,08</w:t>
            </w:r>
          </w:p>
        </w:tc>
        <w:tc>
          <w:tcPr>
            <w:tcW w:type="dxa" w:w="12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23.146,26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9.919,82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0,72%</w:t>
            </w:r>
          </w:p>
        </w:tc>
      </w:tr>
      <w:tr w:rsidTr="006252DC" w:rsidR="006252DC" w:rsidRPr="006252DC">
        <w:trPr>
          <w:trHeight w:val="320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8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11059217210</w:t>
            </w:r>
          </w:p>
        </w:tc>
        <w:tc>
          <w:tcPr>
            <w:tcW w:type="dxa" w:w="28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VIGINES</w:t>
            </w:r>
          </w:p>
        </w:tc>
        <w:tc>
          <w:tcPr>
            <w:tcW w:type="dxa" w:w="12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48.325,00</w:t>
            </w:r>
          </w:p>
        </w:tc>
        <w:tc>
          <w:tcPr>
            <w:tcW w:type="dxa" w:w="12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33.827,50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14.497,50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1,05%</w:t>
            </w:r>
          </w:p>
        </w:tc>
      </w:tr>
      <w:tr w:rsidTr="006252DC" w:rsidR="006252DC" w:rsidRPr="006252DC">
        <w:trPr>
          <w:trHeight w:val="320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9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18683136487</w:t>
            </w:r>
          </w:p>
        </w:tc>
        <w:tc>
          <w:tcPr>
            <w:tcW w:type="dxa" w:w="28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RH, Ministarstvo financija, Porezna uprava</w:t>
            </w:r>
          </w:p>
        </w:tc>
        <w:tc>
          <w:tcPr>
            <w:tcW w:type="dxa" w:w="12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1.167.806,55</w:t>
            </w:r>
          </w:p>
        </w:tc>
        <w:tc>
          <w:tcPr>
            <w:tcW w:type="dxa" w:w="12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817.464,59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350.341,97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25,45%</w:t>
            </w:r>
          </w:p>
        </w:tc>
      </w:tr>
      <w:tr w:rsidTr="006252DC" w:rsidR="006252DC" w:rsidRPr="006252DC">
        <w:trPr>
          <w:trHeight w:val="320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10</w:t>
            </w:r>
          </w:p>
        </w:tc>
        <w:tc>
          <w:tcPr>
            <w:tcW w:type="dxa" w:w="147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</w:pPr>
            <w:r w:rsidRPr="006252DC">
              <w:rPr>
                <w:rFonts w:cs="Times New Roman" w:eastAsia="Calibri"/>
                <w:color w:val="000000"/>
                <w:sz w:val="20"/>
                <w:szCs w:val="20"/>
                <w:lang w:eastAsia="en-GB" w:val="en-GB"/>
              </w:rPr>
              <w:t>42709941217</w:t>
            </w:r>
          </w:p>
        </w:tc>
        <w:tc>
          <w:tcPr>
            <w:tcW w:type="dxa" w:w="280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</w:pPr>
            <w:r w:rsidRPr="006252DC">
              <w:rPr>
                <w:rFonts w:cs="Times New Roman" w:eastAsia="Calibri"/>
                <w:color w:val="000000"/>
                <w:sz w:val="20"/>
                <w:szCs w:val="20"/>
                <w:lang w:eastAsia="en-GB" w:val="en-GB"/>
              </w:rPr>
              <w:t>MATE VIDUKA</w:t>
            </w:r>
          </w:p>
        </w:tc>
        <w:tc>
          <w:tcPr>
            <w:tcW w:type="dxa" w:w="126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</w:pPr>
            <w:r w:rsidRPr="006252DC">
              <w:rPr>
                <w:rFonts w:cs="Times New Roman" w:eastAsia="Calibri"/>
                <w:color w:val="000000"/>
                <w:sz w:val="20"/>
                <w:szCs w:val="20"/>
                <w:lang w:eastAsia="en-GB" w:val="en-GB"/>
              </w:rPr>
              <w:t>20.000,00</w:t>
            </w:r>
          </w:p>
        </w:tc>
        <w:tc>
          <w:tcPr>
            <w:tcW w:type="dxa" w:w="126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</w:pPr>
            <w:r w:rsidRPr="006252DC">
              <w:rPr>
                <w:rFonts w:cs="Times New Roman" w:eastAsia="Calibri"/>
                <w:color w:val="000000"/>
                <w:sz w:val="20"/>
                <w:szCs w:val="20"/>
                <w:lang w:eastAsia="en-GB" w:val="en-GB"/>
              </w:rPr>
              <w:t>14.000,00</w:t>
            </w:r>
          </w:p>
        </w:tc>
        <w:tc>
          <w:tcPr>
            <w:tcW w:type="dxa" w:w="145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</w:pPr>
            <w:r w:rsidRPr="006252DC">
              <w:rPr>
                <w:rFonts w:cs="Times New Roman" w:eastAsia="Calibri"/>
                <w:color w:val="000000"/>
                <w:sz w:val="20"/>
                <w:szCs w:val="20"/>
                <w:lang w:eastAsia="en-GB" w:val="en-GB"/>
              </w:rPr>
              <w:t>6.000,00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</w:pPr>
            <w:r w:rsidRPr="006252DC">
              <w:rPr>
                <w:rFonts w:cs="Times New Roman" w:eastAsia="Calibri"/>
                <w:color w:val="000000"/>
                <w:sz w:val="20"/>
                <w:szCs w:val="20"/>
                <w:lang w:eastAsia="en-GB" w:val="en-GB"/>
              </w:rPr>
              <w:t>0,44%</w:t>
            </w:r>
          </w:p>
        </w:tc>
      </w:tr>
      <w:tr w:rsidTr="006252DC" w:rsidR="006252DC" w:rsidRPr="006252DC">
        <w:trPr>
          <w:trHeight w:val="320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FF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sz w:val="20"/>
                <w:lang w:eastAsia="en-GB" w:val="en-GB"/>
              </w:rPr>
              <w:t>11</w:t>
            </w:r>
          </w:p>
        </w:tc>
        <w:tc>
          <w:tcPr>
            <w:tcW w:type="dxa" w:w="147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FF0000"/>
                <w:sz w:val="20"/>
                <w:szCs w:val="20"/>
                <w:lang w:eastAsia="en-GB" w:val="en-GB"/>
              </w:rPr>
            </w:pPr>
            <w:r w:rsidRPr="006252DC">
              <w:rPr>
                <w:rFonts w:cs="Times New Roman" w:eastAsia="Calibri"/>
                <w:color w:val="000000"/>
                <w:sz w:val="20"/>
                <w:szCs w:val="20"/>
                <w:lang w:eastAsia="en-GB" w:val="en-GB"/>
              </w:rPr>
              <w:t>79061449459</w:t>
            </w:r>
          </w:p>
        </w:tc>
        <w:tc>
          <w:tcPr>
            <w:tcW w:type="dxa" w:w="28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FF0000"/>
                <w:sz w:val="20"/>
                <w:szCs w:val="20"/>
                <w:lang w:eastAsia="en-GB" w:val="en-GB"/>
              </w:rPr>
            </w:pPr>
            <w:r w:rsidRPr="006252DC">
              <w:rPr>
                <w:rFonts w:cs="Times New Roman" w:eastAsia="Calibri"/>
                <w:color w:val="000000"/>
                <w:sz w:val="20"/>
                <w:szCs w:val="20"/>
                <w:lang w:eastAsia="en-GB" w:val="en-GB"/>
              </w:rPr>
              <w:t>IVICA VIDUKA</w:t>
            </w:r>
          </w:p>
        </w:tc>
        <w:tc>
          <w:tcPr>
            <w:tcW w:type="dxa" w:w="12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FF0000"/>
                <w:sz w:val="20"/>
                <w:szCs w:val="20"/>
                <w:lang w:eastAsia="en-GB" w:val="en-GB"/>
              </w:rPr>
            </w:pPr>
            <w:r w:rsidRPr="006252DC">
              <w:rPr>
                <w:rFonts w:cs="Times New Roman" w:eastAsia="Calibri"/>
                <w:color w:val="000000"/>
                <w:sz w:val="20"/>
                <w:szCs w:val="20"/>
                <w:lang w:eastAsia="en-GB" w:val="en-GB"/>
              </w:rPr>
              <w:t>1.876.500,00</w:t>
            </w:r>
          </w:p>
        </w:tc>
        <w:tc>
          <w:tcPr>
            <w:tcW w:type="dxa" w:w="12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</w:pPr>
            <w:r w:rsidRPr="006252DC">
              <w:rPr>
                <w:rFonts w:cs="Times New Roman" w:eastAsia="Calibri"/>
                <w:color w:val="000000"/>
                <w:sz w:val="20"/>
                <w:szCs w:val="20"/>
                <w:lang w:eastAsia="en-GB" w:val="en-GB"/>
              </w:rPr>
              <w:t>1.313.550,00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</w:pPr>
            <w:r w:rsidRPr="006252DC">
              <w:rPr>
                <w:rFonts w:cs="Times New Roman" w:eastAsia="Calibri"/>
                <w:color w:val="000000"/>
                <w:sz w:val="20"/>
                <w:szCs w:val="20"/>
                <w:lang w:eastAsia="en-GB" w:val="en-GB"/>
              </w:rPr>
              <w:t>562.950,00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FF0000"/>
                <w:sz w:val="20"/>
                <w:szCs w:val="20"/>
                <w:lang w:eastAsia="en-GB" w:val="en-GB"/>
              </w:rPr>
            </w:pPr>
            <w:r w:rsidRPr="006252DC">
              <w:rPr>
                <w:rFonts w:cs="Times New Roman" w:eastAsia="Calibri"/>
                <w:color w:val="000000"/>
                <w:sz w:val="20"/>
                <w:szCs w:val="20"/>
                <w:lang w:eastAsia="en-GB" w:val="en-GB"/>
              </w:rPr>
              <w:t>40,89%</w:t>
            </w:r>
          </w:p>
        </w:tc>
      </w:tr>
      <w:tr w:rsidTr="006252DC" w:rsidR="006252DC" w:rsidRPr="006252DC">
        <w:trPr>
          <w:trHeight w:val="208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sz w:val="20"/>
                <w:lang w:eastAsia="en-GB" w:val="en-GB"/>
              </w:rPr>
              <w:t>12</w:t>
            </w:r>
          </w:p>
        </w:tc>
        <w:tc>
          <w:tcPr>
            <w:tcW w:type="dxa" w:w="147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sz w:val="20"/>
                <w:lang w:eastAsia="en-GB" w:val="en-GB"/>
              </w:rPr>
              <w:t>98311716168</w:t>
            </w:r>
          </w:p>
        </w:tc>
        <w:tc>
          <w:tcPr>
            <w:tcW w:type="dxa" w:w="28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sz w:val="20"/>
                <w:lang w:eastAsia="en-GB" w:val="en-GB"/>
              </w:rPr>
              <w:t> BABILONA d.o.o.</w:t>
            </w:r>
          </w:p>
        </w:tc>
        <w:tc>
          <w:tcPr>
            <w:tcW w:type="dxa" w:w="12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sz w:val="20"/>
                <w:lang w:eastAsia="en-GB" w:val="en-GB"/>
              </w:rPr>
              <w:t>1.367.482,87</w:t>
            </w:r>
          </w:p>
        </w:tc>
        <w:tc>
          <w:tcPr>
            <w:tcW w:type="dxa" w:w="12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sz w:val="20"/>
                <w:lang w:eastAsia="en-GB" w:val="en-GB"/>
              </w:rPr>
              <w:t>957.238,01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sz w:val="20"/>
                <w:lang w:eastAsia="en-GB" w:val="en-GB"/>
              </w:rPr>
              <w:t>410.244,86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sz w:val="20"/>
                <w:lang w:eastAsia="en-GB" w:val="en-GB"/>
              </w:rPr>
              <w:t>29,80%</w:t>
            </w:r>
          </w:p>
        </w:tc>
      </w:tr>
      <w:tr w:rsidTr="006252DC" w:rsidR="006252DC" w:rsidRPr="006252DC">
        <w:trPr>
          <w:trHeight w:val="300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  <w:t> 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  <w:t> </w:t>
            </w:r>
          </w:p>
        </w:tc>
        <w:tc>
          <w:tcPr>
            <w:tcW w:type="dxa" w:w="28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  <w:t>Ukupno:</w:t>
            </w:r>
          </w:p>
        </w:tc>
        <w:tc>
          <w:tcPr>
            <w:tcW w:type="dxa" w:w="12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  <w:t>4.589.420,45</w:t>
            </w:r>
          </w:p>
        </w:tc>
        <w:tc>
          <w:tcPr>
            <w:tcW w:type="dxa" w:w="12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</w:pPr>
            <w:bookmarkStart w:name="OLE_LINK1" w:id="62"/>
            <w:r w:rsidRPr="006252DC"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  <w:t>3.212.594,32</w:t>
            </w:r>
            <w:bookmarkEnd w:id="62"/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  <w:t>1.376.826,14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  <w:t>100,00%</w:t>
            </w:r>
          </w:p>
        </w:tc>
      </w:tr>
    </w:tbl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sz w:val="20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>Efekt financijskog restrukturiranja očekuje se kroz poček od 12 mjeseci, čime će se društvu omogućiti ponovno uspostavljanje likvidnosti kroz dovršetak ugovorenih poslova i  naplatu potraživanja u iznosu od 585.203 kn. Kroz otpis obveza očekuje se financijsko rasterećenje u iznosu od 3.212.594,32 kn. Sve ovo omogućit će tvrtci  lakše vraćanje ostatka obveza.</w:t>
      </w: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6252DC" w:rsidP="006252DC" w:rsidR="006252DC" w:rsidRPr="006252DC">
      <w:pPr>
        <w:keepNext/>
        <w:spacing w:lineRule="auto" w:line="360" w:after="60" w:before="240"/>
        <w:ind w:left="60"/>
        <w:jc w:val="both"/>
        <w:outlineLvl w:val="1"/>
        <w:rPr>
          <w:rFonts w:cs="Times New Roman" w:eastAsia="Times New Roman"/>
          <w:b/>
          <w:bCs/>
          <w:iCs/>
          <w:color w:val="4F81BD"/>
          <w:lang w:eastAsia="hr-HR"/>
        </w:rPr>
      </w:pPr>
      <w:r w:rsidRPr="006252DC">
        <w:rPr>
          <w:rFonts w:cs="Times New Roman" w:eastAsia="Times New Roman"/>
          <w:color w:val="4F81BD"/>
          <w:sz w:val="20"/>
          <w:lang w:eastAsia="hr-HR"/>
        </w:rPr>
        <w:br w:type="page"/>
      </w:r>
      <w:bookmarkStart w:name="_Toc482047555" w:id="63"/>
      <w:bookmarkStart w:name="_Toc472012456" w:id="64"/>
      <w:r w:rsidRPr="006252DC">
        <w:rPr>
          <w:rFonts w:cs="Times New Roman" w:eastAsia="Times New Roman"/>
          <w:b/>
          <w:bCs/>
          <w:iCs/>
          <w:color w:val="4F81BD"/>
          <w:lang w:eastAsia="hr-HR"/>
        </w:rPr>
        <w:lastRenderedPageBreak/>
        <w:t>3.1.   Izračun financijskih mjera na manjak likvidnih sredstava</w:t>
      </w:r>
      <w:bookmarkEnd w:id="63"/>
      <w:bookmarkEnd w:id="64"/>
      <w:r w:rsidRPr="006252DC">
        <w:rPr>
          <w:rFonts w:cs="Times New Roman" w:eastAsia="Times New Roman"/>
          <w:b/>
          <w:bCs/>
          <w:iCs/>
          <w:color w:val="4F81BD"/>
          <w:lang w:eastAsia="hr-HR"/>
        </w:rPr>
        <w:t xml:space="preserve"> </w:t>
      </w:r>
    </w:p>
    <w:p w:rsidRDefault="006252DC" w:rsidP="006252DC" w:rsidR="006252DC" w:rsidRPr="006252DC">
      <w:pPr>
        <w:spacing w:after="0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 xml:space="preserve">Nakon provedenih mjera financijskog restrukturiranja, društvo </w:t>
      </w:r>
      <w:proofErr w:type="gramStart"/>
      <w:r w:rsidRPr="006252DC">
        <w:rPr>
          <w:rFonts w:cs="Times New Roman" w:eastAsia="Calibri"/>
          <w:lang w:eastAsia="en-GB" w:val="en-GB"/>
        </w:rPr>
        <w:t>će</w:t>
      </w:r>
      <w:proofErr w:type="gramEnd"/>
      <w:r w:rsidRPr="006252DC">
        <w:rPr>
          <w:rFonts w:cs="Times New Roman" w:eastAsia="Calibri"/>
          <w:lang w:eastAsia="en-GB" w:val="en-GB"/>
        </w:rPr>
        <w:t xml:space="preserve"> sanirati manjak likvidnih sredstava tako da će se ostvariti višak likvidnih sredstava u iznosu od </w:t>
      </w:r>
      <w:r w:rsidRPr="006252DC">
        <w:rPr>
          <w:rFonts w:cs="Times New Roman" w:eastAsia="Times New Roman"/>
          <w:b/>
          <w:bCs/>
          <w:sz w:val="22"/>
          <w:szCs w:val="22"/>
          <w:lang w:eastAsia="en-GB" w:val="en-GB"/>
        </w:rPr>
        <w:t xml:space="preserve">2.500.121 </w:t>
      </w:r>
      <w:r w:rsidRPr="006252DC">
        <w:rPr>
          <w:rFonts w:cs="Times New Roman" w:eastAsia="Calibri"/>
          <w:lang w:eastAsia="en-GB" w:val="en-GB"/>
        </w:rPr>
        <w:t>kn, što će omogućiti dugoročnu   financijsku likvidnost jer će sve kratkoročne obveze dijelomočno otpisati, a razliku pretvoriti u dugoročne obveze.</w:t>
      </w:r>
    </w:p>
    <w:p w:rsidRDefault="006252DC" w:rsidP="006252DC" w:rsidR="006252DC" w:rsidRPr="006252DC">
      <w:pPr>
        <w:spacing w:lineRule="auto" w:line="360" w:after="0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>Tablica:</w:t>
      </w:r>
    </w:p>
    <w:tbl>
      <w:tblPr>
        <w:tblW w:type="dxa" w:w="9116"/>
        <w:jc w:val="center"/>
        <w:tblLook w:val="04A0" w:noVBand="1" w:noHBand="0" w:lastColumn="0" w:firstColumn="1" w:lastRow="0" w:firstRow="1"/>
      </w:tblPr>
      <w:tblGrid>
        <w:gridCol w:w="7283"/>
        <w:gridCol w:w="1833"/>
      </w:tblGrid>
      <w:tr w:rsidTr="006252DC" w:rsidR="006252DC" w:rsidRPr="006252DC">
        <w:trPr>
          <w:trHeight w:val="237"/>
          <w:jc w:val="center"/>
        </w:trPr>
        <w:tc>
          <w:tcPr>
            <w:tcW w:type="dxa" w:w="728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Pozicija</w:t>
            </w:r>
          </w:p>
        </w:tc>
        <w:tc>
          <w:tcPr>
            <w:tcW w:type="dxa" w:w="183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Iznos</w:t>
            </w:r>
          </w:p>
        </w:tc>
      </w:tr>
      <w:tr w:rsidTr="006252DC" w:rsidR="006252DC" w:rsidRPr="006252DC">
        <w:trPr>
          <w:trHeight w:val="237"/>
          <w:jc w:val="center"/>
        </w:trPr>
        <w:tc>
          <w:tcPr>
            <w:tcW w:type="dxa" w:w="728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1. Alati, pogonski inventar i transportna imovina</w:t>
            </w:r>
          </w:p>
        </w:tc>
        <w:tc>
          <w:tcPr>
            <w:tcW w:type="dxa" w:w="183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5.000</w:t>
            </w:r>
          </w:p>
        </w:tc>
      </w:tr>
      <w:tr w:rsidTr="006252DC" w:rsidR="006252DC" w:rsidRPr="006252DC">
        <w:trPr>
          <w:trHeight w:val="237"/>
          <w:jc w:val="center"/>
        </w:trPr>
        <w:tc>
          <w:tcPr>
            <w:tcW w:type="dxa" w:w="728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2. Potraživanja od kupaca</w:t>
            </w:r>
          </w:p>
        </w:tc>
        <w:tc>
          <w:tcPr>
            <w:tcW w:type="dxa" w:w="183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585.203</w:t>
            </w:r>
          </w:p>
        </w:tc>
      </w:tr>
      <w:tr w:rsidTr="006252DC" w:rsidR="006252DC" w:rsidRPr="006252DC">
        <w:trPr>
          <w:trHeight w:val="237"/>
          <w:jc w:val="center"/>
        </w:trPr>
        <w:tc>
          <w:tcPr>
            <w:tcW w:type="dxa" w:w="728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3. Novac</w:t>
            </w:r>
          </w:p>
        </w:tc>
        <w:tc>
          <w:tcPr>
            <w:tcW w:type="dxa" w:w="183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973</w:t>
            </w:r>
          </w:p>
        </w:tc>
      </w:tr>
      <w:tr w:rsidTr="006252DC" w:rsidR="006252DC" w:rsidRPr="006252DC">
        <w:trPr>
          <w:trHeight w:val="237"/>
          <w:jc w:val="center"/>
        </w:trPr>
        <w:tc>
          <w:tcPr>
            <w:tcW w:type="dxa" w:w="728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UKUPNO LIKVIDNA IMOVINA:</w:t>
            </w:r>
          </w:p>
        </w:tc>
        <w:tc>
          <w:tcPr>
            <w:tcW w:type="dxa" w:w="183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591.176</w:t>
            </w:r>
          </w:p>
        </w:tc>
      </w:tr>
      <w:tr w:rsidTr="006252DC" w:rsidR="006252DC" w:rsidRPr="006252DC">
        <w:trPr>
          <w:trHeight w:val="237"/>
          <w:jc w:val="center"/>
        </w:trPr>
        <w:tc>
          <w:tcPr>
            <w:tcW w:type="dxa" w:w="728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1. Obveze za zajmove, depozite i slično</w:t>
            </w:r>
          </w:p>
        </w:tc>
        <w:tc>
          <w:tcPr>
            <w:tcW w:type="dxa" w:w="183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40.000</w:t>
            </w:r>
          </w:p>
        </w:tc>
      </w:tr>
      <w:tr w:rsidTr="006252DC" w:rsidR="006252DC" w:rsidRPr="006252DC">
        <w:trPr>
          <w:trHeight w:val="237"/>
          <w:jc w:val="center"/>
        </w:trPr>
        <w:tc>
          <w:tcPr>
            <w:tcW w:type="dxa" w:w="728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2. Obveze prema dobavljačima</w:t>
            </w:r>
          </w:p>
        </w:tc>
        <w:tc>
          <w:tcPr>
            <w:tcW w:type="dxa" w:w="183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116.730</w:t>
            </w:r>
          </w:p>
        </w:tc>
      </w:tr>
      <w:tr w:rsidTr="006252DC" w:rsidR="006252DC" w:rsidRPr="006252DC">
        <w:trPr>
          <w:trHeight w:val="237"/>
          <w:jc w:val="center"/>
        </w:trPr>
        <w:tc>
          <w:tcPr>
            <w:tcW w:type="dxa" w:w="728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3. Obveze  za poreze, doprinose i sličana davanja</w:t>
            </w:r>
          </w:p>
        </w:tc>
        <w:tc>
          <w:tcPr>
            <w:tcW w:type="dxa" w:w="183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1.146.919</w:t>
            </w:r>
          </w:p>
        </w:tc>
      </w:tr>
      <w:tr w:rsidTr="006252DC" w:rsidR="006252DC" w:rsidRPr="006252DC">
        <w:trPr>
          <w:trHeight w:val="237"/>
          <w:jc w:val="center"/>
        </w:trPr>
        <w:tc>
          <w:tcPr>
            <w:tcW w:type="dxa" w:w="728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UKUPNO OBVEZE:</w:t>
            </w:r>
          </w:p>
        </w:tc>
        <w:tc>
          <w:tcPr>
            <w:tcW w:type="dxa" w:w="183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1.303.649</w:t>
            </w:r>
          </w:p>
        </w:tc>
      </w:tr>
      <w:tr w:rsidTr="006252DC" w:rsidR="006252DC" w:rsidRPr="006252DC">
        <w:trPr>
          <w:trHeight w:val="237"/>
          <w:jc w:val="center"/>
        </w:trPr>
        <w:tc>
          <w:tcPr>
            <w:tcW w:type="dxa" w:w="728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MANJAK LIKVIDNIH SREDSTAVA:</w:t>
            </w:r>
          </w:p>
        </w:tc>
        <w:tc>
          <w:tcPr>
            <w:tcW w:type="dxa" w:w="183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-712.473</w:t>
            </w:r>
          </w:p>
        </w:tc>
      </w:tr>
      <w:tr w:rsidTr="006252DC" w:rsidR="006252DC" w:rsidRPr="006252DC">
        <w:trPr>
          <w:trHeight w:val="414"/>
          <w:jc w:val="center"/>
        </w:trPr>
        <w:tc>
          <w:tcPr>
            <w:tcW w:type="dxa" w:w="728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Arial" w:eastAsia="Times New Roman" w:hAnsi="Arial" w:ascii="Arial"/>
                <w:sz w:val="22"/>
                <w:szCs w:val="22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22"/>
                <w:szCs w:val="22"/>
                <w:lang w:eastAsia="en-GB" w:val="en-GB"/>
              </w:rPr>
              <w:t>UTJECAJ FINANCIJSKOG RESTRUKTURIRANJA NA MANJAK LIKVIDNIH SREDSTAVA</w:t>
            </w:r>
          </w:p>
        </w:tc>
        <w:tc>
          <w:tcPr>
            <w:tcW w:type="dxa" w:w="183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Arial" w:eastAsia="Times New Roman" w:hAnsi="Arial" w:ascii="Arial"/>
                <w:sz w:val="22"/>
                <w:szCs w:val="22"/>
                <w:lang w:eastAsia="en-GB" w:val="en-GB"/>
              </w:rPr>
            </w:pPr>
            <w:r w:rsidRPr="006252DC">
              <w:rPr>
                <w:rFonts w:cs="Arial" w:eastAsia="Times New Roman" w:hAnsi="Arial" w:ascii="Arial"/>
                <w:sz w:val="22"/>
                <w:szCs w:val="22"/>
                <w:lang w:eastAsia="en-GB" w:val="en-GB"/>
              </w:rPr>
              <w:t>3.212.594</w:t>
            </w:r>
          </w:p>
        </w:tc>
      </w:tr>
      <w:tr w:rsidTr="006252DC" w:rsidR="006252DC" w:rsidRPr="006252DC">
        <w:trPr>
          <w:trHeight w:val="414"/>
          <w:jc w:val="center"/>
        </w:trPr>
        <w:tc>
          <w:tcPr>
            <w:tcW w:type="dxa" w:w="728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VIŠAK LIKVIDNIH SREDSTAVA NAKON MJERA FINANCIJSKOG RESTRUKTURIRANJA:</w:t>
            </w:r>
          </w:p>
        </w:tc>
        <w:tc>
          <w:tcPr>
            <w:tcW w:type="dxa" w:w="183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2.500.121</w:t>
            </w:r>
          </w:p>
        </w:tc>
      </w:tr>
    </w:tbl>
    <w:p w:rsidRDefault="006252DC" w:rsidP="006252DC" w:rsidR="006252DC" w:rsidRPr="006252DC">
      <w:pPr>
        <w:spacing w:lineRule="auto" w:line="360" w:after="0"/>
        <w:rPr>
          <w:rFonts w:cs="Times New Roman" w:eastAsia="Calibri"/>
          <w:sz w:val="20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rPr>
          <w:rFonts w:cs="Times New Roman" w:eastAsia="Calibri"/>
          <w:sz w:val="20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rPr>
          <w:rFonts w:cs="Times New Roman" w:eastAsia="Calibri"/>
          <w:sz w:val="20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b/>
          <w:sz w:val="20"/>
          <w:lang w:eastAsia="en-GB" w:val="en-GB"/>
        </w:rPr>
      </w:pPr>
      <w:r w:rsidRPr="006252DC">
        <w:rPr>
          <w:rFonts w:cs="Times New Roman" w:eastAsia="Calibri"/>
          <w:sz w:val="20"/>
          <w:lang w:eastAsia="en-GB" w:val="en-GB"/>
        </w:rPr>
        <w:br w:type="page"/>
      </w:r>
      <w:bookmarkStart w:name="_Toc451235626" w:id="65"/>
    </w:p>
    <w:p w:rsidRDefault="006252DC" w:rsidP="006252DC" w:rsidR="006252DC" w:rsidRPr="006252DC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  <w:color w:val="4F81BD"/>
        </w:rPr>
      </w:pPr>
      <w:bookmarkStart w:name="_Toc482047556" w:id="66"/>
      <w:bookmarkStart w:name="_Toc477898305" w:id="67"/>
      <w:bookmarkStart w:name="_Toc472012457" w:id="68"/>
      <w:r w:rsidRPr="006252DC">
        <w:rPr>
          <w:rFonts w:cs="Times New Roman" w:eastAsia="Times New Roman"/>
          <w:b/>
          <w:color w:val="4F81BD"/>
        </w:rPr>
        <w:lastRenderedPageBreak/>
        <w:t>4.   OPIS MJERA OPERATIVNOG RESTRUKTURIRANJA I IZRAČUN NJIHOVIH UČINAKA NA POSLOVANJE</w:t>
      </w:r>
      <w:bookmarkEnd w:id="65"/>
      <w:bookmarkEnd w:id="66"/>
      <w:bookmarkEnd w:id="67"/>
      <w:bookmarkEnd w:id="68"/>
    </w:p>
    <w:p w:rsidRDefault="006252DC" w:rsidP="006252DC" w:rsidR="006252DC" w:rsidRPr="006252DC">
      <w:pPr>
        <w:spacing w:after="0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 xml:space="preserve">Osim financijskog restrukturiranja tvrtke MATEO PRIDRAGA d.o.o. u predstečajnom postupku, čime </w:t>
      </w:r>
      <w:proofErr w:type="gramStart"/>
      <w:r w:rsidRPr="006252DC">
        <w:rPr>
          <w:rFonts w:cs="Times New Roman" w:eastAsia="Calibri"/>
          <w:lang w:eastAsia="en-GB" w:val="en-GB"/>
        </w:rPr>
        <w:t>će</w:t>
      </w:r>
      <w:proofErr w:type="gramEnd"/>
      <w:r w:rsidRPr="006252DC">
        <w:rPr>
          <w:rFonts w:cs="Times New Roman" w:eastAsia="Calibri"/>
          <w:lang w:eastAsia="en-GB" w:val="en-GB"/>
        </w:rPr>
        <w:t xml:space="preserve"> se obveze društva reprogamirati na duži vremenski period te time društvo dovesti u stanje likvidnosti, tvrtka planira poduzeti i slijedeće mjere operativnog restrukturiranja:  </w:t>
      </w: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numPr>
          <w:ilvl w:val="0"/>
          <w:numId w:val="49"/>
        </w:numPr>
        <w:spacing w:lineRule="auto" w:line="360" w:after="0"/>
        <w:contextualSpacing/>
        <w:jc w:val="both"/>
        <w:rPr>
          <w:rFonts w:cs="Times New Roman" w:eastAsia="Times New Roman"/>
          <w:color w:val="000000"/>
          <w:lang w:eastAsia="hr-HR"/>
        </w:rPr>
      </w:pPr>
      <w:r w:rsidRPr="006252DC">
        <w:rPr>
          <w:rFonts w:cs="Times New Roman" w:eastAsia="Times New Roman"/>
          <w:color w:val="000000"/>
          <w:lang w:eastAsia="hr-HR"/>
        </w:rPr>
        <w:t>Povećanje broja zaposlenih</w:t>
      </w: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Times New Roman"/>
          <w:color w:val="000000"/>
          <w:lang w:eastAsia="hr-HR"/>
        </w:rPr>
      </w:pPr>
      <w:r w:rsidRPr="006252DC">
        <w:rPr>
          <w:rFonts w:cs="Times New Roman" w:eastAsia="Times New Roman"/>
          <w:color w:val="000000"/>
          <w:lang w:eastAsia="hr-HR"/>
        </w:rPr>
        <w:t>Sukladno planovima, tvrtka će zaposliti još 2 djelatnika u naredne dvije poslovne godine.</w:t>
      </w: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numPr>
          <w:ilvl w:val="0"/>
          <w:numId w:val="50"/>
        </w:num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 xml:space="preserve">Optimizacija radnih procesa </w:t>
      </w: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 xml:space="preserve">Odnosi se </w:t>
      </w:r>
      <w:proofErr w:type="gramStart"/>
      <w:r w:rsidRPr="006252DC">
        <w:rPr>
          <w:rFonts w:cs="Times New Roman" w:eastAsia="Calibri"/>
          <w:lang w:eastAsia="en-GB" w:val="en-GB"/>
        </w:rPr>
        <w:t>na</w:t>
      </w:r>
      <w:proofErr w:type="gramEnd"/>
      <w:r w:rsidRPr="006252DC">
        <w:rPr>
          <w:rFonts w:cs="Times New Roman" w:eastAsia="Calibri"/>
          <w:lang w:eastAsia="en-GB" w:val="en-GB"/>
        </w:rPr>
        <w:t xml:space="preserve"> smanjenje troškova u svim segmentima poslovanja (nabava, prodaja, administracija...) i povećanje iskorištenosti radne snage, ulaganje u nova stručna i upravljačka znanja te kao posljedica svega ovog povećanje efikasnosti.</w:t>
      </w: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color w:val="000000"/>
          <w:lang w:eastAsia="en-GB" w:val="en-GB"/>
        </w:rPr>
      </w:pPr>
    </w:p>
    <w:p w:rsidRDefault="006252DC" w:rsidP="006252DC" w:rsidR="006252DC" w:rsidRPr="006252DC">
      <w:pPr>
        <w:numPr>
          <w:ilvl w:val="0"/>
          <w:numId w:val="51"/>
        </w:numPr>
        <w:spacing w:lineRule="auto" w:line="360" w:after="0"/>
        <w:jc w:val="both"/>
        <w:rPr>
          <w:rFonts w:cs="Times New Roman" w:eastAsia="Calibri"/>
          <w:color w:val="000000"/>
          <w:lang w:eastAsia="en-GB" w:val="en-GB"/>
        </w:rPr>
      </w:pPr>
      <w:r w:rsidRPr="006252DC">
        <w:rPr>
          <w:rFonts w:cs="Times New Roman" w:eastAsia="Calibri"/>
          <w:color w:val="000000"/>
          <w:lang w:eastAsia="en-GB" w:val="en-GB"/>
        </w:rPr>
        <w:t>Povećanje prihoda</w:t>
      </w: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val="en-GB"/>
        </w:rPr>
      </w:pPr>
      <w:r w:rsidRPr="006252DC">
        <w:rPr>
          <w:rFonts w:cs="Times New Roman" w:eastAsia="Calibri"/>
          <w:lang w:eastAsia="en-GB" w:val="en-GB"/>
        </w:rPr>
        <w:t xml:space="preserve">Tvrtka </w:t>
      </w:r>
      <w:proofErr w:type="gramStart"/>
      <w:r w:rsidRPr="006252DC">
        <w:rPr>
          <w:rFonts w:cs="Times New Roman" w:eastAsia="Calibri"/>
          <w:lang w:eastAsia="en-GB" w:val="en-GB"/>
        </w:rPr>
        <w:t>će</w:t>
      </w:r>
      <w:proofErr w:type="gramEnd"/>
      <w:r w:rsidRPr="006252DC">
        <w:rPr>
          <w:rFonts w:cs="Times New Roman" w:eastAsia="Calibri"/>
          <w:lang w:eastAsia="en-GB" w:val="en-GB"/>
        </w:rPr>
        <w:t xml:space="preserve"> tražiti dodatne izvore prihoda i usmjeriti nove napore na </w:t>
      </w:r>
      <w:r w:rsidRPr="006252DC">
        <w:rPr>
          <w:rFonts w:cs="Times New Roman" w:eastAsia="Calibri"/>
          <w:lang w:val="en-GB"/>
        </w:rPr>
        <w:t>tržišta koja imaju interes za njihovu usluge.</w:t>
      </w: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color w:val="000000"/>
          <w:lang w:eastAsia="en-GB" w:val="en-GB"/>
        </w:rPr>
      </w:pPr>
    </w:p>
    <w:p w:rsidRDefault="006252DC" w:rsidP="006252DC" w:rsidR="006252DC" w:rsidRPr="006252DC">
      <w:pPr>
        <w:numPr>
          <w:ilvl w:val="0"/>
          <w:numId w:val="52"/>
        </w:num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>Povećanje profitabilnosti</w:t>
      </w: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 xml:space="preserve">Sukladno povećanju prodaje planira se i povećanje profitabilnosti koja </w:t>
      </w:r>
      <w:proofErr w:type="gramStart"/>
      <w:r w:rsidRPr="006252DC">
        <w:rPr>
          <w:rFonts w:cs="Times New Roman" w:eastAsia="Calibri"/>
          <w:lang w:eastAsia="en-GB" w:val="en-GB"/>
        </w:rPr>
        <w:t>će</w:t>
      </w:r>
      <w:proofErr w:type="gramEnd"/>
      <w:r w:rsidRPr="006252DC">
        <w:rPr>
          <w:rFonts w:cs="Times New Roman" w:eastAsia="Calibri"/>
          <w:lang w:eastAsia="en-GB" w:val="en-GB"/>
        </w:rPr>
        <w:t xml:space="preserve"> imati značajan učinak na poslovanje poduzeća.</w:t>
      </w: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numPr>
          <w:ilvl w:val="0"/>
          <w:numId w:val="51"/>
        </w:numPr>
        <w:spacing w:lineRule="auto" w:line="360" w:after="0"/>
        <w:contextualSpacing/>
        <w:jc w:val="both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 xml:space="preserve">Oglašavanje </w:t>
      </w: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 xml:space="preserve">Najvažnija stavka u poslovanju je oglašavanje i informiranje klijenata o vlastitim proizvodima i uslugama, što već intenzivno provode, </w:t>
      </w:r>
      <w:proofErr w:type="gramStart"/>
      <w:r w:rsidRPr="006252DC">
        <w:rPr>
          <w:rFonts w:cs="Times New Roman" w:eastAsia="Calibri"/>
          <w:lang w:eastAsia="en-GB" w:val="en-GB"/>
        </w:rPr>
        <w:t>te</w:t>
      </w:r>
      <w:proofErr w:type="gramEnd"/>
      <w:r w:rsidRPr="006252DC">
        <w:rPr>
          <w:rFonts w:cs="Times New Roman" w:eastAsia="Calibri"/>
          <w:lang w:eastAsia="en-GB" w:val="en-GB"/>
        </w:rPr>
        <w:t xml:space="preserve"> će nastaviti u tom smjeru.</w:t>
      </w: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Times New Roman"/>
          <w:b/>
          <w:bCs/>
          <w:iCs/>
          <w:lang w:eastAsia="hr-HR"/>
        </w:rPr>
      </w:pPr>
      <w:r w:rsidRPr="006252DC">
        <w:rPr>
          <w:rFonts w:cs="Times New Roman" w:eastAsia="Calibri"/>
          <w:lang w:eastAsia="en-GB" w:val="en-GB"/>
        </w:rPr>
        <w:br w:type="page"/>
      </w:r>
      <w:bookmarkStart w:name="_Toc472012458" w:id="69"/>
      <w:bookmarkStart w:name="_Toc451235627" w:id="70"/>
      <w:bookmarkStart w:name="_Toc292093929" w:id="71"/>
      <w:bookmarkStart w:name="_Toc283111403" w:id="72"/>
      <w:bookmarkStart w:name="_Toc131189724" w:id="73"/>
    </w:p>
    <w:p w:rsidRDefault="006252DC" w:rsidP="006252DC" w:rsidR="006252DC" w:rsidRPr="006252DC">
      <w:pPr>
        <w:keepNext/>
        <w:spacing w:lineRule="auto" w:line="360" w:after="60" w:before="240"/>
        <w:ind w:left="60"/>
        <w:jc w:val="both"/>
        <w:outlineLvl w:val="1"/>
        <w:rPr>
          <w:rFonts w:cs="Times New Roman" w:eastAsia="Times New Roman"/>
          <w:b/>
          <w:bCs/>
          <w:iCs/>
          <w:color w:val="4F81BD"/>
          <w:lang w:eastAsia="hr-HR"/>
        </w:rPr>
      </w:pPr>
      <w:bookmarkStart w:name="_Toc482047557" w:id="74"/>
      <w:bookmarkStart w:name="_Toc477898306" w:id="75"/>
      <w:r w:rsidRPr="006252DC">
        <w:rPr>
          <w:rFonts w:cs="Times New Roman" w:eastAsia="Times New Roman"/>
          <w:b/>
          <w:bCs/>
          <w:iCs/>
          <w:color w:val="4F81BD"/>
          <w:lang w:eastAsia="hr-HR"/>
        </w:rPr>
        <w:lastRenderedPageBreak/>
        <w:t>4.1    Izračun učinka operativnih mjera na poslovanje</w:t>
      </w:r>
      <w:bookmarkEnd w:id="69"/>
      <w:bookmarkEnd w:id="74"/>
      <w:bookmarkEnd w:id="75"/>
      <w:r w:rsidRPr="006252DC">
        <w:rPr>
          <w:rFonts w:cs="Times New Roman" w:eastAsia="Times New Roman"/>
          <w:b/>
          <w:bCs/>
          <w:iCs/>
          <w:color w:val="4F81BD"/>
          <w:lang w:eastAsia="hr-HR"/>
        </w:rPr>
        <w:t xml:space="preserve">    </w:t>
      </w: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 xml:space="preserve">Kroz segment operativnih mjera restrukturiranja, društvo </w:t>
      </w:r>
      <w:proofErr w:type="gramStart"/>
      <w:r w:rsidRPr="006252DC">
        <w:rPr>
          <w:rFonts w:cs="Times New Roman" w:eastAsia="Calibri"/>
          <w:lang w:eastAsia="en-GB" w:val="en-GB"/>
        </w:rPr>
        <w:t>će</w:t>
      </w:r>
      <w:proofErr w:type="gramEnd"/>
      <w:r w:rsidRPr="006252DC">
        <w:rPr>
          <w:rFonts w:cs="Times New Roman" w:eastAsia="Calibri"/>
          <w:lang w:eastAsia="en-GB" w:val="en-GB"/>
        </w:rPr>
        <w:t xml:space="preserve"> povećati profitabilnost za ukupno </w:t>
      </w:r>
      <w:r w:rsidRPr="006252DC">
        <w:rPr>
          <w:rFonts w:cs="Times New Roman" w:eastAsia="Calibri"/>
          <w:color w:val="000000"/>
          <w:lang w:eastAsia="en-GB" w:val="en-GB"/>
        </w:rPr>
        <w:t xml:space="preserve">256.200,00 </w:t>
      </w:r>
      <w:r w:rsidRPr="006252DC">
        <w:rPr>
          <w:rFonts w:cs="Times New Roman" w:eastAsia="Calibri"/>
          <w:lang w:eastAsia="en-GB" w:val="en-GB"/>
        </w:rPr>
        <w:t>kn, u odnosu na prethodno razdoblje, čime će se postići optimalno, profitabilno poslovanje.</w:t>
      </w: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sz w:val="20"/>
          <w:lang w:eastAsia="en-GB" w:val="en-GB"/>
        </w:rPr>
      </w:pPr>
    </w:p>
    <w:tbl>
      <w:tblPr>
        <w:tblW w:type="dxa" w:w="7880"/>
        <w:jc w:val="center"/>
        <w:tblLook w:val="04A0" w:noVBand="1" w:noHBand="0" w:lastColumn="0" w:firstColumn="1" w:lastRow="0" w:firstRow="1"/>
      </w:tblPr>
      <w:tblGrid>
        <w:gridCol w:w="583"/>
        <w:gridCol w:w="5860"/>
        <w:gridCol w:w="1520"/>
      </w:tblGrid>
      <w:tr w:rsidTr="006252DC" w:rsidR="006252DC" w:rsidRPr="006252DC">
        <w:trPr>
          <w:trHeight w:val="320"/>
          <w:jc w:val="center"/>
        </w:trPr>
        <w:tc>
          <w:tcPr>
            <w:tcW w:type="dxa" w:w="50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</w:pPr>
            <w:r w:rsidRPr="006252DC"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  <w:t>R.b.</w:t>
            </w:r>
          </w:p>
        </w:tc>
        <w:tc>
          <w:tcPr>
            <w:tcW w:type="dxa" w:w="586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</w:pPr>
            <w:r w:rsidRPr="006252DC"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  <w:t>Opis</w:t>
            </w:r>
          </w:p>
        </w:tc>
        <w:tc>
          <w:tcPr>
            <w:tcW w:type="dxa" w:w="152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</w:pPr>
            <w:r w:rsidRPr="006252DC"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  <w:t>Iznos</w:t>
            </w:r>
          </w:p>
        </w:tc>
      </w:tr>
      <w:tr w:rsidTr="006252DC" w:rsidR="006252DC" w:rsidRPr="006252DC">
        <w:trPr>
          <w:trHeight w:val="320"/>
          <w:jc w:val="center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</w:pPr>
            <w:r w:rsidRPr="006252DC"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  <w:t>1</w:t>
            </w:r>
          </w:p>
        </w:tc>
        <w:tc>
          <w:tcPr>
            <w:tcW w:type="dxa" w:w="58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</w:pPr>
            <w:r w:rsidRPr="006252DC"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  <w:t xml:space="preserve">Povećanje profitabilnosti kroz Optimizaciju radnih procesa </w:t>
            </w:r>
          </w:p>
        </w:tc>
        <w:tc>
          <w:tcPr>
            <w:tcW w:type="dxa" w:w="15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</w:pPr>
            <w:r w:rsidRPr="006252DC"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  <w:t>53.200,00</w:t>
            </w:r>
          </w:p>
        </w:tc>
      </w:tr>
      <w:tr w:rsidTr="006252DC" w:rsidR="006252DC" w:rsidRPr="006252DC">
        <w:trPr>
          <w:trHeight w:val="320"/>
          <w:jc w:val="center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</w:pPr>
            <w:r w:rsidRPr="006252DC"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  <w:t>2</w:t>
            </w:r>
          </w:p>
        </w:tc>
        <w:tc>
          <w:tcPr>
            <w:tcW w:type="dxa" w:w="58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</w:pPr>
            <w:r w:rsidRPr="006252DC"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  <w:t>Povećanje profitabilnosti kroz novi segment nabave</w:t>
            </w:r>
          </w:p>
        </w:tc>
        <w:tc>
          <w:tcPr>
            <w:tcW w:type="dxa" w:w="15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</w:pPr>
            <w:r w:rsidRPr="006252DC"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  <w:t>203.000,00</w:t>
            </w:r>
          </w:p>
        </w:tc>
      </w:tr>
      <w:tr w:rsidTr="006252DC" w:rsidR="006252DC" w:rsidRPr="006252DC">
        <w:trPr>
          <w:trHeight w:val="320"/>
          <w:jc w:val="center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</w:pPr>
            <w:r w:rsidRPr="006252DC"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  <w:t>3</w:t>
            </w:r>
          </w:p>
        </w:tc>
        <w:tc>
          <w:tcPr>
            <w:tcW w:type="dxa" w:w="58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</w:pPr>
            <w:r w:rsidRPr="006252DC"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  <w:t xml:space="preserve">Povećanje profitabilnosti kroz operativne poslovne procese </w:t>
            </w:r>
          </w:p>
        </w:tc>
        <w:tc>
          <w:tcPr>
            <w:tcW w:type="dxa" w:w="15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</w:pPr>
            <w:r w:rsidRPr="006252DC"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  <w:t>80.00,00</w:t>
            </w:r>
          </w:p>
        </w:tc>
      </w:tr>
      <w:tr w:rsidTr="006252DC" w:rsidR="006252DC" w:rsidRPr="006252DC">
        <w:trPr>
          <w:trHeight w:val="320"/>
          <w:jc w:val="center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</w:pPr>
            <w:r w:rsidRPr="006252DC"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  <w:t> </w:t>
            </w:r>
          </w:p>
        </w:tc>
        <w:tc>
          <w:tcPr>
            <w:tcW w:type="dxa" w:w="58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</w:pPr>
            <w:r w:rsidRPr="006252DC"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  <w:t>Ukupno:</w:t>
            </w:r>
          </w:p>
        </w:tc>
        <w:tc>
          <w:tcPr>
            <w:tcW w:type="dxa" w:w="15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</w:pPr>
            <w:r w:rsidRPr="006252DC"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  <w:t>256.200,00</w:t>
            </w:r>
          </w:p>
        </w:tc>
      </w:tr>
    </w:tbl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sz w:val="20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sz w:val="20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sz w:val="20"/>
          <w:lang w:eastAsia="en-GB" w:val="en-GB"/>
        </w:rPr>
      </w:pPr>
      <w:r w:rsidRPr="006252DC">
        <w:rPr>
          <w:rFonts w:cs="Times New Roman" w:eastAsia="Calibri"/>
          <w:noProof/>
          <w:lang w:eastAsia="hr-HR"/>
        </w:rPr>
        <w:drawing>
          <wp:inline distR="0" distL="0" distB="0" distT="0">
            <wp:extent cy="4480560" cx="6294120"/>
            <wp:effectExtent b="0" r="0" t="0" l="0"/>
            <wp:docPr descr="Slikovni rezultat za Proizvodnja opeke, crijepa i ostalih proizvoda od pe&amp;ccaron;ene gline za gra&amp;dstrok;evinarstvo" name="Picture 15" id="8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Slikovni rezultat za Proizvodnja opeke, crijepa i ostalih proizvoda od pe&amp;ccaron;ene gline za gra&amp;dstrok;evinarstvo" name="Picture 15" id="0"/>
                    <pic:cNvPicPr>
                      <a:picLocks noChangeArrowheads="true" noChangeAspect="true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4480560" cx="629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6252DC" w:rsidP="006252DC" w:rsidR="006252DC" w:rsidRPr="006252DC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6252DC" w:rsidP="006252DC" w:rsidR="006252DC" w:rsidRPr="006252DC">
      <w:pPr>
        <w:spacing w:after="0"/>
        <w:jc w:val="center"/>
        <w:rPr>
          <w:rFonts w:cs="Times New Roman" w:eastAsia="Calibri"/>
          <w:sz w:val="20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b/>
          <w:color w:val="4F81BD"/>
          <w:sz w:val="21"/>
          <w:szCs w:val="28"/>
          <w:lang w:val="en-GB"/>
        </w:rPr>
      </w:pPr>
    </w:p>
    <w:p w:rsidRDefault="006252DC" w:rsidP="006252DC" w:rsidR="006252DC" w:rsidRPr="006252DC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  <w:color w:val="4F81BD"/>
        </w:rPr>
      </w:pPr>
      <w:bookmarkStart w:name="_Toc482047558" w:id="76"/>
      <w:bookmarkStart w:name="_Toc477898307" w:id="77"/>
      <w:bookmarkStart w:name="_Toc472012459" w:id="78"/>
      <w:r w:rsidRPr="006252DC">
        <w:rPr>
          <w:rFonts w:cs="Times New Roman" w:eastAsia="Times New Roman"/>
          <w:b/>
          <w:color w:val="4F81BD"/>
        </w:rPr>
        <w:t>5. PLAN POSLOVANJA ZA NAREDNIH 5 GODINA</w:t>
      </w:r>
      <w:bookmarkEnd w:id="70"/>
      <w:bookmarkEnd w:id="76"/>
      <w:bookmarkEnd w:id="77"/>
      <w:bookmarkEnd w:id="78"/>
    </w:p>
    <w:p w:rsidRDefault="006252DC" w:rsidP="006252DC" w:rsidR="006252DC" w:rsidRPr="006252DC">
      <w:pPr>
        <w:spacing w:after="0"/>
        <w:rPr>
          <w:rFonts w:cs="Times New Roman" w:eastAsia="Calibri"/>
          <w:b/>
          <w:i/>
          <w:color w:val="FF6600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 xml:space="preserve">Ključne pretpostavke projekcije poslovanja: </w:t>
      </w: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numPr>
          <w:ilvl w:val="0"/>
          <w:numId w:val="53"/>
        </w:num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 xml:space="preserve">Projekcija računa dobiti i gubitka utvrđena je za pet godina poslovanja, a podlogu za izračun čine utvrđene kategorije u Planu restrukturiranja (tržišne okolnosti, utjecaj </w:t>
      </w:r>
      <w:proofErr w:type="gramStart"/>
      <w:r w:rsidRPr="006252DC">
        <w:rPr>
          <w:rFonts w:cs="Times New Roman" w:eastAsia="Calibri"/>
          <w:lang w:eastAsia="en-GB" w:val="en-GB"/>
        </w:rPr>
        <w:t>na</w:t>
      </w:r>
      <w:proofErr w:type="gramEnd"/>
      <w:r w:rsidRPr="006252DC">
        <w:rPr>
          <w:rFonts w:cs="Times New Roman" w:eastAsia="Calibri"/>
          <w:lang w:eastAsia="en-GB" w:val="en-GB"/>
        </w:rPr>
        <w:t xml:space="preserve"> prodajnu i troškovnu učinkovitost, utjecaj financijskog restrukturiranja).</w:t>
      </w: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numPr>
          <w:ilvl w:val="0"/>
          <w:numId w:val="53"/>
        </w:num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>Prihodi  i bruto marža - Projekcija prihoda unutar prikazanog računa dobiti i gubitka temelji se na projekcijama za sve djelatnosti kojima se Društvo bavi, a interpretira se kroz ključne pokazatelje ekonomske efikasnosti od kojih su najvažniji:</w:t>
      </w:r>
    </w:p>
    <w:p w:rsidRDefault="006252DC" w:rsidP="006252DC" w:rsidR="006252DC" w:rsidRPr="006252DC">
      <w:pPr>
        <w:numPr>
          <w:ilvl w:val="0"/>
          <w:numId w:val="36"/>
        </w:numPr>
        <w:tabs>
          <w:tab w:pos="360" w:val="num"/>
        </w:tabs>
        <w:spacing w:after="0"/>
        <w:ind w:left="708"/>
        <w:rPr>
          <w:rFonts w:cs="Times New Roman" w:eastAsia="Times New Roman"/>
          <w:lang w:eastAsia="hr-HR"/>
        </w:rPr>
      </w:pPr>
    </w:p>
    <w:p w:rsidRDefault="006252DC" w:rsidP="006252DC" w:rsidR="006252DC" w:rsidRPr="006252DC">
      <w:pPr>
        <w:numPr>
          <w:ilvl w:val="1"/>
          <w:numId w:val="53"/>
        </w:num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>Stabilizacija prihoda, povećanje bruto marže i poboljšanje naplate dodatnim instrumentima osiguranja, a zasnivaju se na predviđenom utjecaju projekta restrukturiranja kao i na likvidnom poslovanju do kojeg se došlo putem reprograma obveza</w:t>
      </w:r>
    </w:p>
    <w:p w:rsidRDefault="006252DC" w:rsidP="006252DC" w:rsidR="006252DC" w:rsidRPr="006252DC">
      <w:pPr>
        <w:numPr>
          <w:ilvl w:val="1"/>
          <w:numId w:val="53"/>
        </w:num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>Rast prihoda kroz povećanje kanala prodaje (novi kupci, povećanje suradnje s postojećim kupcima, nova tržišta)</w:t>
      </w:r>
    </w:p>
    <w:p w:rsidRDefault="006252DC" w:rsidP="006252DC" w:rsidR="006252DC" w:rsidRPr="006252DC">
      <w:pPr>
        <w:spacing w:lineRule="auto" w:line="360" w:after="0"/>
        <w:ind w:left="1440"/>
        <w:jc w:val="both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numPr>
          <w:ilvl w:val="0"/>
          <w:numId w:val="53"/>
        </w:num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>Troškovi - projekcija troškova unutar prikazanog računa dobiti i gubitka temelji se na projiciranju svake pojedine stavke troškova, od kojih su ključni:</w:t>
      </w:r>
    </w:p>
    <w:p w:rsidRDefault="006252DC" w:rsidP="006252DC" w:rsidR="006252DC" w:rsidRPr="006252DC">
      <w:pPr>
        <w:spacing w:lineRule="auto" w:line="360" w:after="0"/>
        <w:ind w:left="720"/>
        <w:jc w:val="both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numPr>
          <w:ilvl w:val="1"/>
          <w:numId w:val="53"/>
        </w:num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>smanjenje operativnih troškova koje će se ostvariti kroz povećan opseg posla i veće marže</w:t>
      </w:r>
    </w:p>
    <w:p w:rsidRDefault="006252DC" w:rsidP="006252DC" w:rsidR="006252DC" w:rsidRPr="006252DC">
      <w:pPr>
        <w:spacing w:after="0"/>
        <w:rPr>
          <w:rFonts w:cs="Times New Roman" w:eastAsia="Calibri"/>
          <w:u w:val="single"/>
          <w:lang w:eastAsia="en-GB" w:val="en-GB"/>
        </w:rPr>
      </w:pPr>
      <w:r w:rsidRPr="006252DC">
        <w:rPr>
          <w:rFonts w:cs="Times New Roman" w:eastAsia="Calibri"/>
          <w:u w:val="single"/>
          <w:lang w:eastAsia="en-GB" w:val="en-GB"/>
        </w:rPr>
        <w:br w:type="page"/>
      </w:r>
    </w:p>
    <w:p w:rsidRDefault="006252DC" w:rsidP="006252DC" w:rsidR="006252DC" w:rsidRPr="006252DC">
      <w:pPr>
        <w:spacing w:after="0"/>
        <w:jc w:val="center"/>
        <w:rPr>
          <w:rFonts w:cs="Times New Roman" w:eastAsia="Calibri"/>
          <w:b/>
          <w:color w:val="4F81BD"/>
          <w:u w:val="single"/>
          <w:lang w:eastAsia="en-GB" w:val="en-GB"/>
        </w:rPr>
      </w:pPr>
      <w:r w:rsidRPr="006252DC">
        <w:rPr>
          <w:rFonts w:cs="Times New Roman" w:eastAsia="Calibri"/>
          <w:b/>
          <w:color w:val="4F81BD"/>
          <w:u w:val="single"/>
          <w:lang w:eastAsia="en-GB" w:val="en-GB"/>
        </w:rPr>
        <w:lastRenderedPageBreak/>
        <w:t xml:space="preserve">Projekcija </w:t>
      </w:r>
      <w:proofErr w:type="gramStart"/>
      <w:r w:rsidRPr="006252DC">
        <w:rPr>
          <w:rFonts w:cs="Times New Roman" w:eastAsia="Calibri"/>
          <w:b/>
          <w:color w:val="4F81BD"/>
          <w:u w:val="single"/>
          <w:lang w:eastAsia="en-GB" w:val="en-GB"/>
        </w:rPr>
        <w:t>poslovanja  (</w:t>
      </w:r>
      <w:proofErr w:type="gramEnd"/>
      <w:r w:rsidRPr="006252DC">
        <w:rPr>
          <w:rFonts w:cs="Times New Roman" w:eastAsia="Calibri"/>
          <w:b/>
          <w:color w:val="4F81BD"/>
          <w:u w:val="single"/>
          <w:lang w:eastAsia="en-GB" w:val="en-GB"/>
        </w:rPr>
        <w:t xml:space="preserve">2017. </w:t>
      </w:r>
      <w:proofErr w:type="gramStart"/>
      <w:r w:rsidRPr="006252DC">
        <w:rPr>
          <w:rFonts w:cs="Times New Roman" w:eastAsia="Calibri"/>
          <w:b/>
          <w:color w:val="4F81BD"/>
          <w:u w:val="single"/>
          <w:lang w:eastAsia="en-GB" w:val="en-GB"/>
        </w:rPr>
        <w:t>- 2022.)</w:t>
      </w:r>
      <w:proofErr w:type="gramEnd"/>
    </w:p>
    <w:p w:rsidRDefault="006252DC" w:rsidP="006252DC" w:rsidR="006252DC" w:rsidRPr="006252DC">
      <w:pPr>
        <w:spacing w:after="0"/>
        <w:jc w:val="center"/>
        <w:rPr>
          <w:rFonts w:cs="Times New Roman" w:eastAsia="Calibri"/>
          <w:sz w:val="20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i/>
          <w:sz w:val="20"/>
          <w:lang w:eastAsia="en-GB" w:val="en-GB"/>
        </w:rPr>
      </w:pPr>
    </w:p>
    <w:tbl>
      <w:tblPr>
        <w:tblW w:type="dxa" w:w="8540"/>
        <w:jc w:val="center"/>
        <w:tblLook w:val="04A0" w:noVBand="1" w:noHBand="0" w:lastColumn="0" w:firstColumn="1" w:lastRow="0" w:firstRow="1"/>
      </w:tblPr>
      <w:tblGrid>
        <w:gridCol w:w="517"/>
        <w:gridCol w:w="2191"/>
        <w:gridCol w:w="1062"/>
        <w:gridCol w:w="972"/>
        <w:gridCol w:w="1006"/>
        <w:gridCol w:w="994"/>
        <w:gridCol w:w="949"/>
        <w:gridCol w:w="994"/>
      </w:tblGrid>
      <w:tr w:rsidTr="006252DC" w:rsidR="006252DC" w:rsidRPr="006252DC">
        <w:trPr>
          <w:trHeight w:val="240"/>
          <w:jc w:val="center"/>
        </w:trPr>
        <w:tc>
          <w:tcPr>
            <w:tcW w:type="dxa" w:w="8540"/>
            <w:gridSpan w:val="8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Planirani prihod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372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2191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62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72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06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94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49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94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37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R.b.</w:t>
            </w:r>
          </w:p>
        </w:tc>
        <w:tc>
          <w:tcPr>
            <w:tcW w:type="dxa" w:w="2191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Opis</w:t>
            </w:r>
          </w:p>
        </w:tc>
        <w:tc>
          <w:tcPr>
            <w:tcW w:type="dxa" w:w="106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2017</w:t>
            </w:r>
          </w:p>
        </w:tc>
        <w:tc>
          <w:tcPr>
            <w:tcW w:type="dxa" w:w="9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2018</w:t>
            </w:r>
          </w:p>
        </w:tc>
        <w:tc>
          <w:tcPr>
            <w:tcW w:type="dxa" w:w="100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2019</w:t>
            </w:r>
          </w:p>
        </w:tc>
        <w:tc>
          <w:tcPr>
            <w:tcW w:type="dxa" w:w="99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2020</w:t>
            </w:r>
          </w:p>
        </w:tc>
        <w:tc>
          <w:tcPr>
            <w:tcW w:type="dxa" w:w="949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2021</w:t>
            </w:r>
          </w:p>
        </w:tc>
        <w:tc>
          <w:tcPr>
            <w:tcW w:type="dxa" w:w="99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2022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37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</w:t>
            </w:r>
          </w:p>
        </w:tc>
        <w:tc>
          <w:tcPr>
            <w:tcW w:type="dxa" w:w="219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Prihod</w:t>
            </w:r>
          </w:p>
        </w:tc>
        <w:tc>
          <w:tcPr>
            <w:tcW w:type="dxa" w:w="10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1.890.000</w:t>
            </w:r>
          </w:p>
        </w:tc>
        <w:tc>
          <w:tcPr>
            <w:tcW w:type="dxa" w:w="9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2.650.000</w:t>
            </w:r>
          </w:p>
        </w:tc>
        <w:tc>
          <w:tcPr>
            <w:tcW w:type="dxa" w:w="100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2.900.000</w:t>
            </w:r>
          </w:p>
        </w:tc>
        <w:tc>
          <w:tcPr>
            <w:tcW w:type="dxa" w:w="99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3.200.000</w:t>
            </w:r>
          </w:p>
        </w:tc>
        <w:tc>
          <w:tcPr>
            <w:tcW w:type="dxa" w:w="94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3.650.000</w:t>
            </w:r>
          </w:p>
        </w:tc>
        <w:tc>
          <w:tcPr>
            <w:tcW w:type="dxa" w:w="99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3.900.000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37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219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Ukupno Prihod</w:t>
            </w:r>
          </w:p>
        </w:tc>
        <w:tc>
          <w:tcPr>
            <w:tcW w:type="dxa" w:w="10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1.890.000</w:t>
            </w:r>
          </w:p>
        </w:tc>
        <w:tc>
          <w:tcPr>
            <w:tcW w:type="dxa" w:w="9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2.650.000</w:t>
            </w:r>
          </w:p>
        </w:tc>
        <w:tc>
          <w:tcPr>
            <w:tcW w:type="dxa" w:w="100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2.900.000</w:t>
            </w:r>
          </w:p>
        </w:tc>
        <w:tc>
          <w:tcPr>
            <w:tcW w:type="dxa" w:w="99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3.200.000</w:t>
            </w:r>
          </w:p>
        </w:tc>
        <w:tc>
          <w:tcPr>
            <w:tcW w:type="dxa" w:w="94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3.650.000</w:t>
            </w:r>
          </w:p>
        </w:tc>
        <w:tc>
          <w:tcPr>
            <w:tcW w:type="dxa" w:w="99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3.900.000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372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2191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62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72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06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94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49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94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372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2191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62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72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06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94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49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94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8540"/>
            <w:gridSpan w:val="8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Planirani troškovi poslovanja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372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2191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62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72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06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94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49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94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37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R.b.</w:t>
            </w:r>
          </w:p>
        </w:tc>
        <w:tc>
          <w:tcPr>
            <w:tcW w:type="dxa" w:w="2191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Opis</w:t>
            </w:r>
          </w:p>
        </w:tc>
        <w:tc>
          <w:tcPr>
            <w:tcW w:type="dxa" w:w="106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2017</w:t>
            </w:r>
          </w:p>
        </w:tc>
        <w:tc>
          <w:tcPr>
            <w:tcW w:type="dxa" w:w="9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2018</w:t>
            </w:r>
          </w:p>
        </w:tc>
        <w:tc>
          <w:tcPr>
            <w:tcW w:type="dxa" w:w="100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2019</w:t>
            </w:r>
          </w:p>
        </w:tc>
        <w:tc>
          <w:tcPr>
            <w:tcW w:type="dxa" w:w="99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2020</w:t>
            </w:r>
          </w:p>
        </w:tc>
        <w:tc>
          <w:tcPr>
            <w:tcW w:type="dxa" w:w="949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2021</w:t>
            </w:r>
          </w:p>
        </w:tc>
        <w:tc>
          <w:tcPr>
            <w:tcW w:type="dxa" w:w="99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2022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37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</w:t>
            </w:r>
          </w:p>
        </w:tc>
        <w:tc>
          <w:tcPr>
            <w:tcW w:type="dxa" w:w="219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Sirovina i materijal</w:t>
            </w:r>
          </w:p>
        </w:tc>
        <w:tc>
          <w:tcPr>
            <w:tcW w:type="dxa" w:w="10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926.100</w:t>
            </w:r>
          </w:p>
        </w:tc>
        <w:tc>
          <w:tcPr>
            <w:tcW w:type="dxa" w:w="9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1.298.500</w:t>
            </w:r>
          </w:p>
        </w:tc>
        <w:tc>
          <w:tcPr>
            <w:tcW w:type="dxa" w:w="100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1.421.000</w:t>
            </w:r>
          </w:p>
        </w:tc>
        <w:tc>
          <w:tcPr>
            <w:tcW w:type="dxa" w:w="99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1.568.000</w:t>
            </w:r>
          </w:p>
        </w:tc>
        <w:tc>
          <w:tcPr>
            <w:tcW w:type="dxa" w:w="94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1.788.500</w:t>
            </w:r>
          </w:p>
        </w:tc>
        <w:tc>
          <w:tcPr>
            <w:tcW w:type="dxa" w:w="99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1.911.000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37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</w:t>
            </w:r>
          </w:p>
        </w:tc>
        <w:tc>
          <w:tcPr>
            <w:tcW w:type="dxa" w:w="219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Bruto plaće</w:t>
            </w:r>
          </w:p>
        </w:tc>
        <w:tc>
          <w:tcPr>
            <w:tcW w:type="dxa" w:w="10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94.800</w:t>
            </w:r>
          </w:p>
        </w:tc>
        <w:tc>
          <w:tcPr>
            <w:tcW w:type="dxa" w:w="9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94.800</w:t>
            </w:r>
          </w:p>
        </w:tc>
        <w:tc>
          <w:tcPr>
            <w:tcW w:type="dxa" w:w="100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142.200</w:t>
            </w:r>
          </w:p>
        </w:tc>
        <w:tc>
          <w:tcPr>
            <w:tcW w:type="dxa" w:w="99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142.200</w:t>
            </w:r>
          </w:p>
        </w:tc>
        <w:tc>
          <w:tcPr>
            <w:tcW w:type="dxa" w:w="94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142.200</w:t>
            </w:r>
          </w:p>
        </w:tc>
        <w:tc>
          <w:tcPr>
            <w:tcW w:type="dxa" w:w="99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189.600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37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3</w:t>
            </w:r>
          </w:p>
        </w:tc>
        <w:tc>
          <w:tcPr>
            <w:tcW w:type="dxa" w:w="219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Financijski izdaci (kta)</w:t>
            </w:r>
          </w:p>
        </w:tc>
        <w:tc>
          <w:tcPr>
            <w:tcW w:type="dxa" w:w="10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28.700</w:t>
            </w:r>
          </w:p>
        </w:tc>
        <w:tc>
          <w:tcPr>
            <w:tcW w:type="dxa" w:w="9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33.005</w:t>
            </w:r>
          </w:p>
        </w:tc>
        <w:tc>
          <w:tcPr>
            <w:tcW w:type="dxa" w:w="100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37.956</w:t>
            </w:r>
          </w:p>
        </w:tc>
        <w:tc>
          <w:tcPr>
            <w:tcW w:type="dxa" w:w="99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43.649</w:t>
            </w:r>
          </w:p>
        </w:tc>
        <w:tc>
          <w:tcPr>
            <w:tcW w:type="dxa" w:w="94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50.196</w:t>
            </w:r>
          </w:p>
        </w:tc>
        <w:tc>
          <w:tcPr>
            <w:tcW w:type="dxa" w:w="99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57.726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37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4</w:t>
            </w:r>
          </w:p>
        </w:tc>
        <w:tc>
          <w:tcPr>
            <w:tcW w:type="dxa" w:w="219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Amortizacija</w:t>
            </w:r>
          </w:p>
        </w:tc>
        <w:tc>
          <w:tcPr>
            <w:tcW w:type="dxa" w:w="10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57.600</w:t>
            </w:r>
          </w:p>
        </w:tc>
        <w:tc>
          <w:tcPr>
            <w:tcW w:type="dxa" w:w="9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80.640</w:t>
            </w:r>
          </w:p>
        </w:tc>
        <w:tc>
          <w:tcPr>
            <w:tcW w:type="dxa" w:w="100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112.896</w:t>
            </w:r>
          </w:p>
        </w:tc>
        <w:tc>
          <w:tcPr>
            <w:tcW w:type="dxa" w:w="99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158.054</w:t>
            </w:r>
          </w:p>
        </w:tc>
        <w:tc>
          <w:tcPr>
            <w:tcW w:type="dxa" w:w="94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221.276</w:t>
            </w:r>
          </w:p>
        </w:tc>
        <w:tc>
          <w:tcPr>
            <w:tcW w:type="dxa" w:w="99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309.787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37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5</w:t>
            </w:r>
          </w:p>
        </w:tc>
        <w:tc>
          <w:tcPr>
            <w:tcW w:type="dxa" w:w="219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Ostalo</w:t>
            </w:r>
          </w:p>
        </w:tc>
        <w:tc>
          <w:tcPr>
            <w:tcW w:type="dxa" w:w="10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75.600</w:t>
            </w:r>
          </w:p>
        </w:tc>
        <w:tc>
          <w:tcPr>
            <w:tcW w:type="dxa" w:w="9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106.000</w:t>
            </w:r>
          </w:p>
        </w:tc>
        <w:tc>
          <w:tcPr>
            <w:tcW w:type="dxa" w:w="100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116.000</w:t>
            </w:r>
          </w:p>
        </w:tc>
        <w:tc>
          <w:tcPr>
            <w:tcW w:type="dxa" w:w="99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128.000</w:t>
            </w:r>
          </w:p>
        </w:tc>
        <w:tc>
          <w:tcPr>
            <w:tcW w:type="dxa" w:w="94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146.000</w:t>
            </w:r>
          </w:p>
        </w:tc>
        <w:tc>
          <w:tcPr>
            <w:tcW w:type="dxa" w:w="99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156.000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37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219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Ukupni troškovi</w:t>
            </w:r>
          </w:p>
        </w:tc>
        <w:tc>
          <w:tcPr>
            <w:tcW w:type="dxa" w:w="10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1.182.800</w:t>
            </w:r>
          </w:p>
        </w:tc>
        <w:tc>
          <w:tcPr>
            <w:tcW w:type="dxa" w:w="9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1.612.945</w:t>
            </w:r>
          </w:p>
        </w:tc>
        <w:tc>
          <w:tcPr>
            <w:tcW w:type="dxa" w:w="100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1.830.052</w:t>
            </w:r>
          </w:p>
        </w:tc>
        <w:tc>
          <w:tcPr>
            <w:tcW w:type="dxa" w:w="99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2.039.904</w:t>
            </w:r>
          </w:p>
        </w:tc>
        <w:tc>
          <w:tcPr>
            <w:tcW w:type="dxa" w:w="94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2.348.173</w:t>
            </w:r>
          </w:p>
        </w:tc>
        <w:tc>
          <w:tcPr>
            <w:tcW w:type="dxa" w:w="99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2.624.113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372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2191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62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72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06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94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49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94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372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2191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62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72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06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94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49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94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8540"/>
            <w:gridSpan w:val="8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Projekcija računa dobiti i gubitka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372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2191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62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72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06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94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49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94"/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37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R.b.</w:t>
            </w:r>
          </w:p>
        </w:tc>
        <w:tc>
          <w:tcPr>
            <w:tcW w:type="dxa" w:w="2191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Opis</w:t>
            </w:r>
          </w:p>
        </w:tc>
        <w:tc>
          <w:tcPr>
            <w:tcW w:type="dxa" w:w="106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2017</w:t>
            </w:r>
          </w:p>
        </w:tc>
        <w:tc>
          <w:tcPr>
            <w:tcW w:type="dxa" w:w="9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2018</w:t>
            </w:r>
          </w:p>
        </w:tc>
        <w:tc>
          <w:tcPr>
            <w:tcW w:type="dxa" w:w="100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2019</w:t>
            </w:r>
          </w:p>
        </w:tc>
        <w:tc>
          <w:tcPr>
            <w:tcW w:type="dxa" w:w="99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2020</w:t>
            </w:r>
          </w:p>
        </w:tc>
        <w:tc>
          <w:tcPr>
            <w:tcW w:type="dxa" w:w="949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2021</w:t>
            </w:r>
          </w:p>
        </w:tc>
        <w:tc>
          <w:tcPr>
            <w:tcW w:type="dxa" w:w="99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2022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37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I</w:t>
            </w:r>
          </w:p>
        </w:tc>
        <w:tc>
          <w:tcPr>
            <w:tcW w:type="dxa" w:w="219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Prihod</w:t>
            </w:r>
          </w:p>
        </w:tc>
        <w:tc>
          <w:tcPr>
            <w:tcW w:type="dxa" w:w="10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1.890.000</w:t>
            </w:r>
          </w:p>
        </w:tc>
        <w:tc>
          <w:tcPr>
            <w:tcW w:type="dxa" w:w="9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2.650.000</w:t>
            </w:r>
          </w:p>
        </w:tc>
        <w:tc>
          <w:tcPr>
            <w:tcW w:type="dxa" w:w="100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2.900.000</w:t>
            </w:r>
          </w:p>
        </w:tc>
        <w:tc>
          <w:tcPr>
            <w:tcW w:type="dxa" w:w="99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3.200.000</w:t>
            </w:r>
          </w:p>
        </w:tc>
        <w:tc>
          <w:tcPr>
            <w:tcW w:type="dxa" w:w="94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3.650.000</w:t>
            </w:r>
          </w:p>
        </w:tc>
        <w:tc>
          <w:tcPr>
            <w:tcW w:type="dxa" w:w="99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3.900.000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37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II</w:t>
            </w:r>
          </w:p>
        </w:tc>
        <w:tc>
          <w:tcPr>
            <w:tcW w:type="dxa" w:w="219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Rashod</w:t>
            </w:r>
          </w:p>
        </w:tc>
        <w:tc>
          <w:tcPr>
            <w:tcW w:type="dxa" w:w="10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1.182.800</w:t>
            </w:r>
          </w:p>
        </w:tc>
        <w:tc>
          <w:tcPr>
            <w:tcW w:type="dxa" w:w="9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1.612.945</w:t>
            </w:r>
          </w:p>
        </w:tc>
        <w:tc>
          <w:tcPr>
            <w:tcW w:type="dxa" w:w="100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1.830.052</w:t>
            </w:r>
          </w:p>
        </w:tc>
        <w:tc>
          <w:tcPr>
            <w:tcW w:type="dxa" w:w="99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2.039.904</w:t>
            </w:r>
          </w:p>
        </w:tc>
        <w:tc>
          <w:tcPr>
            <w:tcW w:type="dxa" w:w="94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2.348.173</w:t>
            </w:r>
          </w:p>
        </w:tc>
        <w:tc>
          <w:tcPr>
            <w:tcW w:type="dxa" w:w="99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2.624.113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37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a</w:t>
            </w:r>
          </w:p>
        </w:tc>
        <w:tc>
          <w:tcPr>
            <w:tcW w:type="dxa" w:w="219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 xml:space="preserve">Materijalni troškovi </w:t>
            </w:r>
          </w:p>
        </w:tc>
        <w:tc>
          <w:tcPr>
            <w:tcW w:type="dxa" w:w="10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1.001.700</w:t>
            </w:r>
          </w:p>
        </w:tc>
        <w:tc>
          <w:tcPr>
            <w:tcW w:type="dxa" w:w="9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1.404.500</w:t>
            </w:r>
          </w:p>
        </w:tc>
        <w:tc>
          <w:tcPr>
            <w:tcW w:type="dxa" w:w="100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1.537.000</w:t>
            </w:r>
          </w:p>
        </w:tc>
        <w:tc>
          <w:tcPr>
            <w:tcW w:type="dxa" w:w="99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1.696.000</w:t>
            </w:r>
          </w:p>
        </w:tc>
        <w:tc>
          <w:tcPr>
            <w:tcW w:type="dxa" w:w="94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1.934.500</w:t>
            </w:r>
          </w:p>
        </w:tc>
        <w:tc>
          <w:tcPr>
            <w:tcW w:type="dxa" w:w="99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2.067.000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37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b</w:t>
            </w:r>
          </w:p>
        </w:tc>
        <w:tc>
          <w:tcPr>
            <w:tcW w:type="dxa" w:w="219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Bruto plaće</w:t>
            </w:r>
          </w:p>
        </w:tc>
        <w:tc>
          <w:tcPr>
            <w:tcW w:type="dxa" w:w="10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94.800</w:t>
            </w:r>
          </w:p>
        </w:tc>
        <w:tc>
          <w:tcPr>
            <w:tcW w:type="dxa" w:w="9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94.800</w:t>
            </w:r>
          </w:p>
        </w:tc>
        <w:tc>
          <w:tcPr>
            <w:tcW w:type="dxa" w:w="100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142.200</w:t>
            </w:r>
          </w:p>
        </w:tc>
        <w:tc>
          <w:tcPr>
            <w:tcW w:type="dxa" w:w="99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142.200</w:t>
            </w:r>
          </w:p>
        </w:tc>
        <w:tc>
          <w:tcPr>
            <w:tcW w:type="dxa" w:w="94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142.200</w:t>
            </w:r>
          </w:p>
        </w:tc>
        <w:tc>
          <w:tcPr>
            <w:tcW w:type="dxa" w:w="99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189.600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37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c</w:t>
            </w:r>
          </w:p>
        </w:tc>
        <w:tc>
          <w:tcPr>
            <w:tcW w:type="dxa" w:w="219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Amortizacija</w:t>
            </w:r>
          </w:p>
        </w:tc>
        <w:tc>
          <w:tcPr>
            <w:tcW w:type="dxa" w:w="10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57.600</w:t>
            </w:r>
          </w:p>
        </w:tc>
        <w:tc>
          <w:tcPr>
            <w:tcW w:type="dxa" w:w="9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80.640</w:t>
            </w:r>
          </w:p>
        </w:tc>
        <w:tc>
          <w:tcPr>
            <w:tcW w:type="dxa" w:w="100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112.896</w:t>
            </w:r>
          </w:p>
        </w:tc>
        <w:tc>
          <w:tcPr>
            <w:tcW w:type="dxa" w:w="99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158.054</w:t>
            </w:r>
          </w:p>
        </w:tc>
        <w:tc>
          <w:tcPr>
            <w:tcW w:type="dxa" w:w="94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221.276</w:t>
            </w:r>
          </w:p>
        </w:tc>
        <w:tc>
          <w:tcPr>
            <w:tcW w:type="dxa" w:w="99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309.787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37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d</w:t>
            </w:r>
          </w:p>
        </w:tc>
        <w:tc>
          <w:tcPr>
            <w:tcW w:type="dxa" w:w="219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Rashod financiranja</w:t>
            </w:r>
          </w:p>
        </w:tc>
        <w:tc>
          <w:tcPr>
            <w:tcW w:type="dxa" w:w="10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28.700</w:t>
            </w:r>
          </w:p>
        </w:tc>
        <w:tc>
          <w:tcPr>
            <w:tcW w:type="dxa" w:w="9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33.005</w:t>
            </w:r>
          </w:p>
        </w:tc>
        <w:tc>
          <w:tcPr>
            <w:tcW w:type="dxa" w:w="100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37.956</w:t>
            </w:r>
          </w:p>
        </w:tc>
        <w:tc>
          <w:tcPr>
            <w:tcW w:type="dxa" w:w="99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43.649</w:t>
            </w:r>
          </w:p>
        </w:tc>
        <w:tc>
          <w:tcPr>
            <w:tcW w:type="dxa" w:w="94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50.196</w:t>
            </w:r>
          </w:p>
        </w:tc>
        <w:tc>
          <w:tcPr>
            <w:tcW w:type="dxa" w:w="99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57.726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37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III</w:t>
            </w:r>
          </w:p>
        </w:tc>
        <w:tc>
          <w:tcPr>
            <w:tcW w:type="dxa" w:w="219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Dobit prije oporezivanja</w:t>
            </w:r>
          </w:p>
        </w:tc>
        <w:tc>
          <w:tcPr>
            <w:tcW w:type="dxa" w:w="10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707.200</w:t>
            </w:r>
          </w:p>
        </w:tc>
        <w:tc>
          <w:tcPr>
            <w:tcW w:type="dxa" w:w="9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1.037.055</w:t>
            </w:r>
          </w:p>
        </w:tc>
        <w:tc>
          <w:tcPr>
            <w:tcW w:type="dxa" w:w="100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1.069.948</w:t>
            </w:r>
          </w:p>
        </w:tc>
        <w:tc>
          <w:tcPr>
            <w:tcW w:type="dxa" w:w="99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1.160.096</w:t>
            </w:r>
          </w:p>
        </w:tc>
        <w:tc>
          <w:tcPr>
            <w:tcW w:type="dxa" w:w="94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1.301.827</w:t>
            </w:r>
          </w:p>
        </w:tc>
        <w:tc>
          <w:tcPr>
            <w:tcW w:type="dxa" w:w="99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1.275.887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37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IV</w:t>
            </w:r>
          </w:p>
        </w:tc>
        <w:tc>
          <w:tcPr>
            <w:tcW w:type="dxa" w:w="219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Porez na dobit</w:t>
            </w:r>
          </w:p>
        </w:tc>
        <w:tc>
          <w:tcPr>
            <w:tcW w:type="dxa" w:w="10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84.864</w:t>
            </w:r>
          </w:p>
        </w:tc>
        <w:tc>
          <w:tcPr>
            <w:tcW w:type="dxa" w:w="9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124.447</w:t>
            </w:r>
          </w:p>
        </w:tc>
        <w:tc>
          <w:tcPr>
            <w:tcW w:type="dxa" w:w="100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128.394</w:t>
            </w:r>
          </w:p>
        </w:tc>
        <w:tc>
          <w:tcPr>
            <w:tcW w:type="dxa" w:w="99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208.817</w:t>
            </w:r>
          </w:p>
        </w:tc>
        <w:tc>
          <w:tcPr>
            <w:tcW w:type="dxa" w:w="94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234.329</w:t>
            </w:r>
          </w:p>
        </w:tc>
        <w:tc>
          <w:tcPr>
            <w:tcW w:type="dxa" w:w="99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229.660</w:t>
            </w:r>
          </w:p>
        </w:tc>
      </w:tr>
      <w:tr w:rsidTr="006252DC" w:rsidR="006252DC" w:rsidRPr="006252DC">
        <w:trPr>
          <w:trHeight w:val="240"/>
          <w:jc w:val="center"/>
        </w:trPr>
        <w:tc>
          <w:tcPr>
            <w:tcW w:type="dxa" w:w="37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V</w:t>
            </w:r>
          </w:p>
        </w:tc>
        <w:tc>
          <w:tcPr>
            <w:tcW w:type="dxa" w:w="219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Neto dobit</w:t>
            </w:r>
          </w:p>
        </w:tc>
        <w:tc>
          <w:tcPr>
            <w:tcW w:type="dxa" w:w="10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622.336</w:t>
            </w:r>
          </w:p>
        </w:tc>
        <w:tc>
          <w:tcPr>
            <w:tcW w:type="dxa" w:w="9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912.608</w:t>
            </w:r>
          </w:p>
        </w:tc>
        <w:tc>
          <w:tcPr>
            <w:tcW w:type="dxa" w:w="100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941.554</w:t>
            </w:r>
          </w:p>
        </w:tc>
        <w:tc>
          <w:tcPr>
            <w:tcW w:type="dxa" w:w="99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951.279</w:t>
            </w:r>
          </w:p>
        </w:tc>
        <w:tc>
          <w:tcPr>
            <w:tcW w:type="dxa" w:w="94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1.067.498</w:t>
            </w:r>
          </w:p>
        </w:tc>
        <w:tc>
          <w:tcPr>
            <w:tcW w:type="dxa" w:w="99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1.046.228</w:t>
            </w:r>
          </w:p>
        </w:tc>
      </w:tr>
    </w:tbl>
    <w:p w:rsidRDefault="006252DC" w:rsidP="006252DC" w:rsidR="006252DC" w:rsidRPr="006252DC">
      <w:pPr>
        <w:spacing w:after="0"/>
        <w:rPr>
          <w:rFonts w:cs="Times New Roman" w:eastAsia="Calibri"/>
          <w:i/>
          <w:sz w:val="20"/>
          <w:lang w:eastAsia="en-GB" w:val="en-GB"/>
        </w:rPr>
      </w:pPr>
    </w:p>
    <w:p w:rsidRDefault="006252DC" w:rsidP="006252DC" w:rsidR="006252DC" w:rsidRPr="006252DC">
      <w:pPr>
        <w:spacing w:after="0"/>
        <w:jc w:val="center"/>
        <w:rPr>
          <w:rFonts w:cs="Times New Roman" w:eastAsia="Calibri"/>
          <w:i/>
          <w:lang w:eastAsia="en-GB" w:val="en-GB"/>
        </w:rPr>
      </w:pPr>
      <w:r w:rsidRPr="006252DC">
        <w:rPr>
          <w:rFonts w:cs="Times New Roman" w:eastAsia="Calibri"/>
          <w:i/>
          <w:lang w:eastAsia="en-GB" w:val="en-GB"/>
        </w:rPr>
        <w:t>Tablica 1: Projekcija budućeg poslovanja</w:t>
      </w:r>
    </w:p>
    <w:p w:rsidRDefault="006252DC" w:rsidP="006252DC" w:rsidR="006252DC" w:rsidRPr="006252DC">
      <w:pPr>
        <w:tabs>
          <w:tab w:pos="708" w:val="left"/>
        </w:tabs>
        <w:spacing w:lineRule="auto" w:line="360" w:after="0"/>
        <w:ind w:left="142"/>
        <w:contextualSpacing/>
        <w:rPr>
          <w:rFonts w:cs="Times New Roman" w:eastAsia="Times New Roman"/>
          <w:lang w:eastAsia="hr-HR"/>
        </w:rPr>
      </w:pPr>
    </w:p>
    <w:p w:rsidRDefault="006252DC" w:rsidP="006252DC" w:rsidR="006252DC" w:rsidRPr="006252DC">
      <w:pPr>
        <w:tabs>
          <w:tab w:pos="708" w:val="left"/>
        </w:tabs>
        <w:spacing w:lineRule="auto" w:line="360" w:after="0"/>
        <w:contextualSpacing/>
        <w:jc w:val="both"/>
        <w:rPr>
          <w:rFonts w:cs="Times New Roman" w:eastAsia="Times New Roman"/>
          <w:b/>
          <w:i/>
          <w:color w:val="FF6600"/>
          <w:lang w:eastAsia="hr-HR"/>
        </w:rPr>
      </w:pPr>
      <w:r w:rsidRPr="006252DC">
        <w:rPr>
          <w:rFonts w:cs="Times New Roman" w:eastAsia="Times New Roman"/>
          <w:lang w:eastAsia="hr-HR"/>
        </w:rPr>
        <w:t xml:space="preserve">Projicirani račun dobiti i gubitka iskazuje održivost predloženog poslovnog modela na razini neto dobiti. Tvrtka prihode temelji na povećanju prodaje. </w:t>
      </w:r>
    </w:p>
    <w:p w:rsidRDefault="006252DC" w:rsidP="006252DC" w:rsidR="006252DC" w:rsidRPr="006252DC">
      <w:pPr>
        <w:tabs>
          <w:tab w:pos="708" w:val="left"/>
        </w:tabs>
        <w:spacing w:lineRule="auto" w:line="360" w:after="0"/>
        <w:contextualSpacing/>
        <w:rPr>
          <w:rFonts w:cs="Times New Roman" w:eastAsia="Times New Roman"/>
          <w:b/>
          <w:color w:val="FF6600"/>
          <w:lang w:eastAsia="hr-HR"/>
        </w:rPr>
      </w:pPr>
      <w:r w:rsidRPr="006252DC">
        <w:rPr>
          <w:rFonts w:cs="Times New Roman" w:eastAsia="Times New Roman"/>
          <w:color w:val="FF6600"/>
          <w:lang w:eastAsia="hr-HR"/>
        </w:rPr>
        <w:t xml:space="preserve"> </w:t>
      </w:r>
    </w:p>
    <w:p w:rsidRDefault="006252DC" w:rsidP="006252DC" w:rsidR="006252DC" w:rsidRPr="006252DC">
      <w:pPr>
        <w:tabs>
          <w:tab w:pos="708" w:val="left"/>
        </w:tabs>
        <w:spacing w:lineRule="auto" w:line="360" w:after="0"/>
        <w:contextualSpacing/>
        <w:jc w:val="both"/>
        <w:rPr>
          <w:rFonts w:cs="Times New Roman" w:eastAsia="Times New Roman"/>
          <w:lang w:eastAsia="hr-HR"/>
        </w:rPr>
      </w:pPr>
      <w:r w:rsidRPr="006252DC">
        <w:rPr>
          <w:rFonts w:cs="Times New Roman" w:eastAsia="Times New Roman"/>
          <w:lang w:eastAsia="hr-HR"/>
        </w:rPr>
        <w:t xml:space="preserve">U 2017. godini uz stabilizaciju prihoda te povećanje bruto marže i smanjenjem operativnih troškova, poslovanje tvrtke biti će pozitivno. </w:t>
      </w: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 xml:space="preserve">U nastavku prikazujemo prosječne mjesečne troškove za nesmetano poslovanje, a odnose se </w:t>
      </w:r>
      <w:proofErr w:type="gramStart"/>
      <w:r w:rsidRPr="006252DC">
        <w:rPr>
          <w:rFonts w:cs="Times New Roman" w:eastAsia="Calibri"/>
          <w:lang w:eastAsia="en-GB" w:val="en-GB"/>
        </w:rPr>
        <w:t>na</w:t>
      </w:r>
      <w:proofErr w:type="gramEnd"/>
      <w:r w:rsidRPr="006252DC">
        <w:rPr>
          <w:rFonts w:cs="Times New Roman" w:eastAsia="Calibri"/>
          <w:lang w:eastAsia="en-GB" w:val="en-GB"/>
        </w:rPr>
        <w:t xml:space="preserve"> osnovne troškove poslovanja tvrtke. </w:t>
      </w:r>
      <w:proofErr w:type="gramStart"/>
      <w:r w:rsidRPr="006252DC">
        <w:rPr>
          <w:rFonts w:cs="Times New Roman" w:eastAsia="Calibri"/>
          <w:lang w:eastAsia="en-GB" w:val="en-GB"/>
        </w:rPr>
        <w:t>U navedene troškove uključeni su samo minimalni troškovi bruto plaća, režijski troškovi (plin, struja, voda, naknade, telefoni i sl.) i ostali osnovni troškovi nužni za poslovanje.</w:t>
      </w:r>
      <w:proofErr w:type="gramEnd"/>
      <w:r w:rsidRPr="006252DC">
        <w:rPr>
          <w:rFonts w:cs="Times New Roman" w:eastAsia="Calibri"/>
          <w:lang w:eastAsia="en-GB" w:val="en-GB"/>
        </w:rPr>
        <w:t xml:space="preserve"> </w:t>
      </w:r>
      <w:proofErr w:type="gramStart"/>
      <w:r w:rsidRPr="006252DC">
        <w:rPr>
          <w:rFonts w:cs="Times New Roman" w:eastAsia="Calibri"/>
          <w:lang w:eastAsia="en-GB" w:val="en-GB"/>
        </w:rPr>
        <w:t>Navedeni troškovi ne uključuju financiranje materijala potrebnih za obavljanje poslovanja kao i ostale direktne troškove.</w:t>
      </w:r>
      <w:proofErr w:type="gramEnd"/>
    </w:p>
    <w:p w:rsidRDefault="006252DC" w:rsidP="006252DC" w:rsidR="006252DC" w:rsidRPr="006252DC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rPr>
          <w:rFonts w:cs="Times New Roman" w:eastAsia="Calibri"/>
          <w:sz w:val="20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jc w:val="center"/>
        <w:rPr>
          <w:rFonts w:cs="Times New Roman" w:eastAsia="Calibri"/>
          <w:i/>
          <w:lang w:eastAsia="en-GB" w:val="en-GB"/>
        </w:rPr>
      </w:pPr>
      <w:r w:rsidRPr="006252DC">
        <w:rPr>
          <w:rFonts w:cs="Times New Roman" w:eastAsia="Calibri"/>
          <w:i/>
          <w:lang w:eastAsia="en-GB" w:val="en-GB"/>
        </w:rPr>
        <w:t>Tablica 3: Minimalni mjesečni troškovi</w:t>
      </w:r>
    </w:p>
    <w:p w:rsidRDefault="006252DC" w:rsidP="006252DC" w:rsidR="006252DC" w:rsidRPr="006252DC">
      <w:pPr>
        <w:spacing w:lineRule="auto" w:line="360" w:after="0"/>
        <w:jc w:val="center"/>
        <w:rPr>
          <w:rFonts w:cs="Times New Roman" w:eastAsia="Calibri"/>
          <w:i/>
          <w:sz w:val="20"/>
          <w:lang w:eastAsia="en-GB" w:val="en-GB"/>
        </w:rPr>
      </w:pPr>
    </w:p>
    <w:tbl>
      <w:tblPr>
        <w:tblW w:type="dxa" w:w="5854"/>
        <w:jc w:val="center"/>
        <w:tblLook w:val="04A0" w:noVBand="1" w:noHBand="0" w:lastColumn="0" w:firstColumn="1" w:lastRow="0" w:firstRow="1"/>
      </w:tblPr>
      <w:tblGrid>
        <w:gridCol w:w="914"/>
        <w:gridCol w:w="3100"/>
        <w:gridCol w:w="1840"/>
      </w:tblGrid>
      <w:tr w:rsidTr="006252DC" w:rsidR="006252DC" w:rsidRPr="006252DC">
        <w:trPr>
          <w:trHeight w:val="445"/>
          <w:jc w:val="center"/>
        </w:trPr>
        <w:tc>
          <w:tcPr>
            <w:tcW w:type="dxa" w:w="91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RB</w:t>
            </w:r>
          </w:p>
        </w:tc>
        <w:tc>
          <w:tcPr>
            <w:tcW w:type="dxa" w:w="310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Opis</w:t>
            </w:r>
          </w:p>
        </w:tc>
        <w:tc>
          <w:tcPr>
            <w:tcW w:type="dxa" w:w="184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Iznos</w:t>
            </w:r>
          </w:p>
        </w:tc>
      </w:tr>
      <w:tr w:rsidTr="006252DC" w:rsidR="006252DC" w:rsidRPr="006252DC">
        <w:trPr>
          <w:trHeight w:val="445"/>
          <w:jc w:val="center"/>
        </w:trPr>
        <w:tc>
          <w:tcPr>
            <w:tcW w:type="dxa" w:w="91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1</w:t>
            </w:r>
          </w:p>
        </w:tc>
        <w:tc>
          <w:tcPr>
            <w:tcW w:type="dxa" w:w="31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Režijski troškovi</w:t>
            </w:r>
          </w:p>
        </w:tc>
        <w:tc>
          <w:tcPr>
            <w:tcW w:type="dxa" w:w="18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11.691</w:t>
            </w:r>
          </w:p>
        </w:tc>
      </w:tr>
      <w:tr w:rsidTr="006252DC" w:rsidR="006252DC" w:rsidRPr="006252DC">
        <w:trPr>
          <w:trHeight w:val="445"/>
          <w:jc w:val="center"/>
        </w:trPr>
        <w:tc>
          <w:tcPr>
            <w:tcW w:type="dxa" w:w="91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2</w:t>
            </w:r>
          </w:p>
        </w:tc>
        <w:tc>
          <w:tcPr>
            <w:tcW w:type="dxa" w:w="31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Bruto plaće</w:t>
            </w:r>
          </w:p>
        </w:tc>
        <w:tc>
          <w:tcPr>
            <w:tcW w:type="dxa" w:w="18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13.880</w:t>
            </w:r>
          </w:p>
        </w:tc>
      </w:tr>
      <w:tr w:rsidTr="006252DC" w:rsidR="006252DC" w:rsidRPr="006252DC">
        <w:trPr>
          <w:trHeight w:val="445"/>
          <w:jc w:val="center"/>
        </w:trPr>
        <w:tc>
          <w:tcPr>
            <w:tcW w:type="dxa" w:w="91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3</w:t>
            </w:r>
          </w:p>
        </w:tc>
        <w:tc>
          <w:tcPr>
            <w:tcW w:type="dxa" w:w="31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Ostali troškovi</w:t>
            </w:r>
          </w:p>
        </w:tc>
        <w:tc>
          <w:tcPr>
            <w:tcW w:type="dxa" w:w="18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lang w:eastAsia="en-GB" w:val="en-GB"/>
              </w:rPr>
              <w:t>15.750</w:t>
            </w:r>
          </w:p>
        </w:tc>
      </w:tr>
      <w:tr w:rsidTr="006252DC" w:rsidR="006252DC" w:rsidRPr="006252DC">
        <w:trPr>
          <w:trHeight w:val="445"/>
          <w:jc w:val="center"/>
        </w:trPr>
        <w:tc>
          <w:tcPr>
            <w:tcW w:type="dxa" w:w="91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b/>
                <w:bCs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color w:val="000000"/>
                <w:lang w:eastAsia="en-GB" w:val="en-GB"/>
              </w:rPr>
              <w:t> </w:t>
            </w:r>
          </w:p>
        </w:tc>
        <w:tc>
          <w:tcPr>
            <w:tcW w:type="dxa" w:w="31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b/>
                <w:bCs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color w:val="000000"/>
                <w:lang w:eastAsia="en-GB" w:val="en-GB"/>
              </w:rPr>
              <w:t>Ukupno:</w:t>
            </w:r>
          </w:p>
        </w:tc>
        <w:tc>
          <w:tcPr>
            <w:tcW w:type="dxa" w:w="18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b/>
                <w:bCs/>
                <w:color w:val="000000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color w:val="000000"/>
                <w:lang w:eastAsia="en-GB" w:val="en-GB"/>
              </w:rPr>
              <w:t>41.321</w:t>
            </w:r>
          </w:p>
        </w:tc>
      </w:tr>
    </w:tbl>
    <w:p w:rsidRDefault="006252DC" w:rsidP="006252DC" w:rsidR="006252DC" w:rsidRPr="006252DC">
      <w:pPr>
        <w:spacing w:lineRule="auto" w:line="360" w:after="0"/>
        <w:jc w:val="center"/>
        <w:rPr>
          <w:rFonts w:cs="Times New Roman" w:eastAsia="Calibri"/>
          <w:i/>
          <w:sz w:val="20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jc w:val="center"/>
        <w:rPr>
          <w:rFonts w:cs="Times New Roman" w:eastAsia="Calibri"/>
          <w:i/>
          <w:sz w:val="20"/>
          <w:lang w:eastAsia="en-GB" w:val="en-GB"/>
        </w:rPr>
      </w:pPr>
    </w:p>
    <w:p w:rsidRDefault="006252DC" w:rsidP="006252DC" w:rsidR="006252DC" w:rsidRPr="006252DC">
      <w:pPr>
        <w:spacing w:after="0"/>
        <w:jc w:val="center"/>
        <w:rPr>
          <w:rFonts w:cs="Times New Roman" w:eastAsia="Calibri"/>
          <w:sz w:val="20"/>
          <w:lang w:eastAsia="en-GB" w:val="en-GB"/>
        </w:rPr>
      </w:pPr>
      <w:bookmarkStart w:name="_Toc451235628" w:id="79"/>
      <w:bookmarkStart w:name="_Toc314077457" w:id="80"/>
      <w:r w:rsidRPr="006252DC">
        <w:rPr>
          <w:rFonts w:cs="Times New Roman" w:eastAsia="Calibri"/>
          <w:noProof/>
          <w:lang w:eastAsia="hr-HR"/>
        </w:rPr>
        <w:drawing>
          <wp:inline distR="0" distL="0" distB="0" distT="0">
            <wp:extent cy="4229100" cx="5661660"/>
            <wp:effectExtent b="0" r="0" t="0" l="0"/>
            <wp:docPr descr="Slikovni rezultat za gra&amp;dstrok;evina" name="Picture 4" id="9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Slikovni rezultat za gra&amp;dstrok;evina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4229100" cx="566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52DC">
        <w:rPr>
          <w:rFonts w:cs="Times New Roman" w:eastAsia="Calibri"/>
          <w:noProof/>
          <w:lang w:eastAsia="hr-HR"/>
        </w:rPr>
        <w:t xml:space="preserve"> </w:t>
      </w:r>
      <w:r w:rsidRPr="006252DC">
        <w:rPr>
          <w:rFonts w:cs="Times New Roman" w:eastAsia="Calibri"/>
          <w:sz w:val="20"/>
          <w:lang w:eastAsia="en-GB" w:val="en-GB"/>
        </w:rPr>
        <w:br w:type="page"/>
      </w:r>
    </w:p>
    <w:p w:rsidRDefault="006252DC" w:rsidP="006252DC" w:rsidR="006252DC" w:rsidRPr="006252DC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  <w:color w:val="4F81BD"/>
        </w:rPr>
      </w:pPr>
      <w:bookmarkStart w:name="_Toc482047559" w:id="81"/>
      <w:bookmarkStart w:name="_Toc477898308" w:id="82"/>
      <w:bookmarkStart w:name="_Toc472012460" w:id="83"/>
      <w:r w:rsidRPr="006252DC">
        <w:rPr>
          <w:rFonts w:cs="Times New Roman" w:eastAsia="Times New Roman"/>
          <w:b/>
          <w:color w:val="4F81BD"/>
        </w:rPr>
        <w:lastRenderedPageBreak/>
        <w:t>6. PLANIRANA BILANCA NA ZADNJI DAN PETOGODIŠNJEG</w:t>
      </w:r>
      <w:bookmarkEnd w:id="81"/>
      <w:bookmarkEnd w:id="82"/>
      <w:bookmarkEnd w:id="83"/>
      <w:r w:rsidRPr="006252DC">
        <w:rPr>
          <w:rFonts w:cs="Times New Roman" w:eastAsia="Times New Roman"/>
          <w:b/>
          <w:color w:val="4F81BD"/>
        </w:rPr>
        <w:t xml:space="preserve"> </w:t>
      </w:r>
    </w:p>
    <w:p w:rsidRDefault="006252DC" w:rsidP="006252DC" w:rsidR="006252DC" w:rsidRPr="006252DC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  <w:color w:val="4F81BD"/>
        </w:rPr>
      </w:pPr>
      <w:r w:rsidRPr="006252DC">
        <w:rPr>
          <w:rFonts w:cs="Times New Roman" w:eastAsia="Times New Roman"/>
          <w:b/>
          <w:color w:val="4F81BD"/>
        </w:rPr>
        <w:t xml:space="preserve">    </w:t>
      </w:r>
      <w:bookmarkStart w:name="_Toc482047560" w:id="84"/>
      <w:bookmarkStart w:name="_Toc477898309" w:id="85"/>
      <w:bookmarkStart w:name="_Toc472012461" w:id="86"/>
      <w:r w:rsidRPr="006252DC">
        <w:rPr>
          <w:rFonts w:cs="Times New Roman" w:eastAsia="Times New Roman"/>
          <w:b/>
          <w:color w:val="4F81BD"/>
        </w:rPr>
        <w:t>RAZDOBLJA</w:t>
      </w:r>
      <w:bookmarkEnd w:id="79"/>
      <w:bookmarkEnd w:id="80"/>
      <w:bookmarkEnd w:id="84"/>
      <w:bookmarkEnd w:id="85"/>
      <w:bookmarkEnd w:id="86"/>
    </w:p>
    <w:p w:rsidRDefault="006252DC" w:rsidP="006252DC" w:rsidR="006252DC" w:rsidRPr="006252DC">
      <w:pPr>
        <w:spacing w:after="0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 xml:space="preserve">Tvrtka će ostvarenjem navedenog Plana operativnog i financijskog restrukturiranja biti dovedena u stanje stabilnog, održivog i neograničenog poslovanja, sa stanjem obveza kako je prikazano </w:t>
      </w:r>
      <w:proofErr w:type="gramStart"/>
      <w:r w:rsidRPr="006252DC">
        <w:rPr>
          <w:rFonts w:cs="Times New Roman" w:eastAsia="Calibri"/>
          <w:lang w:eastAsia="en-GB" w:val="en-GB"/>
        </w:rPr>
        <w:t>u  Bilanci</w:t>
      </w:r>
      <w:proofErr w:type="gramEnd"/>
      <w:r w:rsidRPr="006252DC">
        <w:rPr>
          <w:rFonts w:cs="Times New Roman" w:eastAsia="Calibri"/>
          <w:lang w:eastAsia="en-GB" w:val="en-GB"/>
        </w:rPr>
        <w:t xml:space="preserve"> na dan 28.02.2022. </w:t>
      </w:r>
      <w:proofErr w:type="gramStart"/>
      <w:r w:rsidRPr="006252DC">
        <w:rPr>
          <w:rFonts w:cs="Times New Roman" w:eastAsia="Calibri"/>
          <w:lang w:eastAsia="en-GB" w:val="en-GB"/>
        </w:rPr>
        <w:t>godine</w:t>
      </w:r>
      <w:proofErr w:type="gramEnd"/>
      <w:r w:rsidRPr="006252DC">
        <w:rPr>
          <w:rFonts w:cs="Times New Roman" w:eastAsia="Calibri"/>
          <w:lang w:eastAsia="en-GB" w:val="en-GB"/>
        </w:rPr>
        <w:t>, kao zadnjeg dana za koji je sastavljen plan.</w:t>
      </w: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tbl>
      <w:tblPr>
        <w:tblW w:type="dxa" w:w="8434"/>
        <w:jc w:val="center"/>
        <w:tblLook w:val="04A0" w:noVBand="1" w:noHBand="0" w:lastColumn="0" w:firstColumn="1" w:lastRow="0" w:firstRow="1"/>
      </w:tblPr>
      <w:tblGrid>
        <w:gridCol w:w="4780"/>
        <w:gridCol w:w="1827"/>
        <w:gridCol w:w="1827"/>
      </w:tblGrid>
      <w:tr w:rsidTr="006252DC" w:rsidR="006252DC" w:rsidRPr="006252DC">
        <w:trPr>
          <w:trHeight w:val="418"/>
          <w:jc w:val="center"/>
        </w:trPr>
        <w:tc>
          <w:tcPr>
            <w:tcW w:type="dxa" w:w="478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lang w:eastAsia="en-GB" w:val="en-GB"/>
              </w:rPr>
              <w:t>PASIVA</w:t>
            </w:r>
          </w:p>
        </w:tc>
        <w:tc>
          <w:tcPr>
            <w:tcW w:type="dxa" w:w="182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b/>
                <w:bCs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lang w:eastAsia="en-GB" w:val="en-GB"/>
              </w:rPr>
              <w:t>28.02.2017.</w:t>
            </w:r>
          </w:p>
        </w:tc>
        <w:tc>
          <w:tcPr>
            <w:tcW w:type="dxa" w:w="182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b/>
                <w:bCs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lang w:eastAsia="en-GB" w:val="en-GB"/>
              </w:rPr>
              <w:t>31.12.2022.</w:t>
            </w:r>
          </w:p>
        </w:tc>
      </w:tr>
      <w:tr w:rsidTr="006252DC" w:rsidR="006252DC" w:rsidRPr="006252DC">
        <w:trPr>
          <w:trHeight w:val="418"/>
          <w:jc w:val="center"/>
        </w:trPr>
        <w:tc>
          <w:tcPr>
            <w:tcW w:type="dxa" w:w="47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lang w:eastAsia="en-GB" w:val="en-GB"/>
              </w:rPr>
            </w:pPr>
            <w:r w:rsidRPr="006252DC">
              <w:rPr>
                <w:rFonts w:cs="Times New Roman" w:eastAsia="Times New Roman"/>
                <w:lang w:eastAsia="en-GB" w:val="en-GB"/>
              </w:rPr>
              <w:t xml:space="preserve">     1. Obveze za zajmove, depozite i slično</w:t>
            </w:r>
          </w:p>
        </w:tc>
        <w:tc>
          <w:tcPr>
            <w:tcW w:type="dxa" w:w="182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lang w:eastAsia="en-GB" w:val="en-GB"/>
              </w:rPr>
            </w:pPr>
            <w:r w:rsidRPr="006252DC">
              <w:rPr>
                <w:rFonts w:cs="Times New Roman" w:eastAsia="Times New Roman"/>
                <w:lang w:eastAsia="en-GB" w:val="en-GB"/>
              </w:rPr>
              <w:t>40.000</w:t>
            </w:r>
          </w:p>
        </w:tc>
        <w:tc>
          <w:tcPr>
            <w:tcW w:type="dxa" w:w="182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lang w:eastAsia="en-GB" w:val="en-GB"/>
              </w:rPr>
            </w:pPr>
            <w:r w:rsidRPr="006252DC">
              <w:rPr>
                <w:rFonts w:cs="Times New Roman" w:eastAsia="Times New Roman"/>
                <w:lang w:eastAsia="en-GB" w:val="en-GB"/>
              </w:rPr>
              <w:t>25.230</w:t>
            </w:r>
          </w:p>
        </w:tc>
      </w:tr>
      <w:tr w:rsidTr="006252DC" w:rsidR="006252DC" w:rsidRPr="006252DC">
        <w:trPr>
          <w:trHeight w:val="418"/>
          <w:jc w:val="center"/>
        </w:trPr>
        <w:tc>
          <w:tcPr>
            <w:tcW w:type="dxa" w:w="47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lang w:eastAsia="en-GB" w:val="en-GB"/>
              </w:rPr>
            </w:pPr>
            <w:r w:rsidRPr="006252DC">
              <w:rPr>
                <w:rFonts w:cs="Times New Roman" w:eastAsia="Times New Roman"/>
                <w:lang w:eastAsia="en-GB" w:val="en-GB"/>
              </w:rPr>
              <w:t xml:space="preserve">     2. Obveze prema dobavljačima</w:t>
            </w:r>
          </w:p>
        </w:tc>
        <w:tc>
          <w:tcPr>
            <w:tcW w:type="dxa" w:w="182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lang w:eastAsia="en-GB" w:val="en-GB"/>
              </w:rPr>
            </w:pPr>
            <w:r w:rsidRPr="006252DC">
              <w:rPr>
                <w:rFonts w:cs="Times New Roman" w:eastAsia="Times New Roman"/>
                <w:lang w:eastAsia="en-GB" w:val="en-GB"/>
              </w:rPr>
              <w:t>116.730</w:t>
            </w:r>
          </w:p>
        </w:tc>
        <w:tc>
          <w:tcPr>
            <w:tcW w:type="dxa" w:w="182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lang w:eastAsia="en-GB" w:val="en-GB"/>
              </w:rPr>
            </w:pPr>
            <w:r w:rsidRPr="006252DC">
              <w:rPr>
                <w:rFonts w:cs="Times New Roman" w:eastAsia="Times New Roman"/>
                <w:lang w:eastAsia="en-GB" w:val="en-GB"/>
              </w:rPr>
              <w:t>75.627</w:t>
            </w:r>
          </w:p>
        </w:tc>
      </w:tr>
      <w:tr w:rsidTr="006252DC" w:rsidR="006252DC" w:rsidRPr="006252DC">
        <w:trPr>
          <w:trHeight w:val="418"/>
          <w:jc w:val="center"/>
        </w:trPr>
        <w:tc>
          <w:tcPr>
            <w:tcW w:type="dxa" w:w="47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lang w:eastAsia="en-GB" w:val="en-GB"/>
              </w:rPr>
            </w:pPr>
            <w:r w:rsidRPr="006252DC">
              <w:rPr>
                <w:rFonts w:cs="Times New Roman" w:eastAsia="Times New Roman"/>
                <w:lang w:eastAsia="en-GB" w:val="en-GB"/>
              </w:rPr>
              <w:t xml:space="preserve">     3. Obveze prema zaposlenicima</w:t>
            </w:r>
          </w:p>
        </w:tc>
        <w:tc>
          <w:tcPr>
            <w:tcW w:type="dxa" w:w="182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lang w:eastAsia="en-GB" w:val="en-GB"/>
              </w:rPr>
            </w:pPr>
            <w:r w:rsidRPr="006252DC">
              <w:rPr>
                <w:rFonts w:cs="Times New Roman" w:eastAsia="Times New Roman"/>
                <w:lang w:eastAsia="en-GB" w:val="en-GB"/>
              </w:rPr>
              <w:t>0</w:t>
            </w:r>
          </w:p>
        </w:tc>
        <w:tc>
          <w:tcPr>
            <w:tcW w:type="dxa" w:w="182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lang w:eastAsia="en-GB" w:val="en-GB"/>
              </w:rPr>
            </w:pPr>
            <w:r w:rsidRPr="006252DC">
              <w:rPr>
                <w:rFonts w:cs="Times New Roman" w:eastAsia="Times New Roman"/>
                <w:lang w:eastAsia="en-GB" w:val="en-GB"/>
              </w:rPr>
              <w:t>0</w:t>
            </w:r>
          </w:p>
        </w:tc>
      </w:tr>
      <w:tr w:rsidTr="006252DC" w:rsidR="006252DC" w:rsidRPr="006252DC">
        <w:trPr>
          <w:trHeight w:val="627"/>
          <w:jc w:val="center"/>
        </w:trPr>
        <w:tc>
          <w:tcPr>
            <w:tcW w:type="dxa" w:w="47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lang w:eastAsia="en-GB" w:val="en-GB"/>
              </w:rPr>
            </w:pPr>
            <w:r w:rsidRPr="006252DC">
              <w:rPr>
                <w:rFonts w:cs="Times New Roman" w:eastAsia="Times New Roman"/>
                <w:lang w:eastAsia="en-GB" w:val="en-GB"/>
              </w:rPr>
              <w:t xml:space="preserve">     4. Obveze  za poreze, doprinose i sličana davanja</w:t>
            </w:r>
          </w:p>
        </w:tc>
        <w:tc>
          <w:tcPr>
            <w:tcW w:type="dxa" w:w="182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lang w:eastAsia="en-GB" w:val="en-GB"/>
              </w:rPr>
            </w:pPr>
            <w:r w:rsidRPr="006252DC">
              <w:rPr>
                <w:rFonts w:cs="Times New Roman" w:eastAsia="Times New Roman"/>
                <w:lang w:eastAsia="en-GB" w:val="en-GB"/>
              </w:rPr>
              <w:t>1.146.919</w:t>
            </w:r>
          </w:p>
        </w:tc>
        <w:tc>
          <w:tcPr>
            <w:tcW w:type="dxa" w:w="182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lang w:eastAsia="en-GB" w:val="en-GB"/>
              </w:rPr>
            </w:pPr>
            <w:r w:rsidRPr="006252DC">
              <w:rPr>
                <w:rFonts w:cs="Times New Roman" w:eastAsia="Times New Roman"/>
                <w:lang w:eastAsia="en-GB" w:val="en-GB"/>
              </w:rPr>
              <w:t>689.328</w:t>
            </w:r>
          </w:p>
        </w:tc>
      </w:tr>
      <w:tr w:rsidTr="006252DC" w:rsidR="006252DC" w:rsidRPr="006252DC">
        <w:trPr>
          <w:trHeight w:val="418"/>
          <w:jc w:val="center"/>
        </w:trPr>
        <w:tc>
          <w:tcPr>
            <w:tcW w:type="dxa" w:w="47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lang w:eastAsia="en-GB" w:val="en-GB"/>
              </w:rPr>
              <w:t>UKUPNO</w:t>
            </w:r>
          </w:p>
        </w:tc>
        <w:tc>
          <w:tcPr>
            <w:tcW w:type="dxa" w:w="182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b/>
                <w:bCs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lang w:eastAsia="en-GB" w:val="en-GB"/>
              </w:rPr>
              <w:t>1.303.649</w:t>
            </w:r>
          </w:p>
        </w:tc>
        <w:tc>
          <w:tcPr>
            <w:tcW w:type="dxa" w:w="182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b/>
                <w:bCs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lang w:eastAsia="en-GB" w:val="en-GB"/>
              </w:rPr>
              <w:t>790.185</w:t>
            </w:r>
          </w:p>
        </w:tc>
      </w:tr>
    </w:tbl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sz w:val="20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ind w:firstLine="708"/>
        <w:jc w:val="center"/>
        <w:rPr>
          <w:rFonts w:cs="Times New Roman" w:eastAsia="Calibri"/>
          <w:sz w:val="20"/>
          <w:lang w:eastAsia="en-GB" w:val="en-GB"/>
        </w:rPr>
      </w:pPr>
    </w:p>
    <w:p w:rsidRDefault="006252DC" w:rsidP="006252DC" w:rsidR="006252DC" w:rsidRPr="006252DC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  <w:color w:val="4F81BD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6252DC" w:rsidP="006252DC" w:rsidR="006252DC" w:rsidRPr="006252DC">
      <w:pPr>
        <w:spacing w:after="0"/>
        <w:rPr>
          <w:rFonts w:cs="Times New Roman" w:eastAsia="Calibri"/>
          <w:b/>
          <w:color w:val="4F81BD"/>
          <w:sz w:val="21"/>
          <w:szCs w:val="28"/>
          <w:lang w:val="en-GB"/>
        </w:rPr>
      </w:pPr>
      <w:r w:rsidRPr="006252DC">
        <w:rPr>
          <w:rFonts w:cs="Times New Roman" w:eastAsia="Calibri"/>
          <w:sz w:val="20"/>
          <w:lang w:eastAsia="en-GB" w:val="en-GB"/>
        </w:rPr>
        <w:br w:type="page"/>
      </w:r>
      <w:bookmarkStart w:name="_Toc451235629" w:id="87"/>
      <w:bookmarkStart w:name="_Toc314077459" w:id="88"/>
    </w:p>
    <w:p w:rsidRDefault="006252DC" w:rsidP="006252DC" w:rsidR="006252DC" w:rsidRPr="006252DC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  <w:color w:val="4F81BD"/>
        </w:rPr>
      </w:pPr>
      <w:bookmarkStart w:name="_Toc482047561" w:id="89"/>
      <w:bookmarkStart w:name="_Toc477898310" w:id="90"/>
      <w:bookmarkStart w:name="_Toc472012462" w:id="91"/>
      <w:r w:rsidRPr="006252DC">
        <w:rPr>
          <w:rFonts w:cs="Times New Roman" w:eastAsia="Times New Roman"/>
          <w:b/>
          <w:color w:val="4F81BD"/>
        </w:rPr>
        <w:lastRenderedPageBreak/>
        <w:t>7. PONUDA VJEROVNICIMA U PREDSTEČAJNOM POSTUPKU</w:t>
      </w:r>
      <w:bookmarkEnd w:id="89"/>
      <w:bookmarkEnd w:id="90"/>
      <w:bookmarkEnd w:id="91"/>
      <w:r w:rsidRPr="006252DC">
        <w:rPr>
          <w:rFonts w:cs="Times New Roman" w:eastAsia="Times New Roman"/>
          <w:b/>
          <w:color w:val="4F81BD"/>
        </w:rPr>
        <w:t xml:space="preserve"> </w:t>
      </w:r>
      <w:bookmarkEnd w:id="87"/>
      <w:bookmarkEnd w:id="88"/>
    </w:p>
    <w:p w:rsidRDefault="006252DC" w:rsidP="006252DC" w:rsidR="006252DC" w:rsidRPr="006252DC">
      <w:pPr>
        <w:spacing w:after="0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 xml:space="preserve">Sukladno prethodno opisnom modelu, prijedlog predstečajnog postupka bazira se </w:t>
      </w:r>
      <w:proofErr w:type="gramStart"/>
      <w:r w:rsidRPr="006252DC">
        <w:rPr>
          <w:rFonts w:cs="Times New Roman" w:eastAsia="Calibri"/>
          <w:lang w:eastAsia="en-GB" w:val="en-GB"/>
        </w:rPr>
        <w:t>na</w:t>
      </w:r>
      <w:proofErr w:type="gramEnd"/>
      <w:r w:rsidRPr="006252DC">
        <w:rPr>
          <w:rFonts w:cs="Times New Roman" w:eastAsia="Calibri"/>
          <w:lang w:eastAsia="en-GB" w:val="en-GB"/>
        </w:rPr>
        <w:t xml:space="preserve"> otpisu dijela tražbina.</w:t>
      </w: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jc w:val="both"/>
        <w:rPr>
          <w:rFonts w:cs="Times New Roman" w:eastAsia="Calibri"/>
          <w:b/>
          <w:u w:val="single"/>
          <w:lang w:eastAsia="en-GB" w:val="en-GB"/>
        </w:rPr>
      </w:pPr>
      <w:r w:rsidRPr="006252DC">
        <w:rPr>
          <w:rFonts w:cs="Times New Roman" w:eastAsia="Calibri"/>
          <w:b/>
          <w:u w:val="single"/>
          <w:lang w:eastAsia="en-GB" w:val="en-GB"/>
        </w:rPr>
        <w:t>Tražbine vjerovnika:</w:t>
      </w:r>
    </w:p>
    <w:p w:rsidRDefault="006252DC" w:rsidP="006252DC" w:rsidR="006252DC" w:rsidRPr="006252DC">
      <w:pPr>
        <w:numPr>
          <w:ilvl w:val="0"/>
          <w:numId w:val="48"/>
        </w:numPr>
        <w:spacing w:lineRule="auto" w:line="360" w:after="0"/>
        <w:contextualSpacing/>
        <w:jc w:val="both"/>
        <w:rPr>
          <w:rFonts w:cs="Times New Roman" w:eastAsia="Times New Roman"/>
          <w:b/>
          <w:bCs/>
          <w:lang w:eastAsia="hr-HR"/>
        </w:rPr>
      </w:pPr>
      <w:bookmarkStart w:name="_Toc451235631" w:id="92"/>
      <w:r w:rsidRPr="006252DC">
        <w:rPr>
          <w:rFonts w:cs="Times New Roman" w:eastAsia="Times New Roman"/>
          <w:lang w:eastAsia="hr-HR"/>
        </w:rPr>
        <w:t xml:space="preserve">Dug prema grupi </w:t>
      </w:r>
      <w:r w:rsidRPr="006252DC">
        <w:rPr>
          <w:rFonts w:cs="Times New Roman" w:eastAsia="Times New Roman"/>
          <w:b/>
          <w:lang w:eastAsia="hr-HR"/>
        </w:rPr>
        <w:t xml:space="preserve">VJEROVNICI </w:t>
      </w:r>
      <w:r w:rsidRPr="006252DC">
        <w:rPr>
          <w:rFonts w:cs="Times New Roman" w:eastAsia="Times New Roman"/>
          <w:lang w:eastAsia="hr-HR"/>
        </w:rPr>
        <w:t xml:space="preserve">na dan 28.02.2017. godine iznosi </w:t>
      </w:r>
      <w:r w:rsidRPr="006252DC">
        <w:rPr>
          <w:rFonts w:cs="Times New Roman" w:eastAsia="Times New Roman"/>
          <w:color w:val="000000"/>
          <w:lang w:eastAsia="hr-HR"/>
        </w:rPr>
        <w:t xml:space="preserve">4.589.420,45 </w:t>
      </w:r>
      <w:r w:rsidRPr="006252DC">
        <w:rPr>
          <w:rFonts w:cs="Times New Roman" w:eastAsia="Times New Roman"/>
          <w:lang w:eastAsia="hr-HR"/>
        </w:rPr>
        <w:t xml:space="preserve">kn. Predlaže se otpis tražbina za 70%. Preostalih 30% tražbina otplatiti će se na 36 mjeseci uz dodatnih 12 mjeseci počeka, bez kamata, u jednakim mjesečnim anuitetima, počevši od pravomoćnosti Rješenja Trgovačkog suda o sklopljenom predstečajnom postupku, svakog 15-tog u mjesecu. </w:t>
      </w:r>
    </w:p>
    <w:p w:rsidRDefault="006252DC" w:rsidP="006252DC" w:rsidR="006252DC" w:rsidRPr="006252DC">
      <w:pPr>
        <w:spacing w:lineRule="auto" w:line="360" w:after="0"/>
        <w:ind w:left="720"/>
        <w:contextualSpacing/>
        <w:jc w:val="both"/>
        <w:rPr>
          <w:rFonts w:cs="Times New Roman" w:eastAsia="Times New Roman"/>
          <w:b/>
          <w:bCs/>
          <w:sz w:val="15"/>
          <w:szCs w:val="20"/>
          <w:lang w:eastAsia="hr-HR"/>
        </w:rPr>
      </w:pPr>
    </w:p>
    <w:tbl>
      <w:tblPr>
        <w:tblW w:type="dxa" w:w="10317"/>
        <w:tblInd w:type="dxa" w:w="113"/>
        <w:tblLook w:val="04A0" w:noVBand="1" w:noHBand="0" w:lastColumn="0" w:firstColumn="1" w:lastRow="0" w:firstRow="1"/>
      </w:tblPr>
      <w:tblGrid>
        <w:gridCol w:w="498"/>
        <w:gridCol w:w="1486"/>
        <w:gridCol w:w="2827"/>
        <w:gridCol w:w="1278"/>
        <w:gridCol w:w="1278"/>
        <w:gridCol w:w="1464"/>
        <w:gridCol w:w="1486"/>
      </w:tblGrid>
      <w:tr w:rsidTr="006252DC" w:rsidR="006252DC" w:rsidRPr="006252DC">
        <w:trPr>
          <w:trHeight w:val="859"/>
        </w:trPr>
        <w:tc>
          <w:tcPr>
            <w:tcW w:type="dxa" w:w="49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  <w:t>RB</w:t>
            </w:r>
          </w:p>
        </w:tc>
        <w:tc>
          <w:tcPr>
            <w:tcW w:type="dxa" w:w="148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  <w:t>OIB</w:t>
            </w:r>
          </w:p>
        </w:tc>
        <w:tc>
          <w:tcPr>
            <w:tcW w:type="dxa" w:w="282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  <w:t xml:space="preserve">NAZIV VJEROVNIKA  </w:t>
            </w:r>
          </w:p>
        </w:tc>
        <w:tc>
          <w:tcPr>
            <w:tcW w:type="dxa" w:w="127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  <w:t>IZNOS OBVEZE</w:t>
            </w:r>
          </w:p>
        </w:tc>
        <w:tc>
          <w:tcPr>
            <w:tcW w:type="dxa" w:w="127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  <w:t>OTPIS</w:t>
            </w:r>
          </w:p>
        </w:tc>
        <w:tc>
          <w:tcPr>
            <w:tcW w:type="dxa" w:w="146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  <w:t>PREOSTALO ZA OTPLATU</w:t>
            </w:r>
          </w:p>
        </w:tc>
        <w:tc>
          <w:tcPr>
            <w:tcW w:type="dxa" w:w="148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  <w:t>STRUKTURA</w:t>
            </w:r>
          </w:p>
        </w:tc>
      </w:tr>
      <w:tr w:rsidTr="006252DC" w:rsidR="006252DC" w:rsidRPr="006252DC">
        <w:trPr>
          <w:trHeight w:val="429"/>
        </w:trPr>
        <w:tc>
          <w:tcPr>
            <w:tcW w:type="dxa" w:w="49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1</w:t>
            </w:r>
          </w:p>
        </w:tc>
        <w:tc>
          <w:tcPr>
            <w:tcW w:type="dxa" w:w="14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79061449459</w:t>
            </w:r>
          </w:p>
        </w:tc>
        <w:tc>
          <w:tcPr>
            <w:tcW w:type="dxa" w:w="282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PRVA LIGA vl. IVICA VIDUKA</w:t>
            </w:r>
          </w:p>
        </w:tc>
        <w:tc>
          <w:tcPr>
            <w:tcW w:type="dxa" w:w="12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20.494,06</w:t>
            </w:r>
          </w:p>
        </w:tc>
        <w:tc>
          <w:tcPr>
            <w:tcW w:type="dxa" w:w="12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14.345,84</w:t>
            </w:r>
          </w:p>
        </w:tc>
        <w:tc>
          <w:tcPr>
            <w:tcW w:type="dxa" w:w="146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6.148,22</w:t>
            </w:r>
          </w:p>
        </w:tc>
        <w:tc>
          <w:tcPr>
            <w:tcW w:type="dxa" w:w="14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0,45%</w:t>
            </w:r>
          </w:p>
        </w:tc>
      </w:tr>
      <w:tr w:rsidTr="006252DC" w:rsidR="006252DC" w:rsidRPr="006252DC">
        <w:trPr>
          <w:trHeight w:val="429"/>
        </w:trPr>
        <w:tc>
          <w:tcPr>
            <w:tcW w:type="dxa" w:w="49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2</w:t>
            </w:r>
          </w:p>
        </w:tc>
        <w:tc>
          <w:tcPr>
            <w:tcW w:type="dxa" w:w="14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74056056752</w:t>
            </w:r>
          </w:p>
        </w:tc>
        <w:tc>
          <w:tcPr>
            <w:tcW w:type="dxa" w:w="282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FORCH d.o.o.</w:t>
            </w:r>
          </w:p>
        </w:tc>
        <w:tc>
          <w:tcPr>
            <w:tcW w:type="dxa" w:w="12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614,60</w:t>
            </w:r>
          </w:p>
        </w:tc>
        <w:tc>
          <w:tcPr>
            <w:tcW w:type="dxa" w:w="12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430,22</w:t>
            </w:r>
          </w:p>
        </w:tc>
        <w:tc>
          <w:tcPr>
            <w:tcW w:type="dxa" w:w="146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184,38</w:t>
            </w:r>
          </w:p>
        </w:tc>
        <w:tc>
          <w:tcPr>
            <w:tcW w:type="dxa" w:w="14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0,01%</w:t>
            </w:r>
          </w:p>
        </w:tc>
      </w:tr>
      <w:tr w:rsidTr="006252DC" w:rsidR="006252DC" w:rsidRPr="006252DC">
        <w:trPr>
          <w:trHeight w:val="429"/>
        </w:trPr>
        <w:tc>
          <w:tcPr>
            <w:tcW w:type="dxa" w:w="49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3</w:t>
            </w:r>
          </w:p>
        </w:tc>
        <w:tc>
          <w:tcPr>
            <w:tcW w:type="dxa" w:w="14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36523098396</w:t>
            </w:r>
          </w:p>
        </w:tc>
        <w:tc>
          <w:tcPr>
            <w:tcW w:type="dxa" w:w="282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EFFECTUS d.o.o.</w:t>
            </w:r>
          </w:p>
        </w:tc>
        <w:tc>
          <w:tcPr>
            <w:tcW w:type="dxa" w:w="12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2.400,00</w:t>
            </w:r>
          </w:p>
        </w:tc>
        <w:tc>
          <w:tcPr>
            <w:tcW w:type="dxa" w:w="12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1.680,00</w:t>
            </w:r>
          </w:p>
        </w:tc>
        <w:tc>
          <w:tcPr>
            <w:tcW w:type="dxa" w:w="146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720,00</w:t>
            </w:r>
          </w:p>
        </w:tc>
        <w:tc>
          <w:tcPr>
            <w:tcW w:type="dxa" w:w="14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0,05%</w:t>
            </w:r>
          </w:p>
        </w:tc>
      </w:tr>
      <w:tr w:rsidTr="006252DC" w:rsidR="006252DC" w:rsidRPr="006252DC">
        <w:trPr>
          <w:trHeight w:val="429"/>
        </w:trPr>
        <w:tc>
          <w:tcPr>
            <w:tcW w:type="dxa" w:w="49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4</w:t>
            </w:r>
          </w:p>
        </w:tc>
        <w:tc>
          <w:tcPr>
            <w:tcW w:type="dxa" w:w="14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83612640175</w:t>
            </w:r>
          </w:p>
        </w:tc>
        <w:tc>
          <w:tcPr>
            <w:tcW w:type="dxa" w:w="282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LUNIKO INŽENJERING d.o.o.</w:t>
            </w:r>
          </w:p>
        </w:tc>
        <w:tc>
          <w:tcPr>
            <w:tcW w:type="dxa" w:w="12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13.687,50</w:t>
            </w:r>
          </w:p>
        </w:tc>
        <w:tc>
          <w:tcPr>
            <w:tcW w:type="dxa" w:w="12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9.581,25</w:t>
            </w:r>
          </w:p>
        </w:tc>
        <w:tc>
          <w:tcPr>
            <w:tcW w:type="dxa" w:w="146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4.106,25</w:t>
            </w:r>
          </w:p>
        </w:tc>
        <w:tc>
          <w:tcPr>
            <w:tcW w:type="dxa" w:w="14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0,30%</w:t>
            </w:r>
          </w:p>
        </w:tc>
      </w:tr>
      <w:tr w:rsidTr="006252DC" w:rsidR="006252DC" w:rsidRPr="006252DC">
        <w:trPr>
          <w:trHeight w:val="429"/>
        </w:trPr>
        <w:tc>
          <w:tcPr>
            <w:tcW w:type="dxa" w:w="49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5</w:t>
            </w:r>
          </w:p>
        </w:tc>
        <w:tc>
          <w:tcPr>
            <w:tcW w:type="dxa" w:w="14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87910130484</w:t>
            </w:r>
          </w:p>
        </w:tc>
        <w:tc>
          <w:tcPr>
            <w:tcW w:type="dxa" w:w="282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TRANSPORT BETON LUBINA d.o.o.</w:t>
            </w:r>
          </w:p>
        </w:tc>
        <w:tc>
          <w:tcPr>
            <w:tcW w:type="dxa" w:w="12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15.577,56</w:t>
            </w:r>
          </w:p>
        </w:tc>
        <w:tc>
          <w:tcPr>
            <w:tcW w:type="dxa" w:w="12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10.904,29</w:t>
            </w:r>
          </w:p>
        </w:tc>
        <w:tc>
          <w:tcPr>
            <w:tcW w:type="dxa" w:w="146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4.673,27</w:t>
            </w:r>
          </w:p>
        </w:tc>
        <w:tc>
          <w:tcPr>
            <w:tcW w:type="dxa" w:w="14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0,34%</w:t>
            </w:r>
          </w:p>
        </w:tc>
      </w:tr>
      <w:tr w:rsidTr="006252DC" w:rsidR="006252DC" w:rsidRPr="006252DC">
        <w:trPr>
          <w:trHeight w:val="429"/>
        </w:trPr>
        <w:tc>
          <w:tcPr>
            <w:tcW w:type="dxa" w:w="49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6</w:t>
            </w:r>
          </w:p>
        </w:tc>
        <w:tc>
          <w:tcPr>
            <w:tcW w:type="dxa" w:w="14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78913530404</w:t>
            </w:r>
          </w:p>
        </w:tc>
        <w:tc>
          <w:tcPr>
            <w:tcW w:type="dxa" w:w="282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JUKIĆ DAM d.o.o.</w:t>
            </w:r>
          </w:p>
        </w:tc>
        <w:tc>
          <w:tcPr>
            <w:tcW w:type="dxa" w:w="12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23.452,32</w:t>
            </w:r>
          </w:p>
        </w:tc>
        <w:tc>
          <w:tcPr>
            <w:tcW w:type="dxa" w:w="12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16.416,62</w:t>
            </w:r>
          </w:p>
        </w:tc>
        <w:tc>
          <w:tcPr>
            <w:tcW w:type="dxa" w:w="146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7.035,70</w:t>
            </w:r>
          </w:p>
        </w:tc>
        <w:tc>
          <w:tcPr>
            <w:tcW w:type="dxa" w:w="14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0,51%</w:t>
            </w:r>
          </w:p>
        </w:tc>
      </w:tr>
      <w:tr w:rsidTr="006252DC" w:rsidR="006252DC" w:rsidRPr="006252DC">
        <w:trPr>
          <w:trHeight w:val="429"/>
        </w:trPr>
        <w:tc>
          <w:tcPr>
            <w:tcW w:type="dxa" w:w="49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7</w:t>
            </w:r>
          </w:p>
        </w:tc>
        <w:tc>
          <w:tcPr>
            <w:tcW w:type="dxa" w:w="14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26004523816</w:t>
            </w:r>
          </w:p>
        </w:tc>
        <w:tc>
          <w:tcPr>
            <w:tcW w:type="dxa" w:w="282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TRGOMETAL d.o.o.</w:t>
            </w:r>
          </w:p>
        </w:tc>
        <w:tc>
          <w:tcPr>
            <w:tcW w:type="dxa" w:w="12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33.066,08</w:t>
            </w:r>
          </w:p>
        </w:tc>
        <w:tc>
          <w:tcPr>
            <w:tcW w:type="dxa" w:w="12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23.146,26</w:t>
            </w:r>
          </w:p>
        </w:tc>
        <w:tc>
          <w:tcPr>
            <w:tcW w:type="dxa" w:w="146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9.919,82</w:t>
            </w:r>
          </w:p>
        </w:tc>
        <w:tc>
          <w:tcPr>
            <w:tcW w:type="dxa" w:w="14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0,72%</w:t>
            </w:r>
          </w:p>
        </w:tc>
      </w:tr>
      <w:tr w:rsidTr="006252DC" w:rsidR="006252DC" w:rsidRPr="006252DC">
        <w:trPr>
          <w:trHeight w:val="429"/>
        </w:trPr>
        <w:tc>
          <w:tcPr>
            <w:tcW w:type="dxa" w:w="49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8</w:t>
            </w:r>
          </w:p>
        </w:tc>
        <w:tc>
          <w:tcPr>
            <w:tcW w:type="dxa" w:w="14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11059217210</w:t>
            </w:r>
          </w:p>
        </w:tc>
        <w:tc>
          <w:tcPr>
            <w:tcW w:type="dxa" w:w="282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VIGINES</w:t>
            </w:r>
          </w:p>
        </w:tc>
        <w:tc>
          <w:tcPr>
            <w:tcW w:type="dxa" w:w="12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48.325,00</w:t>
            </w:r>
          </w:p>
        </w:tc>
        <w:tc>
          <w:tcPr>
            <w:tcW w:type="dxa" w:w="12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33.827,50</w:t>
            </w:r>
          </w:p>
        </w:tc>
        <w:tc>
          <w:tcPr>
            <w:tcW w:type="dxa" w:w="146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14.497,50</w:t>
            </w:r>
          </w:p>
        </w:tc>
        <w:tc>
          <w:tcPr>
            <w:tcW w:type="dxa" w:w="14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1,05%</w:t>
            </w:r>
          </w:p>
        </w:tc>
      </w:tr>
      <w:tr w:rsidTr="006252DC" w:rsidR="006252DC" w:rsidRPr="006252DC">
        <w:trPr>
          <w:trHeight w:val="429"/>
        </w:trPr>
        <w:tc>
          <w:tcPr>
            <w:tcW w:type="dxa" w:w="49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9</w:t>
            </w:r>
          </w:p>
        </w:tc>
        <w:tc>
          <w:tcPr>
            <w:tcW w:type="dxa" w:w="14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18683136487</w:t>
            </w:r>
          </w:p>
        </w:tc>
        <w:tc>
          <w:tcPr>
            <w:tcW w:type="dxa" w:w="282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RH, Ministarstvo financija, Porezna uprava</w:t>
            </w:r>
          </w:p>
        </w:tc>
        <w:tc>
          <w:tcPr>
            <w:tcW w:type="dxa" w:w="12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1.167.806,55</w:t>
            </w:r>
          </w:p>
        </w:tc>
        <w:tc>
          <w:tcPr>
            <w:tcW w:type="dxa" w:w="12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817.464,59</w:t>
            </w:r>
          </w:p>
        </w:tc>
        <w:tc>
          <w:tcPr>
            <w:tcW w:type="dxa" w:w="146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350.341,97</w:t>
            </w:r>
          </w:p>
        </w:tc>
        <w:tc>
          <w:tcPr>
            <w:tcW w:type="dxa" w:w="14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color w:val="000000"/>
                <w:sz w:val="20"/>
                <w:lang w:eastAsia="en-GB" w:val="en-GB"/>
              </w:rPr>
              <w:t>25,45%</w:t>
            </w:r>
          </w:p>
        </w:tc>
      </w:tr>
      <w:tr w:rsidTr="006252DC" w:rsidR="006252DC" w:rsidRPr="006252DC">
        <w:trPr>
          <w:trHeight w:val="429"/>
        </w:trPr>
        <w:tc>
          <w:tcPr>
            <w:tcW w:type="dxa" w:w="49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sz w:val="20"/>
                <w:lang w:eastAsia="en-GB" w:val="en-GB"/>
              </w:rPr>
              <w:t>10</w:t>
            </w:r>
          </w:p>
        </w:tc>
        <w:tc>
          <w:tcPr>
            <w:tcW w:type="dxa" w:w="1486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sz w:val="20"/>
                <w:lang w:eastAsia="en-GB" w:val="en-GB"/>
              </w:rPr>
              <w:t>42709941217</w:t>
            </w:r>
          </w:p>
        </w:tc>
        <w:tc>
          <w:tcPr>
            <w:tcW w:type="dxa" w:w="282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sz w:val="20"/>
                <w:lang w:eastAsia="en-GB" w:val="en-GB"/>
              </w:rPr>
              <w:t>MATE VIDUKA</w:t>
            </w:r>
          </w:p>
        </w:tc>
        <w:tc>
          <w:tcPr>
            <w:tcW w:type="dxa" w:w="127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sz w:val="20"/>
                <w:lang w:eastAsia="en-GB" w:val="en-GB"/>
              </w:rPr>
              <w:t>20.000,00</w:t>
            </w:r>
          </w:p>
        </w:tc>
        <w:tc>
          <w:tcPr>
            <w:tcW w:type="dxa" w:w="127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sz w:val="20"/>
                <w:lang w:eastAsia="en-GB" w:val="en-GB"/>
              </w:rPr>
              <w:t>14.000,00</w:t>
            </w:r>
          </w:p>
        </w:tc>
        <w:tc>
          <w:tcPr>
            <w:tcW w:type="dxa" w:w="146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sz w:val="20"/>
                <w:lang w:eastAsia="en-GB" w:val="en-GB"/>
              </w:rPr>
              <w:t>6.000,00</w:t>
            </w:r>
          </w:p>
        </w:tc>
        <w:tc>
          <w:tcPr>
            <w:tcW w:type="dxa" w:w="148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sz w:val="20"/>
                <w:lang w:eastAsia="en-GB" w:val="en-GB"/>
              </w:rPr>
              <w:t>0,44%</w:t>
            </w:r>
          </w:p>
        </w:tc>
      </w:tr>
      <w:tr w:rsidTr="006252DC" w:rsidR="006252DC" w:rsidRPr="006252DC">
        <w:trPr>
          <w:trHeight w:val="429"/>
        </w:trPr>
        <w:tc>
          <w:tcPr>
            <w:tcW w:type="dxa" w:w="49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sz w:val="20"/>
                <w:lang w:eastAsia="en-GB" w:val="en-GB"/>
              </w:rPr>
              <w:t>11</w:t>
            </w:r>
          </w:p>
        </w:tc>
        <w:tc>
          <w:tcPr>
            <w:tcW w:type="dxa" w:w="148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sz w:val="20"/>
                <w:lang w:eastAsia="en-GB" w:val="en-GB"/>
              </w:rPr>
              <w:t>79061449459</w:t>
            </w:r>
          </w:p>
        </w:tc>
        <w:tc>
          <w:tcPr>
            <w:tcW w:type="dxa" w:w="282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sz w:val="20"/>
                <w:lang w:eastAsia="en-GB" w:val="en-GB"/>
              </w:rPr>
              <w:t>IVICA VIDUKA</w:t>
            </w:r>
          </w:p>
        </w:tc>
        <w:tc>
          <w:tcPr>
            <w:tcW w:type="dxa" w:w="12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sz w:val="20"/>
                <w:lang w:eastAsia="en-GB" w:val="en-GB"/>
              </w:rPr>
              <w:t>1.876.500,00</w:t>
            </w:r>
          </w:p>
        </w:tc>
        <w:tc>
          <w:tcPr>
            <w:tcW w:type="dxa" w:w="12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sz w:val="20"/>
                <w:lang w:eastAsia="en-GB" w:val="en-GB"/>
              </w:rPr>
              <w:t>1.313.550,00</w:t>
            </w:r>
          </w:p>
        </w:tc>
        <w:tc>
          <w:tcPr>
            <w:tcW w:type="dxa" w:w="146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sz w:val="20"/>
                <w:lang w:eastAsia="en-GB" w:val="en-GB"/>
              </w:rPr>
              <w:t>562.950,00</w:t>
            </w:r>
          </w:p>
        </w:tc>
        <w:tc>
          <w:tcPr>
            <w:tcW w:type="dxa" w:w="14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sz w:val="20"/>
                <w:lang w:eastAsia="en-GB" w:val="en-GB"/>
              </w:rPr>
              <w:t>40,89%</w:t>
            </w:r>
          </w:p>
        </w:tc>
      </w:tr>
      <w:tr w:rsidTr="006252DC" w:rsidR="006252DC" w:rsidRPr="006252DC">
        <w:trPr>
          <w:trHeight w:val="429"/>
        </w:trPr>
        <w:tc>
          <w:tcPr>
            <w:tcW w:type="dxa" w:w="49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sz w:val="20"/>
                <w:lang w:eastAsia="en-GB" w:val="en-GB"/>
              </w:rPr>
              <w:t>12</w:t>
            </w:r>
          </w:p>
        </w:tc>
        <w:tc>
          <w:tcPr>
            <w:tcW w:type="dxa" w:w="148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sz w:val="20"/>
                <w:lang w:eastAsia="en-GB" w:val="en-GB"/>
              </w:rPr>
              <w:t>98311716168</w:t>
            </w:r>
          </w:p>
        </w:tc>
        <w:tc>
          <w:tcPr>
            <w:tcW w:type="dxa" w:w="282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sz w:val="20"/>
                <w:lang w:eastAsia="en-GB" w:val="en-GB"/>
              </w:rPr>
              <w:t> BABILONA d.o.o.</w:t>
            </w:r>
          </w:p>
        </w:tc>
        <w:tc>
          <w:tcPr>
            <w:tcW w:type="dxa" w:w="12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sz w:val="20"/>
                <w:lang w:eastAsia="en-GB" w:val="en-GB"/>
              </w:rPr>
              <w:t>1.367.482,87</w:t>
            </w:r>
          </w:p>
        </w:tc>
        <w:tc>
          <w:tcPr>
            <w:tcW w:type="dxa" w:w="12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sz w:val="20"/>
                <w:lang w:eastAsia="en-GB" w:val="en-GB"/>
              </w:rPr>
              <w:t>957.238,01</w:t>
            </w:r>
          </w:p>
        </w:tc>
        <w:tc>
          <w:tcPr>
            <w:tcW w:type="dxa" w:w="146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sz w:val="20"/>
                <w:lang w:eastAsia="en-GB" w:val="en-GB"/>
              </w:rPr>
              <w:t>410.244,86</w:t>
            </w:r>
          </w:p>
        </w:tc>
        <w:tc>
          <w:tcPr>
            <w:tcW w:type="dxa" w:w="14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sz w:val="20"/>
                <w:lang w:eastAsia="en-GB" w:val="en-GB"/>
              </w:rPr>
              <w:t>29,80%</w:t>
            </w:r>
          </w:p>
        </w:tc>
      </w:tr>
      <w:tr w:rsidTr="006252DC" w:rsidR="006252DC" w:rsidRPr="006252DC">
        <w:trPr>
          <w:trHeight w:val="402"/>
        </w:trPr>
        <w:tc>
          <w:tcPr>
            <w:tcW w:type="dxa" w:w="49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  <w:t> </w:t>
            </w:r>
          </w:p>
        </w:tc>
        <w:tc>
          <w:tcPr>
            <w:tcW w:type="dxa" w:w="14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center"/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  <w:t> </w:t>
            </w:r>
          </w:p>
        </w:tc>
        <w:tc>
          <w:tcPr>
            <w:tcW w:type="dxa" w:w="282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  <w:t>Ukupno:</w:t>
            </w:r>
          </w:p>
        </w:tc>
        <w:tc>
          <w:tcPr>
            <w:tcW w:type="dxa" w:w="12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  <w:t>4.589.420,45</w:t>
            </w:r>
          </w:p>
        </w:tc>
        <w:tc>
          <w:tcPr>
            <w:tcW w:type="dxa" w:w="12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  <w:t>3.212.594,32</w:t>
            </w:r>
          </w:p>
        </w:tc>
        <w:tc>
          <w:tcPr>
            <w:tcW w:type="dxa" w:w="146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  <w:t>1.376.826,14</w:t>
            </w:r>
          </w:p>
        </w:tc>
        <w:tc>
          <w:tcPr>
            <w:tcW w:type="dxa" w:w="14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6252DC" w:rsidP="006252DC" w:rsidR="006252DC" w:rsidRPr="006252DC">
            <w:pPr>
              <w:spacing w:after="0"/>
              <w:jc w:val="right"/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</w:pPr>
            <w:r w:rsidRPr="006252DC">
              <w:rPr>
                <w:rFonts w:cs="Times New Roman" w:eastAsia="Times New Roman"/>
                <w:b/>
                <w:bCs/>
                <w:color w:val="000000"/>
                <w:sz w:val="20"/>
                <w:lang w:eastAsia="en-GB" w:val="en-GB"/>
              </w:rPr>
              <w:t>100,00%</w:t>
            </w:r>
          </w:p>
        </w:tc>
      </w:tr>
    </w:tbl>
    <w:p w:rsidRDefault="006252DC" w:rsidP="006252DC" w:rsidR="006252DC" w:rsidRPr="006252DC">
      <w:pPr>
        <w:spacing w:after="0"/>
        <w:rPr>
          <w:rFonts w:cs="Times New Roman" w:eastAsia="Calibri"/>
          <w:b/>
          <w:color w:val="4F81BD"/>
          <w:sz w:val="21"/>
          <w:szCs w:val="28"/>
          <w:lang w:val="en-GB"/>
        </w:rPr>
      </w:pPr>
    </w:p>
    <w:p w:rsidRDefault="006252DC" w:rsidP="006252DC" w:rsidR="006252DC" w:rsidRPr="006252DC">
      <w:pPr>
        <w:spacing w:after="0"/>
        <w:rPr>
          <w:rFonts w:cs="Times New Roman" w:eastAsia="Times New Roman"/>
          <w:b/>
          <w:color w:val="4F81BD"/>
        </w:rPr>
      </w:pPr>
      <w:r w:rsidRPr="006252DC">
        <w:rPr>
          <w:rFonts w:cs="Times New Roman" w:eastAsia="Calibri"/>
          <w:lang w:eastAsia="en-GB" w:val="en-GB"/>
        </w:rPr>
        <w:br w:type="page"/>
      </w:r>
      <w:bookmarkStart w:name="_Toc477898311" w:id="93"/>
      <w:bookmarkStart w:name="_Toc470731770" w:id="94"/>
      <w:bookmarkStart w:name="_Toc472012463" w:id="95"/>
    </w:p>
    <w:p w:rsidRDefault="006252DC" w:rsidP="006252DC" w:rsidR="006252DC" w:rsidRPr="006252DC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  <w:color w:val="4F81BD"/>
        </w:rPr>
      </w:pPr>
      <w:bookmarkStart w:name="_Toc482047562" w:id="96"/>
      <w:r w:rsidRPr="006252DC">
        <w:rPr>
          <w:rFonts w:cs="Times New Roman" w:eastAsia="Times New Roman"/>
          <w:b/>
          <w:color w:val="4F81BD"/>
        </w:rPr>
        <w:lastRenderedPageBreak/>
        <w:t>8. ROKOVI ZA DOBROVOLJNO ISPUNJENJE</w:t>
      </w:r>
      <w:bookmarkEnd w:id="93"/>
      <w:bookmarkEnd w:id="94"/>
      <w:bookmarkEnd w:id="96"/>
    </w:p>
    <w:p w:rsidRDefault="006252DC" w:rsidP="006252DC" w:rsidR="006252DC" w:rsidRPr="006252DC">
      <w:pPr>
        <w:spacing w:lineRule="auto" w:line="360" w:after="0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>Vjerovnici su svrstani u jednu grupu:</w:t>
      </w:r>
    </w:p>
    <w:p w:rsidRDefault="006252DC" w:rsidP="006252DC" w:rsidR="006252DC" w:rsidRPr="006252DC">
      <w:pPr>
        <w:spacing w:lineRule="auto" w:line="360" w:after="0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numPr>
          <w:ilvl w:val="0"/>
          <w:numId w:val="48"/>
        </w:numPr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6252DC">
        <w:rPr>
          <w:rFonts w:cs="Times New Roman" w:eastAsia="Times New Roman"/>
          <w:b/>
          <w:u w:val="single"/>
          <w:lang w:eastAsia="hr-HR"/>
        </w:rPr>
        <w:t>Vjerovnici koji imaju neosiguranu tražbinu</w:t>
      </w:r>
      <w:r w:rsidRPr="006252DC">
        <w:rPr>
          <w:rFonts w:cs="Times New Roman" w:eastAsia="Times New Roman"/>
          <w:lang w:eastAsia="hr-HR"/>
        </w:rPr>
        <w:t>. Za njih  je predložena otplata 30% od utvrđenih tražbina u 36 jednakih mjesečnih anuiteta, nakon isteka 12 mjeseci počeka, bez kamata.</w:t>
      </w:r>
    </w:p>
    <w:p w:rsidRDefault="006252DC" w:rsidP="006252DC" w:rsidR="006252DC" w:rsidRPr="006252DC">
      <w:pPr>
        <w:spacing w:lineRule="auto" w:line="360" w:after="0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ind w:left="1003"/>
        <w:contextualSpacing/>
        <w:rPr>
          <w:rFonts w:cs="Times New Roman" w:eastAsia="Times New Roman"/>
          <w:lang w:eastAsia="hr-HR"/>
        </w:rPr>
      </w:pPr>
    </w:p>
    <w:p w:rsidRDefault="006252DC" w:rsidP="006252DC" w:rsidR="006252DC" w:rsidRPr="006252DC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  <w:color w:val="4F81BD"/>
        </w:rPr>
      </w:pPr>
      <w:bookmarkStart w:name="_Toc482047563" w:id="97"/>
      <w:bookmarkStart w:name="_Toc477898312" w:id="98"/>
      <w:r w:rsidRPr="006252DC">
        <w:rPr>
          <w:rFonts w:cs="Times New Roman" w:eastAsia="Times New Roman"/>
          <w:b/>
          <w:color w:val="4F81BD"/>
        </w:rPr>
        <w:t>9. PLANIRANI TROŠKOVI RESTRUKTURIRANJA</w:t>
      </w:r>
      <w:bookmarkEnd w:id="92"/>
      <w:bookmarkEnd w:id="95"/>
      <w:bookmarkEnd w:id="97"/>
      <w:bookmarkEnd w:id="98"/>
    </w:p>
    <w:p w:rsidRDefault="006252DC" w:rsidP="006252DC" w:rsidR="006252DC" w:rsidRPr="006252DC">
      <w:pPr>
        <w:spacing w:lineRule="auto" w:line="360" w:after="0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>Troškovi restrukturiranja podijeljeni su u skupine koji uključuju sljedeće grupe troškova:</w:t>
      </w:r>
    </w:p>
    <w:p w:rsidRDefault="006252DC" w:rsidP="006252DC" w:rsidR="006252DC" w:rsidRPr="006252DC">
      <w:pPr>
        <w:numPr>
          <w:ilvl w:val="0"/>
          <w:numId w:val="54"/>
        </w:numPr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6252DC">
        <w:rPr>
          <w:rFonts w:cs="Times New Roman" w:eastAsia="Times New Roman"/>
          <w:lang w:eastAsia="hr-HR"/>
        </w:rPr>
        <w:t>Administrativni troškovi  - 10.000 kn</w:t>
      </w:r>
    </w:p>
    <w:p w:rsidRDefault="006252DC" w:rsidP="006252DC" w:rsidR="006252DC" w:rsidRPr="006252DC">
      <w:pPr>
        <w:numPr>
          <w:ilvl w:val="0"/>
          <w:numId w:val="54"/>
        </w:numPr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6252DC">
        <w:rPr>
          <w:rFonts w:cs="Times New Roman" w:eastAsia="Times New Roman"/>
          <w:lang w:eastAsia="hr-HR"/>
        </w:rPr>
        <w:t>Operativni troškovi restrukturiranja -  10.000 kn</w:t>
      </w:r>
    </w:p>
    <w:p w:rsidRDefault="006252DC" w:rsidP="006252DC" w:rsidR="006252DC" w:rsidRPr="006252DC">
      <w:pPr>
        <w:numPr>
          <w:ilvl w:val="0"/>
          <w:numId w:val="54"/>
        </w:numPr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6252DC">
        <w:rPr>
          <w:rFonts w:cs="Times New Roman" w:eastAsia="Times New Roman"/>
          <w:lang w:eastAsia="hr-HR"/>
        </w:rPr>
        <w:t>Ostali troškovi – 7.000 kn</w:t>
      </w:r>
    </w:p>
    <w:p w:rsidRDefault="006252DC" w:rsidP="006252DC" w:rsidR="006252DC" w:rsidRPr="006252DC">
      <w:pPr>
        <w:spacing w:lineRule="auto" w:line="360" w:after="0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 xml:space="preserve">Ukupno očekivani troškovi postupka restrukturiranja procijenjuju se </w:t>
      </w:r>
      <w:proofErr w:type="gramStart"/>
      <w:r w:rsidRPr="006252DC">
        <w:rPr>
          <w:rFonts w:cs="Times New Roman" w:eastAsia="Calibri"/>
          <w:lang w:eastAsia="en-GB" w:val="en-GB"/>
        </w:rPr>
        <w:t>na</w:t>
      </w:r>
      <w:proofErr w:type="gramEnd"/>
      <w:r w:rsidRPr="006252DC">
        <w:rPr>
          <w:rFonts w:cs="Times New Roman" w:eastAsia="Calibri"/>
          <w:lang w:eastAsia="en-GB" w:val="en-GB"/>
        </w:rPr>
        <w:t xml:space="preserve"> 27.000,00 kn.</w:t>
      </w:r>
    </w:p>
    <w:bookmarkEnd w:id="71"/>
    <w:bookmarkEnd w:id="72"/>
    <w:bookmarkEnd w:id="73"/>
    <w:p w:rsidRDefault="006252DC" w:rsidP="006252DC" w:rsidR="006252DC" w:rsidRPr="006252DC">
      <w:pPr>
        <w:spacing w:lineRule="auto" w:line="360" w:after="0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tabs>
          <w:tab w:pos="3879" w:val="left"/>
        </w:tabs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6252DC">
        <w:rPr>
          <w:rFonts w:cs="Times New Roman" w:eastAsia="Calibri"/>
          <w:lang w:eastAsia="en-GB" w:val="en-GB"/>
        </w:rPr>
        <w:t xml:space="preserve">Plan financijskog i operativnog restrukturiranja tvrtke MATEO PRIDRAGA d.o.o. za 2017. - 2022. </w:t>
      </w:r>
      <w:proofErr w:type="gramStart"/>
      <w:r w:rsidRPr="006252DC">
        <w:rPr>
          <w:rFonts w:cs="Times New Roman" w:eastAsia="Calibri"/>
          <w:lang w:eastAsia="en-GB" w:val="en-GB"/>
        </w:rPr>
        <w:t>godinu</w:t>
      </w:r>
      <w:proofErr w:type="gramEnd"/>
      <w:r w:rsidRPr="006252DC">
        <w:rPr>
          <w:rFonts w:cs="Times New Roman" w:eastAsia="Calibri"/>
          <w:lang w:eastAsia="en-GB" w:val="en-GB"/>
        </w:rPr>
        <w:t xml:space="preserve"> usvojio je i odobrio zakonski zastupnik tvrtke MATEO PRIDRAGA d.o.o. dana 22.05.2017. </w:t>
      </w:r>
      <w:proofErr w:type="gramStart"/>
      <w:r w:rsidRPr="006252DC">
        <w:rPr>
          <w:rFonts w:cs="Times New Roman" w:eastAsia="Calibri"/>
          <w:lang w:eastAsia="en-GB" w:val="en-GB"/>
        </w:rPr>
        <w:t>godine</w:t>
      </w:r>
      <w:proofErr w:type="gramEnd"/>
      <w:r w:rsidRPr="006252DC">
        <w:rPr>
          <w:rFonts w:cs="Times New Roman" w:eastAsia="Calibri"/>
          <w:lang w:eastAsia="en-GB" w:val="en-GB"/>
        </w:rPr>
        <w:t>.</w:t>
      </w:r>
    </w:p>
    <w:p w:rsidRDefault="006252DC" w:rsidP="006252DC" w:rsidR="006252DC" w:rsidRPr="006252DC">
      <w:pPr>
        <w:tabs>
          <w:tab w:pos="3879" w:val="left"/>
        </w:tabs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tabs>
          <w:tab w:pos="3879" w:val="left"/>
        </w:tabs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tabs>
          <w:tab w:pos="3879" w:val="left"/>
        </w:tabs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6252DC" w:rsidP="006252DC" w:rsidR="006252DC" w:rsidRPr="006252DC">
      <w:pPr>
        <w:spacing w:lineRule="auto" w:line="360" w:after="0"/>
        <w:ind w:firstLine="708" w:left="5664"/>
        <w:jc w:val="center"/>
        <w:rPr>
          <w:rFonts w:cs="Times New Roman" w:eastAsia="Calibri"/>
          <w:b/>
          <w:color w:val="4F81BD"/>
          <w:lang w:eastAsia="en-GB" w:val="en-GB"/>
        </w:rPr>
      </w:pPr>
      <w:r w:rsidRPr="006252DC">
        <w:rPr>
          <w:rFonts w:cs="Times New Roman" w:eastAsia="Calibri"/>
          <w:b/>
          <w:color w:val="4F81BD"/>
          <w:lang w:eastAsia="en-GB" w:val="en-GB"/>
        </w:rPr>
        <w:t xml:space="preserve">   </w:t>
      </w:r>
      <w:proofErr w:type="gramStart"/>
      <w:r w:rsidRPr="006252DC">
        <w:rPr>
          <w:rFonts w:cs="Times New Roman" w:eastAsia="Calibri"/>
          <w:b/>
          <w:color w:val="4F81BD"/>
          <w:lang w:eastAsia="en-GB" w:val="en-GB"/>
        </w:rPr>
        <w:t>MATEO PRIDRAGA d.o.o.</w:t>
      </w:r>
      <w:proofErr w:type="gramEnd"/>
    </w:p>
    <w:p w:rsidRDefault="006252DC" w:rsidP="006252DC" w:rsidR="006252DC" w:rsidRPr="006252DC">
      <w:pPr>
        <w:spacing w:lineRule="auto" w:line="360" w:after="0"/>
        <w:ind w:firstLine="708" w:left="5812"/>
        <w:rPr>
          <w:rFonts w:cs="Times New Roman" w:eastAsia="Calibri"/>
          <w:bCs/>
          <w:lang w:eastAsia="zh-CN" w:val="en-GB"/>
        </w:rPr>
      </w:pPr>
      <w:r w:rsidRPr="006252DC">
        <w:rPr>
          <w:rFonts w:cs="Times New Roman" w:eastAsia="Calibri"/>
          <w:lang w:val="en-US"/>
        </w:rPr>
        <w:t xml:space="preserve"> Mate Viduka, direktor</w:t>
      </w:r>
    </w:p>
    <w:p w:rsidRDefault="006252DC" w:rsidP="006252DC" w:rsidR="006252DC" w:rsidRPr="006252DC">
      <w:pPr>
        <w:tabs>
          <w:tab w:pos="3879" w:val="left"/>
        </w:tabs>
        <w:spacing w:lineRule="auto" w:line="360" w:after="0"/>
        <w:rPr>
          <w:rFonts w:cs="Times New Roman" w:eastAsia="Calibri"/>
          <w:lang w:eastAsia="en-GB" w:val="en-GB"/>
        </w:rPr>
      </w:pPr>
    </w:p>
    <w:p w:rsidRDefault="00AE649C" w:rsidP="004F27AE" w:rsidR="00AE649C" w:rsidRPr="00B76F3C">
      <w:pPr>
        <w:pStyle w:val="NormaleSPIS"/>
      </w:pPr>
    </w:p>
    <w:sectPr w:rsidSect="006252DC" w:rsidR="00AE649C" w:rsidRPr="00B76F3C">
      <w:headerReference w:type="default" r:id="rId43"/>
      <w:pgSz w:code="9" w:h="16839" w:w="11907"/>
      <w:pgMar w:gutter="0" w:footer="1134" w:header="1134" w:left="1417" w:bottom="1134" w:right="1417" w:top="1417"/>
      <w:cols w:space="720"/>
      <w:docGrid w:linePitch="326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id="-1" w:type="separator">
    <w:p w:rsidRDefault="00AB4602" w:rsidP="00537B78" w:rsidR="00AB4602">
      <w:r>
        <w:separator/>
      </w:r>
    </w:p>
  </w:endnote>
  <w:endnote w:id="0" w:type="continuationSeparator">
    <w:p w:rsidRDefault="00AB4602" w:rsidP="00537B78" w:rsidR="00AB460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Symbol">
    <w:panose1 w:val="05050102010706020507"/>
    <w:charset w:val="02"/>
    <w:family w:val="roman"/>
    <w:pitch w:val="variable"/>
    <w:sig w:csb1="00000000" w:csb0="80000000" w:usb3="00000000" w:usb2="00000000" w:usb1="10000000" w:usb0="00000000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Courier New">
    <w:panose1 w:val="02070309020205020404"/>
    <w:charset w:val="EE"/>
    <w:family w:val="modern"/>
    <w:pitch w:val="fixed"/>
    <w:sig w:csb1="00000000" w:csb0="000001FF" w:usb3="00000000" w:usb2="00000009" w:usb1="C0007843" w:usb0="E0002AFF"/>
  </w:font>
  <w:font w:name="Wingdings">
    <w:panose1 w:val="05000000000000000000"/>
    <w:charset w:val="02"/>
    <w:family w:val="auto"/>
    <w:pitch w:val="variable"/>
    <w:sig w:csb1="00000000" w:csb0="80000000" w:usb3="00000000" w:usb2="00000000" w:usb1="10000000" w:usb0="00000000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SimSun">
    <w:altName w:val="宋体"/>
    <w:panose1 w:val="02010600030101010101"/>
    <w:charset w:val="86"/>
    <w:family w:val="auto"/>
    <w:pitch w:val="variable"/>
    <w:sig w:csb1="00000000" w:csb0="00040001" w:usb3="00000000" w:usb2="00000016" w:usb1="288F0000" w:usb0="00000003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Arial">
    <w:panose1 w:val="020B0604020202020204"/>
    <w:charset w:val="EE"/>
    <w:family w:val="swiss"/>
    <w:pitch w:val="variable"/>
    <w:sig w:csb1="00000000" w:csb0="000001FF" w:usb3="00000000" w:usb2="00000009" w:usb1="C0007843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onsolas">
    <w:panose1 w:val="020B0609020204030204"/>
    <w:charset w:val="EE"/>
    <w:family w:val="modern"/>
    <w:pitch w:val="fixed"/>
    <w:sig w:csb1="00000000" w:csb0="0000019F" w:usb3="00000000" w:usb2="00000009" w:usb1="4000FCFF" w:usb0="E10002FF"/>
  </w:font>
  <w:font w:name="Georgia">
    <w:panose1 w:val="02040502050405020303"/>
    <w:charset w:val="EE"/>
    <w:family w:val="roman"/>
    <w:pitch w:val="variable"/>
    <w:sig w:csb1="00000000" w:csb0="0000009F" w:usb3="00000000" w:usb2="00000000" w:usb1="00000000" w:usb0="00000287"/>
  </w:font>
  <w:font w:name="Verdana">
    <w:panose1 w:val="020B0604030504040204"/>
    <w:charset w:val="EE"/>
    <w:family w:val="swiss"/>
    <w:pitch w:val="variable"/>
    <w:sig w:csb1="00000000" w:csb0="0000019F" w:usb3="00000000" w:usb2="00000010" w:usb1="4000205B" w:usb0="A10006FF"/>
  </w:font>
  <w:font w:name="MS Gothic">
    <w:altName w:val="ＭＳ ゴシック"/>
    <w:panose1 w:val="020B0609070205080204"/>
    <w:charset w:val="80"/>
    <w:family w:val="modern"/>
    <w:pitch w:val="fixed"/>
    <w:sig w:csb1="00000000" w:csb0="0002009F" w:usb3="00000000" w:usb2="00000012" w:usb1="6AC7FDFB" w:usb0="E00002FF"/>
  </w:font>
  <w:font w:name="Lucida Sans Unicode">
    <w:panose1 w:val="020B0602030504020204"/>
    <w:charset w:val="EE"/>
    <w:family w:val="swiss"/>
    <w:pitch w:val="variable"/>
    <w:sig w:csb1="00000000" w:csb0="000000BF" w:usb3="00000000" w:usb2="00000000" w:usb1="0000396B" w:usb0="80000AFF"/>
  </w:font>
  <w:font w:name="Mangal">
    <w:panose1 w:val="02040503050203030202"/>
    <w:charset w:val="00"/>
    <w:family w:val="roman"/>
    <w:pitch w:val="variable"/>
    <w:sig w:csb1="00000000" w:csb0="00000001" w:usb3="00000000" w:usb2="00000000" w:usb1="00000000" w:usb0="00008003"/>
  </w:font>
  <w:font w:name="Times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MS Mincho">
    <w:altName w:val="ＭＳ 明朝"/>
    <w:panose1 w:val="02020609040205080304"/>
    <w:charset w:val="80"/>
    <w:family w:val="modern"/>
    <w:pitch w:val="fixed"/>
    <w:sig w:csb1="00000000" w:csb0="0002009F" w:usb3="00000000" w:usb2="00000012" w:usb1="6AC7FDFB" w:usb0="E00002FF"/>
  </w:font>
</w:fonts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id="-1" w:type="separator">
    <w:p w:rsidRDefault="00AB4602" w:rsidP="00537B78" w:rsidR="00AB4602">
      <w:r>
        <w:separator/>
      </w:r>
    </w:p>
  </w:footnote>
  <w:footnote w:id="0" w:type="continuationSeparator">
    <w:p w:rsidRDefault="00AB4602" w:rsidP="00537B78" w:rsidR="00AB4602">
      <w:r>
        <w:continuationSeparator/>
      </w:r>
    </w:p>
  </w:footnote>
</w:footnotes>
</file>

<file path=word/header1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1C4583" w:rsidR="008333A9">
    <w:pPr>
      <w:pStyle w:val="Zaglavlje"/>
    </w:pPr>
    <w:r w:rsidRPr="001C4583">
      <w:rPr>
        <w:rStyle w:val="PozadinaSvijetloCrvena"/>
        <w:shd w:fill="auto" w:color="auto" w:val="clear"/>
      </w:rPr>
      <w:t xml:space="preserve"> </w:t>
    </w:r>
  </w:p>
</w:hdr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FFFFFF1D"/>
    <w:multiLevelType w:val="multilevel"/>
    <w:tmpl w:val="9B9EA5BA"/>
    <w:lvl w:ilvl="0">
      <w:start w:val="1"/>
      <w:numFmt w:val="bullet"/>
      <w:lvlText w:val=""/>
      <w:lvlJc w:val="left"/>
      <w:pPr>
        <w:tabs>
          <w:tab w:pos="0" w:val="num"/>
        </w:tabs>
        <w:ind w:firstLine="0" w:left="0"/>
      </w:pPr>
      <w:rPr>
        <w:rFonts w:hAnsi="Symbol" w:ascii="Symbol" w:hint="default"/>
      </w:rPr>
    </w:lvl>
    <w:lvl w:ilvl="1">
      <w:start w:val="1"/>
      <w:numFmt w:val="bullet"/>
      <w:lvlText w:val=""/>
      <w:lvlJc w:val="left"/>
      <w:pPr>
        <w:tabs>
          <w:tab w:pos="720" w:val="num"/>
        </w:tabs>
        <w:ind w:hanging="360" w:left="1080"/>
      </w:pPr>
      <w:rPr>
        <w:rFonts w:hAnsi="Symbol" w:ascii="Symbol" w:hint="default"/>
      </w:rPr>
    </w:lvl>
    <w:lvl w:ilvl="2">
      <w:start w:val="1"/>
      <w:numFmt w:val="bullet"/>
      <w:lvlText w:val="o"/>
      <w:lvlJc w:val="left"/>
      <w:pPr>
        <w:tabs>
          <w:tab w:pos="1440" w:val="num"/>
        </w:tabs>
        <w:ind w:hanging="360" w:left="1800"/>
      </w:pPr>
      <w:rPr>
        <w:rFonts w:cs="Courier New" w:hAnsi="Courier New" w:ascii="Courier New" w:hint="default"/>
      </w:rPr>
    </w:lvl>
    <w:lvl w:ilvl="3">
      <w:start w:val="1"/>
      <w:numFmt w:val="bullet"/>
      <w:lvlText w:val=""/>
      <w:lvlJc w:val="left"/>
      <w:pPr>
        <w:tabs>
          <w:tab w:pos="2160" w:val="num"/>
        </w:tabs>
        <w:ind w:hanging="360" w:left="2520"/>
      </w:pPr>
      <w:rPr>
        <w:rFonts w:hAnsi="Wingdings" w:ascii="Wingdings" w:hint="default"/>
      </w:rPr>
    </w:lvl>
    <w:lvl w:ilvl="4">
      <w:start w:val="1"/>
      <w:numFmt w:val="bullet"/>
      <w:lvlText w:val=""/>
      <w:lvlJc w:val="left"/>
      <w:pPr>
        <w:tabs>
          <w:tab w:pos="2880" w:val="num"/>
        </w:tabs>
        <w:ind w:hanging="360" w:left="3240"/>
      </w:pPr>
      <w:rPr>
        <w:rFonts w:hAnsi="Wingdings" w:ascii="Wingdings" w:hint="default"/>
      </w:rPr>
    </w:lvl>
    <w:lvl w:ilvl="5">
      <w:start w:val="1"/>
      <w:numFmt w:val="bullet"/>
      <w:pStyle w:val="MediumShading11"/>
      <w:lvlText w:val=""/>
      <w:lvlJc w:val="left"/>
      <w:pPr>
        <w:tabs>
          <w:tab w:pos="3600" w:val="num"/>
        </w:tabs>
        <w:ind w:hanging="360" w:left="3960"/>
      </w:pPr>
      <w:rPr>
        <w:rFonts w:hAnsi="Symbol" w:ascii="Symbol" w:hint="default"/>
      </w:rPr>
    </w:lvl>
    <w:lvl w:ilvl="6">
      <w:start w:val="1"/>
      <w:numFmt w:val="bullet"/>
      <w:lvlText w:val="o"/>
      <w:lvlJc w:val="left"/>
      <w:pPr>
        <w:tabs>
          <w:tab w:pos="4320" w:val="num"/>
        </w:tabs>
        <w:ind w:hanging="360" w:left="4680"/>
      </w:pPr>
      <w:rPr>
        <w:rFonts w:cs="Courier New" w:hAnsi="Courier New" w:ascii="Courier New" w:hint="default"/>
      </w:rPr>
    </w:lvl>
    <w:lvl w:ilvl="7">
      <w:start w:val="1"/>
      <w:numFmt w:val="bullet"/>
      <w:lvlText w:val=""/>
      <w:lvlJc w:val="left"/>
      <w:pPr>
        <w:tabs>
          <w:tab w:pos="5040" w:val="num"/>
        </w:tabs>
        <w:ind w:hanging="360" w:left="5400"/>
      </w:pPr>
      <w:rPr>
        <w:rFonts w:hAnsi="Wingdings" w:ascii="Wingdings" w:hint="default"/>
      </w:rPr>
    </w:lvl>
    <w:lvl w:ilvl="8">
      <w:start w:val="1"/>
      <w:numFmt w:val="bullet"/>
      <w:lvlText w:val=""/>
      <w:lvlJc w:val="left"/>
      <w:pPr>
        <w:tabs>
          <w:tab w:pos="5760" w:val="num"/>
        </w:tabs>
        <w:ind w:hanging="360" w:left="6120"/>
      </w:pPr>
      <w:rPr>
        <w:rFonts w:hAnsi="Wingdings" w:ascii="Wingdings" w:hint="default"/>
      </w:rPr>
    </w:lvl>
  </w:abstractNum>
  <w:abstractNum w:abstractNumId="1">
    <w:nsid w:val="FFFFFF7C"/>
    <w:multiLevelType w:val="singleLevel"/>
    <w:tmpl w:val="5CDCFC76"/>
    <w:lvl w:ilvl="0">
      <w:start w:val="1"/>
      <w:numFmt w:val="decimal"/>
      <w:pStyle w:val="Brojevi5"/>
      <w:lvlText w:val="%1."/>
      <w:lvlJc w:val="left"/>
      <w:pPr>
        <w:tabs>
          <w:tab w:pos="1985" w:val="num"/>
        </w:tabs>
        <w:ind w:hanging="284" w:left="1985"/>
      </w:pPr>
      <w:rPr>
        <w:rFonts w:hint="default"/>
      </w:rPr>
    </w:lvl>
  </w:abstractNum>
  <w:abstractNum w:abstractNumId="2">
    <w:nsid w:val="FFFFFF7D"/>
    <w:multiLevelType w:val="singleLevel"/>
    <w:tmpl w:val="D3E459E0"/>
    <w:lvl w:ilvl="0">
      <w:start w:val="1"/>
      <w:numFmt w:val="decimal"/>
      <w:pStyle w:val="Brojevi4"/>
      <w:lvlText w:val="%1."/>
      <w:lvlJc w:val="left"/>
      <w:pPr>
        <w:tabs>
          <w:tab w:pos="1701" w:val="num"/>
        </w:tabs>
        <w:ind w:hanging="283" w:left="1701"/>
      </w:pPr>
      <w:rPr>
        <w:rFonts w:hint="default"/>
      </w:rPr>
    </w:lvl>
  </w:abstractNum>
  <w:abstractNum w:abstractNumId="3">
    <w:nsid w:val="FFFFFF7E"/>
    <w:multiLevelType w:val="singleLevel"/>
    <w:tmpl w:val="3CB078B0"/>
    <w:lvl w:ilvl="0">
      <w:start w:val="1"/>
      <w:numFmt w:val="decimal"/>
      <w:pStyle w:val="Brojevi3"/>
      <w:lvlText w:val="%1."/>
      <w:lvlJc w:val="left"/>
      <w:pPr>
        <w:tabs>
          <w:tab w:pos="1418" w:val="num"/>
        </w:tabs>
        <w:ind w:hanging="284" w:left="1418"/>
      </w:pPr>
      <w:rPr>
        <w:rFonts w:hint="default"/>
      </w:rPr>
    </w:lvl>
  </w:abstractNum>
  <w:abstractNum w:abstractNumId="4">
    <w:nsid w:val="FFFFFF7F"/>
    <w:multiLevelType w:val="singleLevel"/>
    <w:tmpl w:val="04127C20"/>
    <w:lvl w:ilvl="0">
      <w:start w:val="1"/>
      <w:numFmt w:val="decimal"/>
      <w:pStyle w:val="Brojevi2"/>
      <w:lvlText w:val="%1."/>
      <w:lvlJc w:val="left"/>
      <w:pPr>
        <w:tabs>
          <w:tab w:pos="1134" w:val="num"/>
        </w:tabs>
        <w:ind w:hanging="283" w:left="1134"/>
      </w:pPr>
      <w:rPr>
        <w:rFonts w:hint="default"/>
      </w:rPr>
    </w:lvl>
  </w:abstractNum>
  <w:abstractNum w:abstractNumId="5">
    <w:nsid w:val="FFFFFF80"/>
    <w:multiLevelType w:val="singleLevel"/>
    <w:tmpl w:val="3AE02778"/>
    <w:lvl w:ilvl="0">
      <w:start w:val="1"/>
      <w:numFmt w:val="bullet"/>
      <w:pStyle w:val="Grafikeoznake5"/>
      <w:lvlText w:val=""/>
      <w:lvlJc w:val="left"/>
      <w:pPr>
        <w:tabs>
          <w:tab w:pos="1985" w:val="num"/>
        </w:tabs>
        <w:ind w:hanging="284" w:left="1985"/>
      </w:pPr>
      <w:rPr>
        <w:rFonts w:hAnsi="Symbol" w:ascii="Symbol" w:hint="default"/>
      </w:rPr>
    </w:lvl>
  </w:abstractNum>
  <w:abstractNum w:abstractNumId="6">
    <w:nsid w:val="FFFFFF81"/>
    <w:multiLevelType w:val="singleLevel"/>
    <w:tmpl w:val="9C446A36"/>
    <w:lvl w:ilvl="0">
      <w:start w:val="1"/>
      <w:numFmt w:val="bullet"/>
      <w:pStyle w:val="Grafikeoznake4"/>
      <w:lvlText w:val=""/>
      <w:lvlJc w:val="left"/>
      <w:pPr>
        <w:tabs>
          <w:tab w:pos="1701" w:val="num"/>
        </w:tabs>
        <w:ind w:hanging="283" w:left="1701"/>
      </w:pPr>
      <w:rPr>
        <w:rFonts w:hAnsi="Symbol" w:ascii="Symbol" w:hint="default"/>
      </w:rPr>
    </w:lvl>
  </w:abstractNum>
  <w:abstractNum w:abstractNumId="7">
    <w:nsid w:val="FFFFFF82"/>
    <w:multiLevelType w:val="singleLevel"/>
    <w:tmpl w:val="26144E84"/>
    <w:lvl w:ilvl="0">
      <w:start w:val="1"/>
      <w:numFmt w:val="bullet"/>
      <w:pStyle w:val="Grafikeoznake3"/>
      <w:lvlText w:val=""/>
      <w:lvlJc w:val="left"/>
      <w:pPr>
        <w:tabs>
          <w:tab w:pos="1418" w:val="num"/>
        </w:tabs>
        <w:ind w:hanging="284" w:left="1418"/>
      </w:pPr>
      <w:rPr>
        <w:rFonts w:hAnsi="Symbol" w:ascii="Symbol" w:hint="default"/>
      </w:rPr>
    </w:lvl>
  </w:abstractNum>
  <w:abstractNum w:abstractNumId="8">
    <w:nsid w:val="FFFFFF83"/>
    <w:multiLevelType w:val="singleLevel"/>
    <w:tmpl w:val="3C44578C"/>
    <w:lvl w:ilvl="0">
      <w:start w:val="1"/>
      <w:numFmt w:val="bullet"/>
      <w:pStyle w:val="Grafikeoznake2"/>
      <w:lvlText w:val=""/>
      <w:lvlJc w:val="left"/>
      <w:pPr>
        <w:tabs>
          <w:tab w:pos="1134" w:val="num"/>
        </w:tabs>
        <w:ind w:hanging="283" w:left="1134"/>
      </w:pPr>
      <w:rPr>
        <w:rFonts w:hAnsi="Symbol" w:ascii="Symbol" w:hint="default"/>
      </w:rPr>
    </w:lvl>
  </w:abstractNum>
  <w:abstractNum w:abstractNumId="9">
    <w:nsid w:val="FFFFFF88"/>
    <w:multiLevelType w:val="singleLevel"/>
    <w:tmpl w:val="A7FE55B2"/>
    <w:lvl w:ilvl="0">
      <w:start w:val="1"/>
      <w:numFmt w:val="decimal"/>
      <w:pStyle w:val="Brojevi"/>
      <w:lvlText w:val="%1."/>
      <w:lvlJc w:val="left"/>
      <w:pPr>
        <w:tabs>
          <w:tab w:pos="851" w:val="num"/>
        </w:tabs>
        <w:ind w:hanging="284" w:left="851"/>
      </w:pPr>
      <w:rPr>
        <w:rFonts w:hint="default"/>
      </w:rPr>
    </w:lvl>
  </w:abstractNum>
  <w:abstractNum w:abstractNumId="10">
    <w:nsid w:val="06064D05"/>
    <w:multiLevelType w:val="hybridMultilevel"/>
    <w:tmpl w:val="8AD44790"/>
    <w:lvl w:tplc="0409000B" w:ilvl="0">
      <w:start w:val="1"/>
      <w:numFmt w:val="bullet"/>
      <w:lvlText w:val=""/>
      <w:lvlJc w:val="left"/>
      <w:pPr>
        <w:ind w:hanging="360" w:left="720"/>
      </w:pPr>
      <w:rPr>
        <w:rFonts w:hAnsi="Wingdings" w:ascii="Wingdings" w:hint="default"/>
      </w:rPr>
    </w:lvl>
    <w:lvl w:tplc="04090003" w:ilvl="1">
      <w:start w:val="1"/>
      <w:numFmt w:val="bullet"/>
      <w:lvlText w:val="o"/>
      <w:lvlJc w:val="left"/>
      <w:pPr>
        <w:ind w:hanging="360" w:left="1440"/>
      </w:pPr>
      <w:rPr>
        <w:rFonts w:cs="Times New Roman" w:hAnsi="Courier New" w:ascii="Courier New" w:hint="default"/>
      </w:rPr>
    </w:lvl>
    <w:lvl w:tplc="04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plc="04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plc="04090003" w:ilvl="4">
      <w:start w:val="1"/>
      <w:numFmt w:val="bullet"/>
      <w:lvlText w:val="o"/>
      <w:lvlJc w:val="left"/>
      <w:pPr>
        <w:ind w:hanging="360" w:left="3600"/>
      </w:pPr>
      <w:rPr>
        <w:rFonts w:cs="Times New Roman" w:hAnsi="Courier New" w:ascii="Courier New" w:hint="default"/>
      </w:rPr>
    </w:lvl>
    <w:lvl w:tplc="04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plc="04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plc="04090003" w:ilvl="7">
      <w:start w:val="1"/>
      <w:numFmt w:val="bullet"/>
      <w:lvlText w:val="o"/>
      <w:lvlJc w:val="left"/>
      <w:pPr>
        <w:ind w:hanging="360" w:left="5760"/>
      </w:pPr>
      <w:rPr>
        <w:rFonts w:cs="Times New Roman" w:hAnsi="Courier New" w:ascii="Courier New" w:hint="default"/>
      </w:rPr>
    </w:lvl>
    <w:lvl w:tplc="04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11">
    <w:nsid w:val="071028FE"/>
    <w:multiLevelType w:val="multilevel"/>
    <w:tmpl w:val="BBFADD5C"/>
    <w:lvl w:ilvl="0">
      <w:start w:val="1"/>
      <w:numFmt w:val="upperRoman"/>
      <w:pStyle w:val="ListaXIV"/>
      <w:lvlText w:val="%1."/>
      <w:lvlJc w:val="right"/>
      <w:pPr>
        <w:tabs>
          <w:tab w:pos="851" w:val="num"/>
        </w:tabs>
        <w:ind w:hanging="114" w:left="851"/>
      </w:pPr>
      <w:rPr>
        <w:rFonts w:hAnsiTheme="minorHAnsi" w:asciiTheme="minorHAnsi"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upperRoman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upperRoman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12">
    <w:nsid w:val="08931C1E"/>
    <w:multiLevelType w:val="multilevel"/>
    <w:tmpl w:val="29DC6284"/>
    <w:lvl w:ilvl="0">
      <w:start w:val="1"/>
      <w:numFmt w:val="none"/>
      <w:pStyle w:val="Listaslijed"/>
      <w:suff w:val="nothing"/>
      <w:lvlText w:val="%1"/>
      <w:lvlJc w:val="left"/>
      <w:pPr>
        <w:ind w:firstLine="0" w:left="851"/>
      </w:pPr>
      <w:rPr>
        <w:rFonts w:hAnsiTheme="minorHAnsi" w:asciiTheme="minorHAnsi" w:hint="default"/>
      </w:rPr>
    </w:lvl>
    <w:lvl w:ilvl="1">
      <w:start w:val="1"/>
      <w:numFmt w:val="none"/>
      <w:suff w:val="nothing"/>
      <w:lvlText w:val="%2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%4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%5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%7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%8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%9"/>
      <w:lvlJc w:val="left"/>
      <w:pPr>
        <w:ind w:firstLine="0" w:left="3119"/>
      </w:pPr>
      <w:rPr>
        <w:rFonts w:hint="default"/>
      </w:rPr>
    </w:lvl>
  </w:abstractNum>
  <w:abstractNum w:abstractNumId="13">
    <w:nsid w:val="08CC2B57"/>
    <w:multiLevelType w:val="multilevel"/>
    <w:tmpl w:val="40EE4DCE"/>
    <w:lvl w:ilvl="0">
      <w:start w:val="1"/>
      <w:numFmt w:val="bullet"/>
      <w:pStyle w:val="Listakrui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  <w:color w:val="auto"/>
      </w:rPr>
    </w:lvl>
    <w:lvl w:ilvl="1">
      <w:start w:val="1"/>
      <w:numFmt w:val="none"/>
      <w:lvlText w:val="o"/>
      <w:lvlJc w:val="left"/>
      <w:pPr>
        <w:tabs>
          <w:tab w:pos="1134" w:val="num"/>
        </w:tabs>
        <w:ind w:hanging="283" w:left="1134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tabs>
          <w:tab w:pos="1418" w:val="num"/>
        </w:tabs>
        <w:ind w:hanging="283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"/>
      <w:lvlJc w:val="left"/>
      <w:pPr>
        <w:tabs>
          <w:tab w:pos="1701" w:val="num"/>
        </w:tabs>
        <w:ind w:hanging="282" w:left="1701"/>
      </w:pPr>
      <w:rPr>
        <w:rFonts w:hAnsi="Symbol" w:ascii="Symbol" w:hint="default"/>
        <w:color w:val="auto"/>
      </w:rPr>
    </w:lvl>
    <w:lvl w:ilvl="4">
      <w:start w:val="1"/>
      <w:numFmt w:val="none"/>
      <w:lvlText w:val="o"/>
      <w:lvlJc w:val="left"/>
      <w:pPr>
        <w:tabs>
          <w:tab w:pos="1985" w:val="num"/>
        </w:tabs>
        <w:ind w:hanging="282" w:left="1985"/>
      </w:pPr>
      <w:rPr>
        <w:rFonts w:hAnsi="Courier New" w:ascii="Courier New" w:hint="default"/>
      </w:rPr>
    </w:lvl>
    <w:lvl w:ilvl="5">
      <w:start w:val="1"/>
      <w:numFmt w:val="bullet"/>
      <w:lvlText w:val=""/>
      <w:lvlJc w:val="left"/>
      <w:pPr>
        <w:tabs>
          <w:tab w:pos="2268" w:val="num"/>
        </w:tabs>
        <w:ind w:hanging="281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"/>
      <w:lvlJc w:val="left"/>
      <w:pPr>
        <w:tabs>
          <w:tab w:pos="2552" w:val="num"/>
        </w:tabs>
        <w:ind w:hanging="284" w:left="2552"/>
      </w:pPr>
      <w:rPr>
        <w:rFonts w:hAnsi="Symbol" w:ascii="Symbol" w:hint="default"/>
        <w:color w:val="auto"/>
      </w:rPr>
    </w:lvl>
    <w:lvl w:ilvl="7">
      <w:start w:val="1"/>
      <w:numFmt w:val="none"/>
      <w:lvlText w:val="o"/>
      <w:lvlJc w:val="left"/>
      <w:pPr>
        <w:tabs>
          <w:tab w:pos="2835" w:val="num"/>
        </w:tabs>
        <w:ind w:hanging="283" w:left="2835"/>
      </w:pPr>
      <w:rPr>
        <w:rFonts w:hAnsi="Courier New" w:ascii="Courier New" w:hint="default"/>
      </w:rPr>
    </w:lvl>
    <w:lvl w:ilvl="8">
      <w:start w:val="1"/>
      <w:numFmt w:val="bullet"/>
      <w:lvlText w:val="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14">
    <w:nsid w:val="0B2B2107"/>
    <w:multiLevelType w:val="multilevel"/>
    <w:tmpl w:val="0CB608A8"/>
    <w:numStyleLink w:val="NumListI"/>
  </w:abstractNum>
  <w:abstractNum w:abstractNumId="15">
    <w:nsid w:val="0C037D52"/>
    <w:multiLevelType w:val="multilevel"/>
    <w:tmpl w:val="0CB608A8"/>
    <w:styleLink w:val="NumListI"/>
    <w:lvl w:ilvl="0">
      <w:start w:val="1"/>
      <w:numFmt w:val="upperRoman"/>
      <w:pStyle w:val="NumListI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6">
    <w:nsid w:val="0C293812"/>
    <w:multiLevelType w:val="hybridMultilevel"/>
    <w:tmpl w:val="6FBA90A0"/>
    <w:lvl w:tplc="04090001" w:ilvl="0">
      <w:start w:val="1"/>
      <w:numFmt w:val="bullet"/>
      <w:lvlText w:val=""/>
      <w:lvlJc w:val="left"/>
      <w:pPr>
        <w:ind w:hanging="360" w:left="1071"/>
      </w:pPr>
      <w:rPr>
        <w:rFonts w:hAnsi="Symbol" w:ascii="Symbol" w:hint="default"/>
      </w:rPr>
    </w:lvl>
    <w:lvl w:tplc="041A0003" w:ilvl="1">
      <w:start w:val="1"/>
      <w:numFmt w:val="bullet"/>
      <w:lvlText w:val="o"/>
      <w:lvlJc w:val="left"/>
      <w:pPr>
        <w:ind w:hanging="360" w:left="1791"/>
      </w:pPr>
      <w:rPr>
        <w:rFonts w:cs="Courier New" w:hAnsi="Courier New" w:ascii="Courier New" w:hint="default"/>
      </w:rPr>
    </w:lvl>
    <w:lvl w:tplc="041A0005" w:ilvl="2">
      <w:start w:val="1"/>
      <w:numFmt w:val="bullet"/>
      <w:lvlText w:val=""/>
      <w:lvlJc w:val="left"/>
      <w:pPr>
        <w:ind w:hanging="360" w:left="2511"/>
      </w:pPr>
      <w:rPr>
        <w:rFonts w:hAnsi="Wingdings" w:ascii="Wingdings" w:hint="default"/>
      </w:rPr>
    </w:lvl>
    <w:lvl w:tplc="041A0001" w:ilvl="3">
      <w:start w:val="1"/>
      <w:numFmt w:val="bullet"/>
      <w:lvlText w:val=""/>
      <w:lvlJc w:val="left"/>
      <w:pPr>
        <w:ind w:hanging="360" w:left="3231"/>
      </w:pPr>
      <w:rPr>
        <w:rFonts w:hAnsi="Symbol" w:ascii="Symbol" w:hint="default"/>
      </w:rPr>
    </w:lvl>
    <w:lvl w:tplc="041A0003" w:ilvl="4">
      <w:start w:val="1"/>
      <w:numFmt w:val="bullet"/>
      <w:lvlText w:val="o"/>
      <w:lvlJc w:val="left"/>
      <w:pPr>
        <w:ind w:hanging="360" w:left="3951"/>
      </w:pPr>
      <w:rPr>
        <w:rFonts w:cs="Courier New" w:hAnsi="Courier New" w:ascii="Courier New" w:hint="default"/>
      </w:rPr>
    </w:lvl>
    <w:lvl w:tplc="041A0005" w:ilvl="5">
      <w:start w:val="1"/>
      <w:numFmt w:val="bullet"/>
      <w:lvlText w:val=""/>
      <w:lvlJc w:val="left"/>
      <w:pPr>
        <w:ind w:hanging="360" w:left="4671"/>
      </w:pPr>
      <w:rPr>
        <w:rFonts w:hAnsi="Wingdings" w:ascii="Wingdings" w:hint="default"/>
      </w:rPr>
    </w:lvl>
    <w:lvl w:tplc="041A0001" w:ilvl="6">
      <w:start w:val="1"/>
      <w:numFmt w:val="bullet"/>
      <w:lvlText w:val=""/>
      <w:lvlJc w:val="left"/>
      <w:pPr>
        <w:ind w:hanging="360" w:left="5391"/>
      </w:pPr>
      <w:rPr>
        <w:rFonts w:hAnsi="Symbol" w:ascii="Symbol" w:hint="default"/>
      </w:rPr>
    </w:lvl>
    <w:lvl w:tplc="041A0003" w:ilvl="7">
      <w:start w:val="1"/>
      <w:numFmt w:val="bullet"/>
      <w:lvlText w:val="o"/>
      <w:lvlJc w:val="left"/>
      <w:pPr>
        <w:ind w:hanging="360" w:left="6111"/>
      </w:pPr>
      <w:rPr>
        <w:rFonts w:cs="Courier New" w:hAnsi="Courier New" w:ascii="Courier New" w:hint="default"/>
      </w:rPr>
    </w:lvl>
    <w:lvl w:tplc="041A0005" w:ilvl="8">
      <w:start w:val="1"/>
      <w:numFmt w:val="bullet"/>
      <w:lvlText w:val=""/>
      <w:lvlJc w:val="left"/>
      <w:pPr>
        <w:ind w:hanging="360" w:left="6831"/>
      </w:pPr>
      <w:rPr>
        <w:rFonts w:hAnsi="Wingdings" w:ascii="Wingdings" w:hint="default"/>
      </w:rPr>
    </w:lvl>
  </w:abstractNum>
  <w:abstractNum w:abstractNumId="17">
    <w:nsid w:val="0DCA3F92"/>
    <w:multiLevelType w:val="multilevel"/>
    <w:tmpl w:val="3828A08A"/>
    <w:styleLink w:val="NumListi0"/>
    <w:lvl w:ilvl="0">
      <w:start w:val="1"/>
      <w:numFmt w:val="lowerRoman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8">
    <w:nsid w:val="103A27E6"/>
    <w:multiLevelType w:val="multilevel"/>
    <w:tmpl w:val="CA40A690"/>
    <w:styleLink w:val="NumLista"/>
    <w:lvl w:ilvl="0">
      <w:start w:val="1"/>
      <w:numFmt w:val="lowerLetter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9">
    <w:nsid w:val="14C92448"/>
    <w:multiLevelType w:val="hybridMultilevel"/>
    <w:tmpl w:val="7FD8FC24"/>
    <w:lvl w:tplc="B80297BC" w:ilvl="0">
      <w:start w:val="1"/>
      <w:numFmt w:val="decimal"/>
      <w:pStyle w:val="Dostaviti"/>
      <w:lvlText w:val="%1."/>
      <w:lvlJc w:val="right"/>
      <w:pPr>
        <w:tabs>
          <w:tab w:pos="567" w:val="num"/>
        </w:tabs>
        <w:ind w:hanging="113" w:left="567"/>
      </w:pPr>
      <w:rPr>
        <w:rFonts w:hAnsiTheme="minorHAnsi" w:asciiTheme="minorHAnsi"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724"/>
      </w:pPr>
    </w:lvl>
    <w:lvl w:tentative="true" w:tplc="041A001B" w:ilvl="2">
      <w:start w:val="1"/>
      <w:numFmt w:val="lowerRoman"/>
      <w:lvlText w:val="%3."/>
      <w:lvlJc w:val="right"/>
      <w:pPr>
        <w:ind w:hanging="180" w:left="2444"/>
      </w:pPr>
    </w:lvl>
    <w:lvl w:tentative="true" w:tplc="041A000F" w:ilvl="3">
      <w:start w:val="1"/>
      <w:numFmt w:val="decimal"/>
      <w:lvlText w:val="%4."/>
      <w:lvlJc w:val="left"/>
      <w:pPr>
        <w:ind w:hanging="360" w:left="3164"/>
      </w:pPr>
    </w:lvl>
    <w:lvl w:tentative="true" w:tplc="041A0019" w:ilvl="4">
      <w:start w:val="1"/>
      <w:numFmt w:val="lowerLetter"/>
      <w:lvlText w:val="%5."/>
      <w:lvlJc w:val="left"/>
      <w:pPr>
        <w:ind w:hanging="360" w:left="3884"/>
      </w:pPr>
    </w:lvl>
    <w:lvl w:tentative="true" w:tplc="041A001B" w:ilvl="5">
      <w:start w:val="1"/>
      <w:numFmt w:val="lowerRoman"/>
      <w:lvlText w:val="%6."/>
      <w:lvlJc w:val="right"/>
      <w:pPr>
        <w:ind w:hanging="180" w:left="4604"/>
      </w:pPr>
    </w:lvl>
    <w:lvl w:tentative="true" w:tplc="041A000F" w:ilvl="6">
      <w:start w:val="1"/>
      <w:numFmt w:val="decimal"/>
      <w:lvlText w:val="%7."/>
      <w:lvlJc w:val="left"/>
      <w:pPr>
        <w:ind w:hanging="360" w:left="5324"/>
      </w:pPr>
    </w:lvl>
    <w:lvl w:tentative="true" w:tplc="041A0019" w:ilvl="7">
      <w:start w:val="1"/>
      <w:numFmt w:val="lowerLetter"/>
      <w:lvlText w:val="%8."/>
      <w:lvlJc w:val="left"/>
      <w:pPr>
        <w:ind w:hanging="360" w:left="6044"/>
      </w:pPr>
    </w:lvl>
    <w:lvl w:tentative="true" w:tplc="041A001B" w:ilvl="8">
      <w:start w:val="1"/>
      <w:numFmt w:val="lowerRoman"/>
      <w:lvlText w:val="%9."/>
      <w:lvlJc w:val="right"/>
      <w:pPr>
        <w:ind w:hanging="180" w:left="6764"/>
      </w:pPr>
    </w:lvl>
  </w:abstractNum>
  <w:abstractNum w:abstractNumId="20">
    <w:nsid w:val="18825D6A"/>
    <w:multiLevelType w:val="multilevel"/>
    <w:tmpl w:val="041A0023"/>
    <w:styleLink w:val="lanaksekcija"/>
    <w:lvl w:ilvl="0">
      <w:start w:val="1"/>
      <w:numFmt w:val="upperRoman"/>
      <w:lvlText w:val="Article %1."/>
      <w:lvlJc w:val="left"/>
      <w:pPr>
        <w:ind w:firstLine="0" w:left="0"/>
      </w:pPr>
    </w:lvl>
    <w:lvl w:ilvl="1">
      <w:start w:val="1"/>
      <w:numFmt w:val="decimalZero"/>
      <w:isLgl/>
      <w:lvlText w:val="Section %1.%2"/>
      <w:lvlJc w:val="left"/>
      <w:pPr>
        <w:ind w:firstLine="0" w:left="0"/>
      </w:pPr>
    </w:lvl>
    <w:lvl w:ilvl="2">
      <w:start w:val="1"/>
      <w:numFmt w:val="lowerLetter"/>
      <w:lvlText w:val="(%3)"/>
      <w:lvlJc w:val="left"/>
      <w:pPr>
        <w:ind w:hanging="432" w:left="720"/>
      </w:pPr>
    </w:lvl>
    <w:lvl w:ilvl="3">
      <w:start w:val="1"/>
      <w:numFmt w:val="lowerRoman"/>
      <w:lvlText w:val="(%4)"/>
      <w:lvlJc w:val="right"/>
      <w:pPr>
        <w:ind w:hanging="144" w:left="864"/>
      </w:pPr>
    </w:lvl>
    <w:lvl w:ilvl="4">
      <w:start w:val="1"/>
      <w:numFmt w:val="decimal"/>
      <w:lvlText w:val="%5)"/>
      <w:lvlJc w:val="left"/>
      <w:pPr>
        <w:ind w:hanging="432" w:left="1008"/>
      </w:pPr>
    </w:lvl>
    <w:lvl w:ilvl="5">
      <w:start w:val="1"/>
      <w:numFmt w:val="lowerLetter"/>
      <w:lvlText w:val="%6)"/>
      <w:lvlJc w:val="left"/>
      <w:pPr>
        <w:ind w:hanging="432" w:left="1152"/>
      </w:pPr>
    </w:lvl>
    <w:lvl w:ilvl="6">
      <w:start w:val="1"/>
      <w:numFmt w:val="lowerRoman"/>
      <w:lvlText w:val="%7)"/>
      <w:lvlJc w:val="right"/>
      <w:pPr>
        <w:ind w:hanging="288" w:left="1296"/>
      </w:pPr>
    </w:lvl>
    <w:lvl w:ilvl="7">
      <w:start w:val="1"/>
      <w:numFmt w:val="lowerLetter"/>
      <w:lvlText w:val="%8."/>
      <w:lvlJc w:val="left"/>
      <w:pPr>
        <w:ind w:hanging="432" w:left="1440"/>
      </w:pPr>
    </w:lvl>
    <w:lvl w:ilvl="8">
      <w:start w:val="1"/>
      <w:numFmt w:val="lowerRoman"/>
      <w:lvlText w:val="%9."/>
      <w:lvlJc w:val="right"/>
      <w:pPr>
        <w:ind w:hanging="144" w:left="1584"/>
      </w:pPr>
    </w:lvl>
  </w:abstractNum>
  <w:abstractNum w:abstractNumId="21">
    <w:nsid w:val="18FC2CFA"/>
    <w:multiLevelType w:val="multilevel"/>
    <w:tmpl w:val="041A001F"/>
    <w:styleLink w:val="111111"/>
    <w:lvl w:ilvl="0">
      <w:start w:val="1"/>
      <w:numFmt w:val="decimal"/>
      <w:lvlText w:val="%1."/>
      <w:lvlJc w:val="left"/>
      <w:pPr>
        <w:ind w:hanging="360" w:left="360"/>
      </w:pPr>
    </w:lvl>
    <w:lvl w:ilvl="1">
      <w:start w:val="1"/>
      <w:numFmt w:val="decimal"/>
      <w:lvlText w:val="%1.%2."/>
      <w:lvlJc w:val="left"/>
      <w:pPr>
        <w:ind w:hanging="432" w:left="792"/>
      </w:pPr>
    </w:lvl>
    <w:lvl w:ilvl="2">
      <w:start w:val="1"/>
      <w:numFmt w:val="decimal"/>
      <w:lvlText w:val="%1.%2.%3."/>
      <w:lvlJc w:val="left"/>
      <w:pPr>
        <w:ind w:hanging="504" w:left="1224"/>
      </w:pPr>
    </w:lvl>
    <w:lvl w:ilvl="3">
      <w:start w:val="1"/>
      <w:numFmt w:val="decimal"/>
      <w:lvlText w:val="%1.%2.%3.%4."/>
      <w:lvlJc w:val="left"/>
      <w:pPr>
        <w:ind w:hanging="648" w:left="1728"/>
      </w:pPr>
    </w:lvl>
    <w:lvl w:ilvl="4">
      <w:start w:val="1"/>
      <w:numFmt w:val="decimal"/>
      <w:lvlText w:val="%1.%2.%3.%4.%5."/>
      <w:lvlJc w:val="left"/>
      <w:pPr>
        <w:ind w:hanging="792" w:left="2232"/>
      </w:pPr>
    </w:lvl>
    <w:lvl w:ilvl="5">
      <w:start w:val="1"/>
      <w:numFmt w:val="decimal"/>
      <w:lvlText w:val="%1.%2.%3.%4.%5.%6."/>
      <w:lvlJc w:val="left"/>
      <w:pPr>
        <w:ind w:hanging="936" w:left="2736"/>
      </w:pPr>
    </w:lvl>
    <w:lvl w:ilvl="6">
      <w:start w:val="1"/>
      <w:numFmt w:val="decimal"/>
      <w:lvlText w:val="%1.%2.%3.%4.%5.%6.%7."/>
      <w:lvlJc w:val="left"/>
      <w:pPr>
        <w:ind w:hanging="1080" w:left="3240"/>
      </w:pPr>
    </w:lvl>
    <w:lvl w:ilvl="7">
      <w:start w:val="1"/>
      <w:numFmt w:val="decimal"/>
      <w:lvlText w:val="%1.%2.%3.%4.%5.%6.%7.%8."/>
      <w:lvlJc w:val="left"/>
      <w:pPr>
        <w:ind w:hanging="1224" w:left="3744"/>
      </w:pPr>
    </w:lvl>
    <w:lvl w:ilvl="8">
      <w:start w:val="1"/>
      <w:numFmt w:val="decimal"/>
      <w:lvlText w:val="%1.%2.%3.%4.%5.%6.%7.%8.%9."/>
      <w:lvlJc w:val="left"/>
      <w:pPr>
        <w:ind w:hanging="1440" w:left="4320"/>
      </w:pPr>
    </w:lvl>
  </w:abstractNum>
  <w:abstractNum w:abstractNumId="22">
    <w:nsid w:val="1A3232B3"/>
    <w:multiLevelType w:val="multilevel"/>
    <w:tmpl w:val="83082CBC"/>
    <w:styleLink w:val="GrafListstar"/>
    <w:lvl w:ilvl="0">
      <w:start w:val="1"/>
      <w:numFmt w:val="bullet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23">
    <w:nsid w:val="1B617E24"/>
    <w:multiLevelType w:val="hybridMultilevel"/>
    <w:tmpl w:val="2068BF40"/>
    <w:lvl w:tplc="0809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plc="0809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plc="08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plc="08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plc="0809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plc="08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plc="08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plc="0809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plc="08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4">
    <w:nsid w:val="1BF66874"/>
    <w:multiLevelType w:val="multilevel"/>
    <w:tmpl w:val="0F546CB0"/>
    <w:styleLink w:val="Listanastavak"/>
    <w:lvl w:ilvl="0">
      <w:start w:val="1"/>
      <w:numFmt w:val="none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lvlText w:val="%2"/>
      <w:lvlJc w:val="right"/>
      <w:pPr>
        <w:tabs>
          <w:tab w:pos="1418" w:val="num"/>
        </w:tabs>
        <w:ind w:firstLine="0" w:left="1418"/>
      </w:pPr>
      <w:rPr>
        <w:rFonts w:hint="default"/>
      </w:rPr>
    </w:lvl>
    <w:lvl w:ilvl="2">
      <w:start w:val="1"/>
      <w:numFmt w:val="none"/>
      <w:lvlText w:val="%3"/>
      <w:lvlJc w:val="right"/>
      <w:pPr>
        <w:tabs>
          <w:tab w:pos="1985" w:val="num"/>
        </w:tabs>
        <w:ind w:firstLine="0" w:left="1985"/>
      </w:pPr>
      <w:rPr>
        <w:rFonts w:hint="default"/>
      </w:rPr>
    </w:lvl>
    <w:lvl w:ilvl="3">
      <w:start w:val="1"/>
      <w:numFmt w:val="none"/>
      <w:lvlText w:val=""/>
      <w:lvlJc w:val="right"/>
      <w:pPr>
        <w:tabs>
          <w:tab w:pos="2552" w:val="num"/>
        </w:tabs>
        <w:ind w:firstLine="0" w:left="2552"/>
      </w:pPr>
      <w:rPr>
        <w:rFonts w:hint="default"/>
      </w:rPr>
    </w:lvl>
    <w:lvl w:ilvl="4">
      <w:start w:val="1"/>
      <w:numFmt w:val="none"/>
      <w:lvlText w:val=""/>
      <w:lvlJc w:val="right"/>
      <w:pPr>
        <w:tabs>
          <w:tab w:pos="3119" w:val="num"/>
        </w:tabs>
        <w:ind w:firstLine="0" w:left="3119"/>
      </w:pPr>
      <w:rPr>
        <w:rFonts w:hint="default"/>
      </w:rPr>
    </w:lvl>
    <w:lvl w:ilvl="5">
      <w:start w:val="1"/>
      <w:numFmt w:val="none"/>
      <w:lvlText w:val=""/>
      <w:lvlJc w:val="right"/>
      <w:pPr>
        <w:tabs>
          <w:tab w:pos="3686" w:val="num"/>
        </w:tabs>
        <w:ind w:firstLine="0" w:left="3686"/>
      </w:pPr>
      <w:rPr>
        <w:rFonts w:hint="default"/>
      </w:rPr>
    </w:lvl>
    <w:lvl w:ilvl="6">
      <w:start w:val="1"/>
      <w:numFmt w:val="none"/>
      <w:lvlText w:val=""/>
      <w:lvlJc w:val="right"/>
      <w:pPr>
        <w:tabs>
          <w:tab w:pos="4253" w:val="num"/>
        </w:tabs>
        <w:ind w:firstLine="0" w:left="4253"/>
      </w:pPr>
      <w:rPr>
        <w:rFonts w:hint="default"/>
      </w:rPr>
    </w:lvl>
    <w:lvl w:ilvl="7">
      <w:start w:val="1"/>
      <w:numFmt w:val="none"/>
      <w:lvlText w:val=""/>
      <w:lvlJc w:val="right"/>
      <w:pPr>
        <w:tabs>
          <w:tab w:pos="4820" w:val="num"/>
        </w:tabs>
        <w:ind w:firstLine="0" w:left="4820"/>
      </w:pPr>
      <w:rPr>
        <w:rFonts w:hint="default"/>
      </w:rPr>
    </w:lvl>
    <w:lvl w:ilvl="8">
      <w:start w:val="1"/>
      <w:numFmt w:val="none"/>
      <w:lvlText w:val=""/>
      <w:lvlJc w:val="right"/>
      <w:pPr>
        <w:tabs>
          <w:tab w:pos="5387" w:val="num"/>
        </w:tabs>
        <w:ind w:firstLine="0" w:left="5387"/>
      </w:pPr>
      <w:rPr>
        <w:rFonts w:hint="default"/>
      </w:rPr>
    </w:lvl>
  </w:abstractNum>
  <w:abstractNum w:abstractNumId="25">
    <w:nsid w:val="1C5358E1"/>
    <w:multiLevelType w:val="multilevel"/>
    <w:tmpl w:val="2DC8B678"/>
    <w:lvl w:ilvl="0">
      <w:start w:val="1"/>
      <w:numFmt w:val="bullet"/>
      <w:pStyle w:val="GrafListkruiQS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26">
    <w:nsid w:val="1EC350DA"/>
    <w:multiLevelType w:val="hybridMultilevel"/>
    <w:tmpl w:val="B7BA02F2"/>
    <w:lvl w:tplc="041A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7">
    <w:nsid w:val="20811B40"/>
    <w:multiLevelType w:val="multilevel"/>
    <w:tmpl w:val="D53854D0"/>
    <w:lvl w:ilvl="0">
      <w:start w:val="1"/>
      <w:numFmt w:val="bullet"/>
      <w:pStyle w:val="GrafListstarQS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3402" w:val="num"/>
        </w:tabs>
        <w:ind w:hanging="283" w:left="3402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</w:abstractNum>
  <w:abstractNum w:abstractNumId="28">
    <w:nsid w:val="24DF310D"/>
    <w:multiLevelType w:val="hybridMultilevel"/>
    <w:tmpl w:val="F36050B6"/>
    <w:lvl w:tplc="0409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plc="0409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plc="04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plc="04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plc="0409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plc="04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plc="04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plc="0409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plc="04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9">
    <w:nsid w:val="2A373025"/>
    <w:multiLevelType w:val="multilevel"/>
    <w:tmpl w:val="041A0003"/>
    <w:styleLink w:val="Style2"/>
    <w:lvl w:ilvl="0">
      <w:start w:val="1"/>
      <w:numFmt w:val="bullet"/>
      <w:lvlText w:val=""/>
      <w:lvlJc w:val="left"/>
      <w:pPr>
        <w:ind w:hanging="360" w:left="360"/>
      </w:pPr>
      <w:rPr>
        <w:rFonts w:cs="Courier New" w:hAnsi="Symbol" w:ascii="Symbol" w:hint="default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0">
    <w:nsid w:val="2AE96A4C"/>
    <w:multiLevelType w:val="multilevel"/>
    <w:tmpl w:val="DE54B8CE"/>
    <w:lvl w:ilvl="0">
      <w:start w:val="1"/>
      <w:numFmt w:val="none"/>
      <w:pStyle w:val="ListanastavakQSGraf"/>
      <w:suff w:val="nothing"/>
      <w:lvlText w:val=""/>
      <w:lvlJc w:val="left"/>
      <w:pPr>
        <w:ind w:firstLine="0" w:left="851"/>
      </w:pPr>
      <w:rPr>
        <w:rFonts w:hint="default"/>
        <w:b w:val="false"/>
      </w:rPr>
    </w:lvl>
    <w:lvl w:ilvl="1">
      <w:start w:val="1"/>
      <w:numFmt w:val="none"/>
      <w:suff w:val="nothing"/>
      <w:lvlText w:val="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firstLine="0" w:left="3119"/>
      </w:pPr>
      <w:rPr>
        <w:rFonts w:hint="default"/>
      </w:rPr>
    </w:lvl>
  </w:abstractNum>
  <w:abstractNum w:abstractNumId="31">
    <w:nsid w:val="358B4AF2"/>
    <w:multiLevelType w:val="multilevel"/>
    <w:tmpl w:val="C594733E"/>
    <w:lvl w:ilvl="0">
      <w:start w:val="1"/>
      <w:numFmt w:val="upperRoman"/>
      <w:pStyle w:val="ListaeSPIS"/>
      <w:lvlText w:val="%1."/>
      <w:lvlJc w:val="right"/>
      <w:pPr>
        <w:tabs>
          <w:tab w:pos="680" w:val="num"/>
        </w:tabs>
        <w:ind w:firstLine="624" w:left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hanging="360" w:left="2007"/>
      </w:pPr>
      <w:rPr>
        <w:rFonts w:hint="default"/>
      </w:rPr>
    </w:lvl>
    <w:lvl w:ilvl="2">
      <w:start w:val="1"/>
      <w:numFmt w:val="lowerRoman"/>
      <w:lvlText w:val="%3."/>
      <w:lvlJc w:val="right"/>
      <w:pPr>
        <w:ind w:hanging="180" w:left="2727"/>
      </w:pPr>
      <w:rPr>
        <w:rFonts w:hint="default"/>
      </w:rPr>
    </w:lvl>
    <w:lvl w:ilvl="3">
      <w:start w:val="1"/>
      <w:numFmt w:val="decimal"/>
      <w:lvlText w:val="%4."/>
      <w:lvlJc w:val="left"/>
      <w:pPr>
        <w:ind w:hanging="360" w:left="3447"/>
      </w:pPr>
      <w:rPr>
        <w:rFonts w:hint="default"/>
      </w:rPr>
    </w:lvl>
    <w:lvl w:ilvl="4">
      <w:start w:val="1"/>
      <w:numFmt w:val="lowerLetter"/>
      <w:lvlText w:val="%5."/>
      <w:lvlJc w:val="left"/>
      <w:pPr>
        <w:ind w:hanging="360" w:left="4167"/>
      </w:pPr>
      <w:rPr>
        <w:rFonts w:hint="default"/>
      </w:rPr>
    </w:lvl>
    <w:lvl w:ilvl="5">
      <w:start w:val="1"/>
      <w:numFmt w:val="lowerRoman"/>
      <w:lvlText w:val="%6."/>
      <w:lvlJc w:val="right"/>
      <w:pPr>
        <w:ind w:hanging="180" w:left="4887"/>
      </w:pPr>
      <w:rPr>
        <w:rFonts w:hint="default"/>
      </w:rPr>
    </w:lvl>
    <w:lvl w:ilvl="6">
      <w:start w:val="1"/>
      <w:numFmt w:val="decimal"/>
      <w:lvlText w:val="%7."/>
      <w:lvlJc w:val="left"/>
      <w:pPr>
        <w:ind w:hanging="360" w:left="5607"/>
      </w:pPr>
      <w:rPr>
        <w:rFonts w:hint="default"/>
      </w:rPr>
    </w:lvl>
    <w:lvl w:ilvl="7">
      <w:start w:val="1"/>
      <w:numFmt w:val="lowerLetter"/>
      <w:lvlText w:val="%8."/>
      <w:lvlJc w:val="left"/>
      <w:pPr>
        <w:ind w:hanging="360" w:left="6327"/>
      </w:pPr>
      <w:rPr>
        <w:rFonts w:hint="default"/>
      </w:rPr>
    </w:lvl>
    <w:lvl w:ilvl="8">
      <w:start w:val="1"/>
      <w:numFmt w:val="lowerRoman"/>
      <w:lvlText w:val="%9."/>
      <w:lvlJc w:val="right"/>
      <w:pPr>
        <w:ind w:hanging="180" w:left="7047"/>
      </w:pPr>
      <w:rPr>
        <w:rFonts w:hint="default"/>
      </w:rPr>
    </w:lvl>
  </w:abstractNum>
  <w:abstractNum w:abstractNumId="32">
    <w:nsid w:val="369418C3"/>
    <w:multiLevelType w:val="singleLevel"/>
    <w:tmpl w:val="8B9EAFFA"/>
    <w:styleLink w:val="NumListOI1"/>
    <w:lvl w:ilvl="0">
      <w:start w:val="1"/>
      <w:numFmt w:val="bullet"/>
      <w:lvlText w:val=""/>
      <w:lvlJc w:val="right"/>
      <w:pPr>
        <w:tabs>
          <w:tab w:pos="851" w:val="num"/>
        </w:tabs>
        <w:ind w:hanging="284" w:left="851"/>
      </w:pPr>
      <w:rPr>
        <w:rFonts w:hAnsi="Symbol" w:ascii="Symbol" w:hint="default"/>
      </w:rPr>
    </w:lvl>
  </w:abstractNum>
  <w:abstractNum w:abstractNumId="33">
    <w:nsid w:val="42E22866"/>
    <w:multiLevelType w:val="multilevel"/>
    <w:tmpl w:val="BFEAEA16"/>
    <w:lvl w:ilvl="0">
      <w:start w:val="1"/>
      <w:numFmt w:val="lowerLetter"/>
      <w:pStyle w:val="Listaabc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Roman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Roman"/>
      <w:lvlText w:val="%5."/>
      <w:lvlJc w:val="right"/>
      <w:pPr>
        <w:tabs>
          <w:tab w:pos="1871" w:val="num"/>
        </w:tabs>
        <w:ind w:hanging="114" w:left="1985"/>
      </w:pPr>
      <w:rPr>
        <w:rFonts w:hint="default"/>
      </w:rPr>
    </w:lvl>
    <w:lvl w:ilvl="5">
      <w:start w:val="1"/>
      <w:numFmt w:val="decimal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lowerLetter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Roman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decimal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34">
    <w:nsid w:val="44175B3D"/>
    <w:multiLevelType w:val="multilevel"/>
    <w:tmpl w:val="233E50AC"/>
    <w:styleLink w:val="NumList1"/>
    <w:lvl w:ilvl="0">
      <w:start w:val="1"/>
      <w:numFmt w:val="decimal"/>
      <w:pStyle w:val="NumList1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5">
    <w:nsid w:val="45A80118"/>
    <w:multiLevelType w:val="multilevel"/>
    <w:tmpl w:val="041A001D"/>
    <w:styleLink w:val="1ai"/>
    <w:lvl w:ilvl="0">
      <w:start w:val="1"/>
      <w:numFmt w:val="decimal"/>
      <w:lvlText w:val="%1)"/>
      <w:lvlJc w:val="left"/>
      <w:pPr>
        <w:ind w:hanging="360" w:left="360"/>
      </w:pPr>
    </w:lvl>
    <w:lvl w:ilvl="1">
      <w:start w:val="1"/>
      <w:numFmt w:val="lowerLetter"/>
      <w:lvlText w:val="%2)"/>
      <w:lvlJc w:val="left"/>
      <w:pPr>
        <w:ind w:hanging="360" w:left="720"/>
      </w:p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6">
    <w:nsid w:val="489F4212"/>
    <w:multiLevelType w:val="multilevel"/>
    <w:tmpl w:val="041A001D"/>
    <w:styleLink w:val="Style1"/>
    <w:lvl w:ilvl="0">
      <w:start w:val="1"/>
      <w:numFmt w:val="bullet"/>
      <w:lvlText w:val="·"/>
      <w:lvlJc w:val="left"/>
      <w:pPr>
        <w:ind w:hanging="360" w:left="360"/>
      </w:pPr>
      <w:rPr>
        <w:rFonts w:hAnsi="Symbol" w:ascii="Symbol" w:hint="default"/>
      </w:rPr>
    </w:lvl>
    <w:lvl w:ilvl="1">
      <w:start w:val="1"/>
      <w:numFmt w:val="bullet"/>
      <w:lvlText w:val=""/>
      <w:lvlJc w:val="left"/>
      <w:pPr>
        <w:ind w:hanging="360" w:left="720"/>
      </w:pPr>
      <w:rPr>
        <w:rFonts w:hAnsi="Symbol" w:ascii="Symbol" w:hint="default"/>
      </w:r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7">
    <w:nsid w:val="506E4FA1"/>
    <w:multiLevelType w:val="hybridMultilevel"/>
    <w:tmpl w:val="836C3F32"/>
    <w:lvl w:tplc="11A2CD74" w:ilvl="0">
      <w:start w:val="1"/>
      <w:numFmt w:val="decimal"/>
      <w:pStyle w:val="RedniBrojTablica"/>
      <w:lvlText w:val="%1."/>
      <w:lvlJc w:val="left"/>
      <w:pPr>
        <w:ind w:hanging="360" w:left="360"/>
      </w:pPr>
    </w:lvl>
    <w:lvl w:tplc="041A0019" w:ilvl="1">
      <w:start w:val="1"/>
      <w:numFmt w:val="lowerLetter"/>
      <w:lvlText w:val="%2."/>
      <w:lvlJc w:val="left"/>
      <w:pPr>
        <w:ind w:hanging="360" w:left="1440"/>
      </w:pPr>
    </w:lvl>
    <w:lvl w:tplc="041A001B" w:ilvl="2">
      <w:start w:val="1"/>
      <w:numFmt w:val="lowerRoman"/>
      <w:lvlText w:val="%3."/>
      <w:lvlJc w:val="right"/>
      <w:pPr>
        <w:ind w:hanging="180" w:left="2160"/>
      </w:pPr>
    </w:lvl>
    <w:lvl w:tplc="041A000F" w:ilvl="3">
      <w:start w:val="1"/>
      <w:numFmt w:val="decimal"/>
      <w:lvlText w:val="%4."/>
      <w:lvlJc w:val="left"/>
      <w:pPr>
        <w:ind w:hanging="360" w:left="2880"/>
      </w:pPr>
    </w:lvl>
    <w:lvl w:tplc="041A0019" w:ilvl="4">
      <w:start w:val="1"/>
      <w:numFmt w:val="lowerLetter"/>
      <w:lvlText w:val="%5."/>
      <w:lvlJc w:val="left"/>
      <w:pPr>
        <w:ind w:hanging="360" w:left="3600"/>
      </w:pPr>
    </w:lvl>
    <w:lvl w:tplc="041A001B" w:ilvl="5">
      <w:start w:val="1"/>
      <w:numFmt w:val="lowerRoman"/>
      <w:lvlText w:val="%6."/>
      <w:lvlJc w:val="right"/>
      <w:pPr>
        <w:ind w:hanging="180" w:left="4320"/>
      </w:pPr>
    </w:lvl>
    <w:lvl w:tplc="041A000F" w:ilvl="6">
      <w:start w:val="1"/>
      <w:numFmt w:val="decimal"/>
      <w:lvlText w:val="%7."/>
      <w:lvlJc w:val="left"/>
      <w:pPr>
        <w:ind w:hanging="360" w:left="5040"/>
      </w:pPr>
    </w:lvl>
    <w:lvl w:tplc="041A0019" w:ilvl="7">
      <w:start w:val="1"/>
      <w:numFmt w:val="lowerLetter"/>
      <w:lvlText w:val="%8."/>
      <w:lvlJc w:val="left"/>
      <w:pPr>
        <w:ind w:hanging="360" w:left="5760"/>
      </w:pPr>
    </w:lvl>
    <w:lvl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38">
    <w:nsid w:val="51EB6719"/>
    <w:multiLevelType w:val="hybridMultilevel"/>
    <w:tmpl w:val="09426492"/>
    <w:lvl w:tplc="3CB2DAF6" w:ilvl="0">
      <w:start w:val="1"/>
      <w:numFmt w:val="bullet"/>
      <w:pStyle w:val="Grafikeoznake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9">
    <w:nsid w:val="52ED1EBA"/>
    <w:multiLevelType w:val="hybridMultilevel"/>
    <w:tmpl w:val="9620F782"/>
    <w:lvl w:tplc="041A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plc="041A0019" w:ilvl="1">
      <w:start w:val="1"/>
      <w:numFmt w:val="lowerLetter"/>
      <w:lvlText w:val="%2."/>
      <w:lvlJc w:val="left"/>
      <w:pPr>
        <w:ind w:hanging="360" w:left="1440"/>
      </w:pPr>
    </w:lvl>
    <w:lvl w:tplc="041A001B" w:ilvl="2">
      <w:start w:val="1"/>
      <w:numFmt w:val="lowerRoman"/>
      <w:lvlText w:val="%3."/>
      <w:lvlJc w:val="right"/>
      <w:pPr>
        <w:ind w:hanging="180" w:left="2160"/>
      </w:pPr>
    </w:lvl>
    <w:lvl w:tplc="041A000F" w:ilvl="3">
      <w:start w:val="1"/>
      <w:numFmt w:val="decimal"/>
      <w:lvlText w:val="%4."/>
      <w:lvlJc w:val="left"/>
      <w:pPr>
        <w:ind w:hanging="360" w:left="2880"/>
      </w:pPr>
    </w:lvl>
    <w:lvl w:tplc="041A0019" w:ilvl="4">
      <w:start w:val="1"/>
      <w:numFmt w:val="lowerLetter"/>
      <w:lvlText w:val="%5."/>
      <w:lvlJc w:val="left"/>
      <w:pPr>
        <w:ind w:hanging="360" w:left="3600"/>
      </w:pPr>
    </w:lvl>
    <w:lvl w:tplc="041A001B" w:ilvl="5">
      <w:start w:val="1"/>
      <w:numFmt w:val="lowerRoman"/>
      <w:lvlText w:val="%6."/>
      <w:lvlJc w:val="right"/>
      <w:pPr>
        <w:ind w:hanging="180" w:left="4320"/>
      </w:pPr>
    </w:lvl>
    <w:lvl w:tplc="041A000F" w:ilvl="6">
      <w:start w:val="1"/>
      <w:numFmt w:val="decimal"/>
      <w:lvlText w:val="%7."/>
      <w:lvlJc w:val="left"/>
      <w:pPr>
        <w:ind w:hanging="360" w:left="5040"/>
      </w:pPr>
    </w:lvl>
    <w:lvl w:tplc="041A0019" w:ilvl="7">
      <w:start w:val="1"/>
      <w:numFmt w:val="lowerLetter"/>
      <w:lvlText w:val="%8."/>
      <w:lvlJc w:val="left"/>
      <w:pPr>
        <w:ind w:hanging="360" w:left="5760"/>
      </w:pPr>
    </w:lvl>
    <w:lvl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40">
    <w:nsid w:val="5A757597"/>
    <w:multiLevelType w:val="multilevel"/>
    <w:tmpl w:val="7A32761E"/>
    <w:lvl w:ilvl="0">
      <w:start w:val="1"/>
      <w:numFmt w:val="none"/>
      <w:pStyle w:val="ListanastavakQS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suff w:val="nothing"/>
      <w:lvlText w:val="%2"/>
      <w:lvlJc w:val="righ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righ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righ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righ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righ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righ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righ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right"/>
      <w:pPr>
        <w:ind w:firstLine="0" w:left="3119"/>
      </w:pPr>
      <w:rPr>
        <w:rFonts w:hint="default"/>
      </w:rPr>
    </w:lvl>
  </w:abstractNum>
  <w:abstractNum w:abstractNumId="41">
    <w:nsid w:val="5B132086"/>
    <w:multiLevelType w:val="multilevel"/>
    <w:tmpl w:val="358ED2AE"/>
    <w:styleLink w:val="NumListA0"/>
    <w:lvl w:ilvl="0">
      <w:start w:val="1"/>
      <w:numFmt w:val="upperLetter"/>
      <w:pStyle w:val="NumListA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42">
    <w:nsid w:val="5C697B34"/>
    <w:multiLevelType w:val="hybridMultilevel"/>
    <w:tmpl w:val="77767046"/>
    <w:lvl w:tplc="041A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43">
    <w:nsid w:val="5D4E4CE2"/>
    <w:multiLevelType w:val="multilevel"/>
    <w:tmpl w:val="2DD0DE70"/>
    <w:lvl w:ilvl="0">
      <w:start w:val="1"/>
      <w:numFmt w:val="decimal"/>
      <w:pStyle w:val="Lista123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decimal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44">
    <w:nsid w:val="620B7E5E"/>
    <w:multiLevelType w:val="multilevel"/>
    <w:tmpl w:val="041A0003"/>
    <w:styleLink w:val="Style3"/>
    <w:lvl w:ilvl="0">
      <w:start w:val="1"/>
      <w:numFmt w:val="bullet"/>
      <w:lvlText w:val="o"/>
      <w:lvlJc w:val="left"/>
      <w:pPr>
        <w:ind w:hanging="360" w:left="360"/>
      </w:pPr>
      <w:rPr>
        <w:rFonts w:cs="Courier New" w:hAnsi="Courier New" w:ascii="Courier New" w:hint="default"/>
      </w:rPr>
    </w:lvl>
    <w:lvl w:ilvl="1">
      <w:start w:val="1"/>
      <w:numFmt w:val="bullet"/>
      <w:lvlText w:val=""/>
      <w:lvlJc w:val="left"/>
      <w:pPr>
        <w:ind w:hanging="360" w:left="1440"/>
      </w:pPr>
      <w:rPr>
        <w:rFonts w:cs="Courier New" w:hAnsi="Wingdings" w:ascii="Wingdings" w:hint="default"/>
      </w:rPr>
    </w:lvl>
    <w:lvl w:ilvl="2">
      <w:start w:val="1"/>
      <w:numFmt w:val="bullet"/>
      <w:lvlText w:val=""/>
      <w:lvlJc w:val="left"/>
      <w:pPr>
        <w:ind w:hanging="360" w:left="2160"/>
      </w:pPr>
      <w:rPr>
        <w:rFonts w:hAnsi="Symbol" w:ascii="Symbol" w:hint="default"/>
      </w:rPr>
    </w:lvl>
    <w:lvl w:ilvl="3">
      <w:start w:val="1"/>
      <w:numFmt w:val="bullet"/>
      <w:lvlText w:val="o"/>
      <w:lvlJc w:val="left"/>
      <w:pPr>
        <w:ind w:hanging="360" w:left="2880"/>
      </w:pPr>
      <w:rPr>
        <w:rFonts w:hAnsi="Courier New" w:ascii="Courier New" w:hint="default"/>
      </w:rPr>
    </w:lvl>
    <w:lvl w:ilvl="4">
      <w:start w:val="1"/>
      <w:numFmt w:val="bullet"/>
      <w:lvlText w:val=""/>
      <w:lvlJc w:val="left"/>
      <w:pPr>
        <w:ind w:hanging="360" w:left="3600"/>
      </w:pPr>
      <w:rPr>
        <w:rFonts w:cs="Courier New" w:hAnsi="Wingdings" w:ascii="Wingdings" w:hint="default"/>
      </w:rPr>
    </w:lvl>
    <w:lvl w:ilvl="5">
      <w:start w:val="1"/>
      <w:numFmt w:val="bullet"/>
      <w:lvlText w:val=""/>
      <w:lvlJc w:val="left"/>
      <w:pPr>
        <w:ind w:hanging="360" w:left="4320"/>
      </w:pPr>
      <w:rPr>
        <w:rFonts w:hAnsi="Symbol" w:ascii="Symbol" w:hint="default"/>
      </w:rPr>
    </w:lvl>
    <w:lvl w:ilvl="6">
      <w:start w:val="1"/>
      <w:numFmt w:val="bullet"/>
      <w:lvlText w:val="o"/>
      <w:lvlJc w:val="left"/>
      <w:pPr>
        <w:ind w:hanging="360" w:left="5040"/>
      </w:pPr>
      <w:rPr>
        <w:rFonts w:hAnsi="Courier New" w:ascii="Courier New" w:hint="default"/>
      </w:rPr>
    </w:lvl>
    <w:lvl w:ilvl="7">
      <w:start w:val="1"/>
      <w:numFmt w:val="bullet"/>
      <w:lvlText w:val=""/>
      <w:lvlJc w:val="left"/>
      <w:pPr>
        <w:ind w:hanging="360" w:left="5760"/>
      </w:pPr>
      <w:rPr>
        <w:rFonts w:cs="Courier New" w:hAnsi="Wingdings" w:ascii="Wingdings" w:hint="default"/>
      </w:rPr>
    </w:lvl>
    <w:lvl w:ilvl="8">
      <w:start w:val="1"/>
      <w:numFmt w:val="bullet"/>
      <w:lvlText w:val=""/>
      <w:lvlJc w:val="left"/>
      <w:pPr>
        <w:ind w:hanging="360" w:left="6480"/>
      </w:pPr>
      <w:rPr>
        <w:rFonts w:hAnsi="Symbol" w:ascii="Symbol" w:hint="default"/>
      </w:rPr>
    </w:lvl>
  </w:abstractNum>
  <w:abstractNum w:abstractNumId="45">
    <w:nsid w:val="62DC54A9"/>
    <w:multiLevelType w:val="hybridMultilevel"/>
    <w:tmpl w:val="7D64CFA4"/>
    <w:lvl w:tplc="04090011" w:ilvl="0">
      <w:start w:val="1"/>
      <w:numFmt w:val="decimal"/>
      <w:lvlText w:val="%1)"/>
      <w:lvlJc w:val="left"/>
      <w:pPr>
        <w:ind w:hanging="360" w:left="720"/>
      </w:pPr>
    </w:lvl>
    <w:lvl w:tplc="04090019" w:ilvl="1">
      <w:start w:val="1"/>
      <w:numFmt w:val="lowerLetter"/>
      <w:lvlText w:val="%2."/>
      <w:lvlJc w:val="left"/>
      <w:pPr>
        <w:ind w:hanging="360" w:left="1440"/>
      </w:pPr>
    </w:lvl>
    <w:lvl w:tplc="0409001B" w:ilvl="2">
      <w:start w:val="1"/>
      <w:numFmt w:val="lowerRoman"/>
      <w:lvlText w:val="%3."/>
      <w:lvlJc w:val="right"/>
      <w:pPr>
        <w:ind w:hanging="180" w:left="2160"/>
      </w:pPr>
    </w:lvl>
    <w:lvl w:tplc="0409000F" w:ilvl="3">
      <w:start w:val="1"/>
      <w:numFmt w:val="decimal"/>
      <w:lvlText w:val="%4."/>
      <w:lvlJc w:val="left"/>
      <w:pPr>
        <w:ind w:hanging="360" w:left="2880"/>
      </w:pPr>
    </w:lvl>
    <w:lvl w:tplc="04090019" w:ilvl="4">
      <w:start w:val="1"/>
      <w:numFmt w:val="lowerLetter"/>
      <w:lvlText w:val="%5."/>
      <w:lvlJc w:val="left"/>
      <w:pPr>
        <w:ind w:hanging="360" w:left="3600"/>
      </w:pPr>
    </w:lvl>
    <w:lvl w:tplc="0409001B" w:ilvl="5">
      <w:start w:val="1"/>
      <w:numFmt w:val="lowerRoman"/>
      <w:lvlText w:val="%6."/>
      <w:lvlJc w:val="right"/>
      <w:pPr>
        <w:ind w:hanging="180" w:left="4320"/>
      </w:pPr>
    </w:lvl>
    <w:lvl w:tplc="0409000F" w:ilvl="6">
      <w:start w:val="1"/>
      <w:numFmt w:val="decimal"/>
      <w:lvlText w:val="%7."/>
      <w:lvlJc w:val="left"/>
      <w:pPr>
        <w:ind w:hanging="360" w:left="5040"/>
      </w:pPr>
    </w:lvl>
    <w:lvl w:tplc="04090019" w:ilvl="7">
      <w:start w:val="1"/>
      <w:numFmt w:val="lowerLetter"/>
      <w:lvlText w:val="%8."/>
      <w:lvlJc w:val="left"/>
      <w:pPr>
        <w:ind w:hanging="360" w:left="5760"/>
      </w:pPr>
    </w:lvl>
    <w:lvl w:tplc="0409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46">
    <w:nsid w:val="686B2EFD"/>
    <w:multiLevelType w:val="hybridMultilevel"/>
    <w:tmpl w:val="9260FEDC"/>
    <w:lvl w:tplc="041A000F" w:ilvl="0">
      <w:start w:val="1"/>
      <w:numFmt w:val="decimal"/>
      <w:lvlText w:val="%1."/>
      <w:lvlJc w:val="left"/>
      <w:pPr>
        <w:ind w:hanging="360" w:left="720"/>
      </w:pPr>
    </w:lvl>
    <w:lvl w:tplc="041A0019" w:ilvl="1">
      <w:start w:val="1"/>
      <w:numFmt w:val="lowerLetter"/>
      <w:lvlText w:val="%2."/>
      <w:lvlJc w:val="left"/>
      <w:pPr>
        <w:ind w:hanging="360" w:left="1440"/>
      </w:pPr>
    </w:lvl>
    <w:lvl w:tplc="041A001B" w:ilvl="2">
      <w:start w:val="1"/>
      <w:numFmt w:val="lowerRoman"/>
      <w:lvlText w:val="%3."/>
      <w:lvlJc w:val="right"/>
      <w:pPr>
        <w:ind w:hanging="180" w:left="2160"/>
      </w:pPr>
    </w:lvl>
    <w:lvl w:tplc="041A000F" w:ilvl="3">
      <w:start w:val="1"/>
      <w:numFmt w:val="decimal"/>
      <w:lvlText w:val="%4."/>
      <w:lvlJc w:val="left"/>
      <w:pPr>
        <w:ind w:hanging="360" w:left="2880"/>
      </w:pPr>
    </w:lvl>
    <w:lvl w:tplc="041A0019" w:ilvl="4">
      <w:start w:val="1"/>
      <w:numFmt w:val="lowerLetter"/>
      <w:lvlText w:val="%5."/>
      <w:lvlJc w:val="left"/>
      <w:pPr>
        <w:ind w:hanging="360" w:left="3600"/>
      </w:pPr>
    </w:lvl>
    <w:lvl w:tplc="041A001B" w:ilvl="5">
      <w:start w:val="1"/>
      <w:numFmt w:val="lowerRoman"/>
      <w:lvlText w:val="%6."/>
      <w:lvlJc w:val="right"/>
      <w:pPr>
        <w:ind w:hanging="180" w:left="4320"/>
      </w:pPr>
    </w:lvl>
    <w:lvl w:tplc="041A000F" w:ilvl="6">
      <w:start w:val="1"/>
      <w:numFmt w:val="decimal"/>
      <w:lvlText w:val="%7."/>
      <w:lvlJc w:val="left"/>
      <w:pPr>
        <w:ind w:hanging="360" w:left="5040"/>
      </w:pPr>
    </w:lvl>
    <w:lvl w:tplc="041A0019" w:ilvl="7">
      <w:start w:val="1"/>
      <w:numFmt w:val="lowerLetter"/>
      <w:lvlText w:val="%8."/>
      <w:lvlJc w:val="left"/>
      <w:pPr>
        <w:ind w:hanging="360" w:left="5760"/>
      </w:pPr>
    </w:lvl>
    <w:lvl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47">
    <w:nsid w:val="6C5D0576"/>
    <w:multiLevelType w:val="multilevel"/>
    <w:tmpl w:val="DF20873A"/>
    <w:styleLink w:val="NumListOI"/>
    <w:lvl w:ilvl="0">
      <w:start w:val="1"/>
      <w:numFmt w:val="upperRoman"/>
      <w:pStyle w:val="NumListOIQS"/>
      <w:lvlText w:val="%1.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upperLetter"/>
      <w:lvlText w:val="%2.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upperRoman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upperLetter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(%7)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(%8)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48">
    <w:nsid w:val="734A235C"/>
    <w:multiLevelType w:val="multilevel"/>
    <w:tmpl w:val="233E50AC"/>
    <w:numStyleLink w:val="NumList1"/>
  </w:abstractNum>
  <w:abstractNum w:abstractNumId="49">
    <w:nsid w:val="73D34071"/>
    <w:multiLevelType w:val="hybridMultilevel"/>
    <w:tmpl w:val="9170E44C"/>
    <w:lvl w:tplc="C100C568" w:ilvl="0">
      <w:start w:val="1"/>
      <w:numFmt w:val="decimal"/>
      <w:pStyle w:val="Tijeloteksta3"/>
      <w:lvlText w:val="%1."/>
      <w:lvlJc w:val="left"/>
      <w:pPr>
        <w:tabs>
          <w:tab w:pos="900" w:val="num"/>
        </w:tabs>
        <w:ind w:hanging="360" w:left="900"/>
      </w:pPr>
      <w:rPr>
        <w:b w:val="false"/>
      </w:rPr>
    </w:lvl>
    <w:lvl w:tentative="true" w:tplc="0409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</w:lvl>
    <w:lvl w:tentative="true" w:tplc="0409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</w:lvl>
    <w:lvl w:tentative="true" w:tplc="0409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entative="true" w:tplc="0409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</w:lvl>
    <w:lvl w:tentative="true" w:tplc="0409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</w:lvl>
    <w:lvl w:tentative="true" w:tplc="0409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entative="true" w:tplc="0409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</w:lvl>
    <w:lvl w:tentative="true" w:tplc="0409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</w:lvl>
  </w:abstractNum>
  <w:abstractNum w:abstractNumId="50">
    <w:nsid w:val="76670CAA"/>
    <w:multiLevelType w:val="multilevel"/>
    <w:tmpl w:val="DF20873A"/>
    <w:numStyleLink w:val="NumListOI"/>
  </w:abstractNum>
  <w:abstractNum w:abstractNumId="51">
    <w:nsid w:val="7BEE2C36"/>
    <w:multiLevelType w:val="multilevel"/>
    <w:tmpl w:val="DCDA572A"/>
    <w:styleLink w:val="GrafListkrui"/>
    <w:lvl w:ilvl="0">
      <w:start w:val="1"/>
      <w:numFmt w:val="bullet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52">
    <w:nsid w:val="7EAF58E6"/>
    <w:multiLevelType w:val="multilevel"/>
    <w:tmpl w:val="358ED2AE"/>
    <w:numStyleLink w:val="NumListA0"/>
  </w:abstractNum>
  <w:num w:numId="1">
    <w:abstractNumId w:val="21"/>
  </w:num>
  <w:num w:numId="2">
    <w:abstractNumId w:val="35"/>
  </w:num>
  <w:num w:numId="3">
    <w:abstractNumId w:val="20"/>
  </w:num>
  <w:num w:numId="4">
    <w:abstractNumId w:val="49"/>
  </w:num>
  <w:num w:numId="5">
    <w:abstractNumId w:val="51"/>
  </w:num>
  <w:num w:numId="6">
    <w:abstractNumId w:val="22"/>
  </w:num>
  <w:num w:numId="7">
    <w:abstractNumId w:val="24"/>
  </w:num>
  <w:num w:numId="8">
    <w:abstractNumId w:val="34"/>
  </w:num>
  <w:num w:numId="9">
    <w:abstractNumId w:val="18"/>
  </w:num>
  <w:num w:numId="10">
    <w:abstractNumId w:val="41"/>
  </w:num>
  <w:num w:numId="11">
    <w:abstractNumId w:val="17"/>
  </w:num>
  <w:num w:numId="12">
    <w:abstractNumId w:val="15"/>
  </w:num>
  <w:num w:numId="13">
    <w:abstractNumId w:val="47"/>
  </w:num>
  <w:num w:numId="14">
    <w:abstractNumId w:val="32"/>
  </w:num>
  <w:num w:numId="15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6"/>
  </w:num>
  <w:num w:numId="17">
    <w:abstractNumId w:val="29"/>
  </w:num>
  <w:num w:numId="18">
    <w:abstractNumId w:val="44"/>
  </w:num>
  <w:num w:numId="19">
    <w:abstractNumId w:val="19"/>
  </w:num>
  <w:num w:numId="20">
    <w:abstractNumId w:val="25"/>
  </w:num>
  <w:num w:numId="21">
    <w:abstractNumId w:val="27"/>
  </w:num>
  <w:num w:numId="22">
    <w:abstractNumId w:val="38"/>
  </w:num>
  <w:num w:numId="23">
    <w:abstractNumId w:val="8"/>
  </w:num>
  <w:num w:numId="24">
    <w:abstractNumId w:val="7"/>
  </w:num>
  <w:num w:numId="25">
    <w:abstractNumId w:val="6"/>
  </w:num>
  <w:num w:numId="26">
    <w:abstractNumId w:val="5"/>
  </w:num>
  <w:num w:numId="27">
    <w:abstractNumId w:val="9"/>
  </w:num>
  <w:num w:numId="28">
    <w:abstractNumId w:val="4"/>
  </w:num>
  <w:num w:numId="29">
    <w:abstractNumId w:val="3"/>
  </w:num>
  <w:num w:numId="30">
    <w:abstractNumId w:val="2"/>
  </w:num>
  <w:num w:numId="31">
    <w:abstractNumId w:val="1"/>
  </w:num>
  <w:num w:numId="32">
    <w:abstractNumId w:val="43"/>
  </w:num>
  <w:num w:numId="33">
    <w:abstractNumId w:val="33"/>
  </w:num>
  <w:num w:numId="34">
    <w:abstractNumId w:val="31"/>
  </w:num>
  <w:num w:numId="35">
    <w:abstractNumId w:val="13"/>
  </w:num>
  <w:num w:numId="36">
    <w:abstractNumId w:val="40"/>
    <w:lvlOverride w:ilvl="0">
      <w:lvl w:ilvl="0">
        <w:start w:val="1"/>
        <w:numFmt w:val="none"/>
        <w:pStyle w:val="ListanastavakQS"/>
        <w:suff w:val="nothing"/>
        <w:lvlText w:val="%1"/>
        <w:lvlJc w:val="right"/>
        <w:pPr>
          <w:ind w:firstLine="0" w:left="851"/>
        </w:pPr>
        <w:rPr>
          <w:rFonts w:hint="default"/>
        </w:rPr>
      </w:lvl>
    </w:lvlOverride>
    <w:lvlOverride w:ilvl="1">
      <w:lvl w:ilvl="1">
        <w:start w:val="1"/>
        <w:numFmt w:val="none"/>
        <w:suff w:val="nothing"/>
        <w:lvlText w:val="%2"/>
        <w:lvlJc w:val="right"/>
        <w:pPr>
          <w:ind w:firstLine="0" w:left="1418"/>
        </w:pPr>
        <w:rPr>
          <w:rFonts w:hint="default"/>
        </w:rPr>
      </w:lvl>
    </w:lvlOverride>
    <w:lvlOverride w:ilvl="2">
      <w:lvl w:ilvl="2">
        <w:start w:val="1"/>
        <w:numFmt w:val="none"/>
        <w:suff w:val="nothing"/>
        <w:lvlText w:val="%3"/>
        <w:lvlJc w:val="right"/>
        <w:pPr>
          <w:ind w:firstLine="0" w:left="1985"/>
        </w:pPr>
        <w:rPr>
          <w:rFonts w:hint="default"/>
        </w:rPr>
      </w:lvl>
    </w:lvlOverride>
    <w:lvlOverride w:ilvl="3">
      <w:lvl w:ilvl="3">
        <w:start w:val="1"/>
        <w:numFmt w:val="none"/>
        <w:suff w:val="nothing"/>
        <w:lvlText w:val=""/>
        <w:lvlJc w:val="right"/>
        <w:pPr>
          <w:ind w:firstLine="0" w:left="2552"/>
        </w:pPr>
        <w:rPr>
          <w:rFonts w:hint="default"/>
        </w:rPr>
      </w:lvl>
    </w:lvlOverride>
    <w:lvlOverride w:ilvl="4">
      <w:lvl w:ilvl="4">
        <w:start w:val="1"/>
        <w:numFmt w:val="none"/>
        <w:suff w:val="nothing"/>
        <w:lvlText w:val=""/>
        <w:lvlJc w:val="right"/>
        <w:pPr>
          <w:ind w:firstLine="0" w:left="3119"/>
        </w:pPr>
        <w:rPr>
          <w:rFonts w:hint="default"/>
        </w:rPr>
      </w:lvl>
    </w:lvlOverride>
    <w:lvlOverride w:ilvl="5">
      <w:lvl w:ilvl="5">
        <w:start w:val="1"/>
        <w:numFmt w:val="none"/>
        <w:suff w:val="nothing"/>
        <w:lvlText w:val=""/>
        <w:lvlJc w:val="right"/>
        <w:pPr>
          <w:ind w:firstLine="0" w:left="3686"/>
        </w:pPr>
        <w:rPr>
          <w:rFonts w:hint="default"/>
        </w:rPr>
      </w:lvl>
    </w:lvlOverride>
    <w:lvlOverride w:ilvl="6">
      <w:lvl w:ilvl="6">
        <w:start w:val="1"/>
        <w:numFmt w:val="none"/>
        <w:suff w:val="nothing"/>
        <w:lvlText w:val=""/>
        <w:lvlJc w:val="right"/>
        <w:pPr>
          <w:ind w:firstLine="0" w:left="4253"/>
        </w:pPr>
        <w:rPr>
          <w:rFonts w:hint="default"/>
        </w:rPr>
      </w:lvl>
    </w:lvlOverride>
    <w:lvlOverride w:ilvl="7">
      <w:lvl w:ilvl="7">
        <w:start w:val="1"/>
        <w:numFmt w:val="none"/>
        <w:suff w:val="nothing"/>
        <w:lvlText w:val=""/>
        <w:lvlJc w:val="right"/>
        <w:pPr>
          <w:ind w:firstLine="0" w:left="4820"/>
        </w:pPr>
        <w:rPr>
          <w:rFonts w:hint="default"/>
        </w:rPr>
      </w:lvl>
    </w:lvlOverride>
    <w:lvlOverride w:ilvl="8">
      <w:lvl w:ilvl="8">
        <w:start w:val="1"/>
        <w:numFmt w:val="none"/>
        <w:suff w:val="nothing"/>
        <w:lvlText w:val=""/>
        <w:lvlJc w:val="right"/>
        <w:pPr>
          <w:ind w:firstLine="0" w:left="5387"/>
        </w:pPr>
        <w:rPr>
          <w:rFonts w:hint="default"/>
        </w:rPr>
      </w:lvl>
    </w:lvlOverride>
  </w:num>
  <w:num w:numId="37">
    <w:abstractNumId w:val="30"/>
  </w:num>
  <w:num w:numId="38">
    <w:abstractNumId w:val="12"/>
  </w:num>
  <w:num w:numId="39">
    <w:abstractNumId w:val="11"/>
  </w:num>
  <w:num w:numId="40">
    <w:abstractNumId w:val="48"/>
  </w:num>
  <w:num w:numId="41">
    <w:abstractNumId w:val="52"/>
  </w:num>
  <w:num w:numId="42">
    <w:abstractNumId w:val="14"/>
  </w:num>
  <w:num w:numId="43">
    <w:abstractNumId w:val="50"/>
  </w:num>
  <w:num w:numId="44">
    <w:abstractNumId w:val="5"/>
    <w:lvlOverride w:ilvl="0"/>
  </w:num>
  <w:num w:numId="45">
    <w:abstractNumId w:val="0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6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10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8">
    <w:abstractNumId w:val="23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9">
    <w:abstractNumId w:val="42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50">
    <w:abstractNumId w:val="3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16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52">
    <w:abstractNumId w:val="26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53">
    <w:abstractNumId w:val="28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54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54"/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hideSpellingErrors/>
  <w:proofState w:grammar="clean"/>
  <w:attachedTemplate r:id="rId1"/>
  <w:stylePaneFormatFilter w:val="1021"/>
  <w:stylePaneSortMethod w:val="0000"/>
  <w:documentProtection w:enforcement="false" w:edit="readOnly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val="14" w:uri="http://schemas.microsoft.com/office/word" w:name="compatibilityMode"/>
  </w:compat>
  <w:docVars>
    <w:docVar w:val="15. srpanj 2013." w:name="StartDate"/>
    <w:docVar w:val="2013-07-15" w:name="StartDateISO"/>
    <w:docVar w:val="06:46:23" w:name="StartTime"/>
  </w:docVars>
  <w:rsids>
    <w:rsidRoot w:val="00EB7CD8"/>
    <w:rsid w:val="000050EC"/>
    <w:rsid w:val="00005E94"/>
    <w:rsid w:val="0000675C"/>
    <w:rsid w:val="000067F9"/>
    <w:rsid w:val="00010F86"/>
    <w:rsid w:val="00011EE4"/>
    <w:rsid w:val="000136D3"/>
    <w:rsid w:val="00014324"/>
    <w:rsid w:val="000159D5"/>
    <w:rsid w:val="00016862"/>
    <w:rsid w:val="00017A47"/>
    <w:rsid w:val="000208BC"/>
    <w:rsid w:val="00023DE9"/>
    <w:rsid w:val="00025F7E"/>
    <w:rsid w:val="00027824"/>
    <w:rsid w:val="00030A67"/>
    <w:rsid w:val="00033D68"/>
    <w:rsid w:val="00034D99"/>
    <w:rsid w:val="0003514E"/>
    <w:rsid w:val="00037BD0"/>
    <w:rsid w:val="000401ED"/>
    <w:rsid w:val="000414E4"/>
    <w:rsid w:val="00042B6A"/>
    <w:rsid w:val="00042D31"/>
    <w:rsid w:val="000431C6"/>
    <w:rsid w:val="000436D7"/>
    <w:rsid w:val="00043F3B"/>
    <w:rsid w:val="000501FB"/>
    <w:rsid w:val="00050364"/>
    <w:rsid w:val="00051F4E"/>
    <w:rsid w:val="00052C01"/>
    <w:rsid w:val="0005559B"/>
    <w:rsid w:val="0006032E"/>
    <w:rsid w:val="00062490"/>
    <w:rsid w:val="000624BA"/>
    <w:rsid w:val="0006483C"/>
    <w:rsid w:val="0006517B"/>
    <w:rsid w:val="00065438"/>
    <w:rsid w:val="000661F8"/>
    <w:rsid w:val="00067927"/>
    <w:rsid w:val="000707C1"/>
    <w:rsid w:val="000710E0"/>
    <w:rsid w:val="000716A1"/>
    <w:rsid w:val="00072BB7"/>
    <w:rsid w:val="00073802"/>
    <w:rsid w:val="0007483D"/>
    <w:rsid w:val="00074FCC"/>
    <w:rsid w:val="00076D13"/>
    <w:rsid w:val="00077467"/>
    <w:rsid w:val="0007778A"/>
    <w:rsid w:val="000778B9"/>
    <w:rsid w:val="00077F08"/>
    <w:rsid w:val="000802C3"/>
    <w:rsid w:val="00080B15"/>
    <w:rsid w:val="00081CE8"/>
    <w:rsid w:val="0008201A"/>
    <w:rsid w:val="00082BA5"/>
    <w:rsid w:val="00083055"/>
    <w:rsid w:val="00084CCB"/>
    <w:rsid w:val="00085BDD"/>
    <w:rsid w:val="0008679C"/>
    <w:rsid w:val="00087A47"/>
    <w:rsid w:val="00087D2E"/>
    <w:rsid w:val="0009199F"/>
    <w:rsid w:val="000933D8"/>
    <w:rsid w:val="0009470E"/>
    <w:rsid w:val="00095154"/>
    <w:rsid w:val="000A012A"/>
    <w:rsid w:val="000A0212"/>
    <w:rsid w:val="000A1530"/>
    <w:rsid w:val="000A3D5F"/>
    <w:rsid w:val="000A59D9"/>
    <w:rsid w:val="000A6FF0"/>
    <w:rsid w:val="000A76DF"/>
    <w:rsid w:val="000A7B4E"/>
    <w:rsid w:val="000B108B"/>
    <w:rsid w:val="000B455F"/>
    <w:rsid w:val="000B4728"/>
    <w:rsid w:val="000B542C"/>
    <w:rsid w:val="000B69EF"/>
    <w:rsid w:val="000B6C92"/>
    <w:rsid w:val="000C111F"/>
    <w:rsid w:val="000C375C"/>
    <w:rsid w:val="000C4F2A"/>
    <w:rsid w:val="000C4F2D"/>
    <w:rsid w:val="000C5CA1"/>
    <w:rsid w:val="000C6A1B"/>
    <w:rsid w:val="000C7986"/>
    <w:rsid w:val="000D090D"/>
    <w:rsid w:val="000D1B54"/>
    <w:rsid w:val="000D1DD2"/>
    <w:rsid w:val="000D2656"/>
    <w:rsid w:val="000D3126"/>
    <w:rsid w:val="000D4BEE"/>
    <w:rsid w:val="000D5BFE"/>
    <w:rsid w:val="000D61BF"/>
    <w:rsid w:val="000D6284"/>
    <w:rsid w:val="000D673E"/>
    <w:rsid w:val="000D7DF3"/>
    <w:rsid w:val="000E09B4"/>
    <w:rsid w:val="000E2587"/>
    <w:rsid w:val="000E2D23"/>
    <w:rsid w:val="000E30E6"/>
    <w:rsid w:val="000E522F"/>
    <w:rsid w:val="000E7426"/>
    <w:rsid w:val="000F1E5D"/>
    <w:rsid w:val="000F1EEC"/>
    <w:rsid w:val="000F29D1"/>
    <w:rsid w:val="000F2F65"/>
    <w:rsid w:val="00100E9B"/>
    <w:rsid w:val="00101BA5"/>
    <w:rsid w:val="00104558"/>
    <w:rsid w:val="0010469C"/>
    <w:rsid w:val="001048D4"/>
    <w:rsid w:val="00106D9B"/>
    <w:rsid w:val="00107889"/>
    <w:rsid w:val="0011091F"/>
    <w:rsid w:val="00110C58"/>
    <w:rsid w:val="00111D3A"/>
    <w:rsid w:val="001128A1"/>
    <w:rsid w:val="00113ED1"/>
    <w:rsid w:val="00114F3B"/>
    <w:rsid w:val="00115498"/>
    <w:rsid w:val="00117273"/>
    <w:rsid w:val="00117725"/>
    <w:rsid w:val="00121DD9"/>
    <w:rsid w:val="00123B19"/>
    <w:rsid w:val="00123EC9"/>
    <w:rsid w:val="00125B5F"/>
    <w:rsid w:val="001279B7"/>
    <w:rsid w:val="00127F57"/>
    <w:rsid w:val="0013000C"/>
    <w:rsid w:val="00130ED7"/>
    <w:rsid w:val="001317DD"/>
    <w:rsid w:val="00134AA6"/>
    <w:rsid w:val="00137AA7"/>
    <w:rsid w:val="0014018B"/>
    <w:rsid w:val="0014143E"/>
    <w:rsid w:val="0014172C"/>
    <w:rsid w:val="0014365F"/>
    <w:rsid w:val="001464AB"/>
    <w:rsid w:val="00147B49"/>
    <w:rsid w:val="00147D97"/>
    <w:rsid w:val="00147DFA"/>
    <w:rsid w:val="00154097"/>
    <w:rsid w:val="001544CE"/>
    <w:rsid w:val="0015471C"/>
    <w:rsid w:val="0015515B"/>
    <w:rsid w:val="0015527A"/>
    <w:rsid w:val="00155D9A"/>
    <w:rsid w:val="001560E7"/>
    <w:rsid w:val="001564D5"/>
    <w:rsid w:val="001573EA"/>
    <w:rsid w:val="00160343"/>
    <w:rsid w:val="0016129D"/>
    <w:rsid w:val="001620E5"/>
    <w:rsid w:val="00162F07"/>
    <w:rsid w:val="00163D6E"/>
    <w:rsid w:val="0016585C"/>
    <w:rsid w:val="00165C03"/>
    <w:rsid w:val="001662E1"/>
    <w:rsid w:val="00170022"/>
    <w:rsid w:val="001711C1"/>
    <w:rsid w:val="00171CD9"/>
    <w:rsid w:val="001739C1"/>
    <w:rsid w:val="001748CA"/>
    <w:rsid w:val="001754BF"/>
    <w:rsid w:val="001776C8"/>
    <w:rsid w:val="00182400"/>
    <w:rsid w:val="0018302A"/>
    <w:rsid w:val="001856F9"/>
    <w:rsid w:val="001860AA"/>
    <w:rsid w:val="00186969"/>
    <w:rsid w:val="0018734A"/>
    <w:rsid w:val="001878B7"/>
    <w:rsid w:val="00192554"/>
    <w:rsid w:val="00195336"/>
    <w:rsid w:val="00196299"/>
    <w:rsid w:val="001967A6"/>
    <w:rsid w:val="001A032E"/>
    <w:rsid w:val="001A07FB"/>
    <w:rsid w:val="001A14B2"/>
    <w:rsid w:val="001A1B80"/>
    <w:rsid w:val="001A5294"/>
    <w:rsid w:val="001A59C8"/>
    <w:rsid w:val="001A6B64"/>
    <w:rsid w:val="001B2974"/>
    <w:rsid w:val="001B3421"/>
    <w:rsid w:val="001B6650"/>
    <w:rsid w:val="001B66AB"/>
    <w:rsid w:val="001C1E72"/>
    <w:rsid w:val="001C2A1A"/>
    <w:rsid w:val="001C2B24"/>
    <w:rsid w:val="001C36D5"/>
    <w:rsid w:val="001C3B87"/>
    <w:rsid w:val="001C4583"/>
    <w:rsid w:val="001C554E"/>
    <w:rsid w:val="001C57F0"/>
    <w:rsid w:val="001C6A3E"/>
    <w:rsid w:val="001C7214"/>
    <w:rsid w:val="001C739E"/>
    <w:rsid w:val="001C76E4"/>
    <w:rsid w:val="001D1883"/>
    <w:rsid w:val="001D40EC"/>
    <w:rsid w:val="001D41FF"/>
    <w:rsid w:val="001D5128"/>
    <w:rsid w:val="001D7697"/>
    <w:rsid w:val="001E1CF7"/>
    <w:rsid w:val="001E34BF"/>
    <w:rsid w:val="001E57C9"/>
    <w:rsid w:val="001E6FF2"/>
    <w:rsid w:val="001E7337"/>
    <w:rsid w:val="001E7BF9"/>
    <w:rsid w:val="001F00BA"/>
    <w:rsid w:val="001F0607"/>
    <w:rsid w:val="001F0947"/>
    <w:rsid w:val="001F14AA"/>
    <w:rsid w:val="001F1677"/>
    <w:rsid w:val="001F20D3"/>
    <w:rsid w:val="001F357C"/>
    <w:rsid w:val="001F36DA"/>
    <w:rsid w:val="001F40B1"/>
    <w:rsid w:val="001F4FB8"/>
    <w:rsid w:val="001F6D19"/>
    <w:rsid w:val="001F6F2D"/>
    <w:rsid w:val="00200211"/>
    <w:rsid w:val="00201085"/>
    <w:rsid w:val="002028EC"/>
    <w:rsid w:val="00202A2F"/>
    <w:rsid w:val="002059E1"/>
    <w:rsid w:val="002066A8"/>
    <w:rsid w:val="0020670B"/>
    <w:rsid w:val="00207A46"/>
    <w:rsid w:val="00207F3F"/>
    <w:rsid w:val="002146AD"/>
    <w:rsid w:val="00217901"/>
    <w:rsid w:val="00217B1D"/>
    <w:rsid w:val="00220F17"/>
    <w:rsid w:val="00226502"/>
    <w:rsid w:val="00230588"/>
    <w:rsid w:val="00232861"/>
    <w:rsid w:val="00233507"/>
    <w:rsid w:val="00235532"/>
    <w:rsid w:val="00236A94"/>
    <w:rsid w:val="00243937"/>
    <w:rsid w:val="00244135"/>
    <w:rsid w:val="002445A7"/>
    <w:rsid w:val="0024503A"/>
    <w:rsid w:val="00245741"/>
    <w:rsid w:val="00245946"/>
    <w:rsid w:val="00245A2B"/>
    <w:rsid w:val="00246057"/>
    <w:rsid w:val="0025157A"/>
    <w:rsid w:val="0025192A"/>
    <w:rsid w:val="00251B9D"/>
    <w:rsid w:val="002537D5"/>
    <w:rsid w:val="00253DB4"/>
    <w:rsid w:val="00254219"/>
    <w:rsid w:val="0025508F"/>
    <w:rsid w:val="00256800"/>
    <w:rsid w:val="00262D2E"/>
    <w:rsid w:val="0026351E"/>
    <w:rsid w:val="00263722"/>
    <w:rsid w:val="002659E7"/>
    <w:rsid w:val="002663BB"/>
    <w:rsid w:val="00267509"/>
    <w:rsid w:val="0027072B"/>
    <w:rsid w:val="002720BB"/>
    <w:rsid w:val="002724AE"/>
    <w:rsid w:val="00273747"/>
    <w:rsid w:val="00274E1A"/>
    <w:rsid w:val="0027672B"/>
    <w:rsid w:val="002774EE"/>
    <w:rsid w:val="002801B3"/>
    <w:rsid w:val="002801EE"/>
    <w:rsid w:val="00280CFE"/>
    <w:rsid w:val="00281B5D"/>
    <w:rsid w:val="002833D4"/>
    <w:rsid w:val="00284965"/>
    <w:rsid w:val="002852E3"/>
    <w:rsid w:val="00285C1A"/>
    <w:rsid w:val="00286696"/>
    <w:rsid w:val="00286D9C"/>
    <w:rsid w:val="00287B3C"/>
    <w:rsid w:val="00287C8C"/>
    <w:rsid w:val="00294B2A"/>
    <w:rsid w:val="00294D35"/>
    <w:rsid w:val="00295EB2"/>
    <w:rsid w:val="002962E1"/>
    <w:rsid w:val="00297359"/>
    <w:rsid w:val="002A169F"/>
    <w:rsid w:val="002A3D96"/>
    <w:rsid w:val="002A4D01"/>
    <w:rsid w:val="002A52BD"/>
    <w:rsid w:val="002A5F02"/>
    <w:rsid w:val="002A5FB0"/>
    <w:rsid w:val="002B055F"/>
    <w:rsid w:val="002B062D"/>
    <w:rsid w:val="002B21AC"/>
    <w:rsid w:val="002B2DED"/>
    <w:rsid w:val="002B516C"/>
    <w:rsid w:val="002B6864"/>
    <w:rsid w:val="002B6DF4"/>
    <w:rsid w:val="002C297F"/>
    <w:rsid w:val="002C32B4"/>
    <w:rsid w:val="002C333B"/>
    <w:rsid w:val="002C3D01"/>
    <w:rsid w:val="002C7396"/>
    <w:rsid w:val="002C7B36"/>
    <w:rsid w:val="002D2A5F"/>
    <w:rsid w:val="002D3860"/>
    <w:rsid w:val="002D3AB9"/>
    <w:rsid w:val="002D41C2"/>
    <w:rsid w:val="002D62A8"/>
    <w:rsid w:val="002D6E5F"/>
    <w:rsid w:val="002D72FC"/>
    <w:rsid w:val="002E1B60"/>
    <w:rsid w:val="002E261A"/>
    <w:rsid w:val="002E3EA6"/>
    <w:rsid w:val="002E4672"/>
    <w:rsid w:val="002E4D89"/>
    <w:rsid w:val="002F138D"/>
    <w:rsid w:val="002F1D95"/>
    <w:rsid w:val="002F52D1"/>
    <w:rsid w:val="002F5DDC"/>
    <w:rsid w:val="002F781C"/>
    <w:rsid w:val="00302E9B"/>
    <w:rsid w:val="003032EF"/>
    <w:rsid w:val="00303383"/>
    <w:rsid w:val="003039E0"/>
    <w:rsid w:val="00304C14"/>
    <w:rsid w:val="00304F25"/>
    <w:rsid w:val="003067E2"/>
    <w:rsid w:val="0031035F"/>
    <w:rsid w:val="003106C5"/>
    <w:rsid w:val="00310A42"/>
    <w:rsid w:val="00310C73"/>
    <w:rsid w:val="00311F04"/>
    <w:rsid w:val="003125A7"/>
    <w:rsid w:val="003134C1"/>
    <w:rsid w:val="00315231"/>
    <w:rsid w:val="003158DC"/>
    <w:rsid w:val="0031654A"/>
    <w:rsid w:val="00316B29"/>
    <w:rsid w:val="0031744A"/>
    <w:rsid w:val="00320C9B"/>
    <w:rsid w:val="0032366B"/>
    <w:rsid w:val="00323719"/>
    <w:rsid w:val="00323744"/>
    <w:rsid w:val="00323B80"/>
    <w:rsid w:val="0032597D"/>
    <w:rsid w:val="0032695A"/>
    <w:rsid w:val="00326D26"/>
    <w:rsid w:val="00327E24"/>
    <w:rsid w:val="00331764"/>
    <w:rsid w:val="00331CE9"/>
    <w:rsid w:val="003323A1"/>
    <w:rsid w:val="00332488"/>
    <w:rsid w:val="00332D0F"/>
    <w:rsid w:val="00334CFB"/>
    <w:rsid w:val="003357FA"/>
    <w:rsid w:val="00336A2D"/>
    <w:rsid w:val="00337640"/>
    <w:rsid w:val="00337C3B"/>
    <w:rsid w:val="003410A6"/>
    <w:rsid w:val="00341338"/>
    <w:rsid w:val="00343B32"/>
    <w:rsid w:val="003449F5"/>
    <w:rsid w:val="003462B7"/>
    <w:rsid w:val="00346F5C"/>
    <w:rsid w:val="00350105"/>
    <w:rsid w:val="003513F6"/>
    <w:rsid w:val="0035272F"/>
    <w:rsid w:val="00353AEC"/>
    <w:rsid w:val="00354FF6"/>
    <w:rsid w:val="00355048"/>
    <w:rsid w:val="00355B3F"/>
    <w:rsid w:val="00357DC0"/>
    <w:rsid w:val="00361433"/>
    <w:rsid w:val="0036205F"/>
    <w:rsid w:val="00363199"/>
    <w:rsid w:val="00363A73"/>
    <w:rsid w:val="003641C9"/>
    <w:rsid w:val="00364780"/>
    <w:rsid w:val="003651B7"/>
    <w:rsid w:val="0037020C"/>
    <w:rsid w:val="00370547"/>
    <w:rsid w:val="003708E3"/>
    <w:rsid w:val="003709E9"/>
    <w:rsid w:val="00375C9B"/>
    <w:rsid w:val="0037634A"/>
    <w:rsid w:val="003766B4"/>
    <w:rsid w:val="00376D69"/>
    <w:rsid w:val="00377747"/>
    <w:rsid w:val="00380A37"/>
    <w:rsid w:val="0038168A"/>
    <w:rsid w:val="0038178A"/>
    <w:rsid w:val="003849C5"/>
    <w:rsid w:val="00385004"/>
    <w:rsid w:val="0038636A"/>
    <w:rsid w:val="003874B2"/>
    <w:rsid w:val="00390CF6"/>
    <w:rsid w:val="00391142"/>
    <w:rsid w:val="003930CA"/>
    <w:rsid w:val="003947E0"/>
    <w:rsid w:val="003A01DD"/>
    <w:rsid w:val="003A02A2"/>
    <w:rsid w:val="003A07FA"/>
    <w:rsid w:val="003A4CAB"/>
    <w:rsid w:val="003A5070"/>
    <w:rsid w:val="003A5D13"/>
    <w:rsid w:val="003A6655"/>
    <w:rsid w:val="003B0AB9"/>
    <w:rsid w:val="003B13C1"/>
    <w:rsid w:val="003B3A2C"/>
    <w:rsid w:val="003B5EB0"/>
    <w:rsid w:val="003B6BB3"/>
    <w:rsid w:val="003B7E25"/>
    <w:rsid w:val="003C132E"/>
    <w:rsid w:val="003C27A2"/>
    <w:rsid w:val="003C3876"/>
    <w:rsid w:val="003C3D41"/>
    <w:rsid w:val="003D0782"/>
    <w:rsid w:val="003D0F38"/>
    <w:rsid w:val="003D1001"/>
    <w:rsid w:val="003D1DD3"/>
    <w:rsid w:val="003D29BC"/>
    <w:rsid w:val="003D2AED"/>
    <w:rsid w:val="003D4DA5"/>
    <w:rsid w:val="003D5960"/>
    <w:rsid w:val="003D6140"/>
    <w:rsid w:val="003D7394"/>
    <w:rsid w:val="003D7CB1"/>
    <w:rsid w:val="003E276E"/>
    <w:rsid w:val="003E36A1"/>
    <w:rsid w:val="003E5BEF"/>
    <w:rsid w:val="003E7D08"/>
    <w:rsid w:val="003F0E96"/>
    <w:rsid w:val="003F21A2"/>
    <w:rsid w:val="003F43BE"/>
    <w:rsid w:val="003F4454"/>
    <w:rsid w:val="003F4BD2"/>
    <w:rsid w:val="003F5111"/>
    <w:rsid w:val="003F549E"/>
    <w:rsid w:val="003F5C7F"/>
    <w:rsid w:val="003F666F"/>
    <w:rsid w:val="003F67CE"/>
    <w:rsid w:val="004008EA"/>
    <w:rsid w:val="00401B1A"/>
    <w:rsid w:val="00403F6D"/>
    <w:rsid w:val="0040491E"/>
    <w:rsid w:val="00404C4B"/>
    <w:rsid w:val="00404DB3"/>
    <w:rsid w:val="00406561"/>
    <w:rsid w:val="00406CF1"/>
    <w:rsid w:val="00407903"/>
    <w:rsid w:val="0041269F"/>
    <w:rsid w:val="00414FE2"/>
    <w:rsid w:val="004159E4"/>
    <w:rsid w:val="00415D6F"/>
    <w:rsid w:val="004170A1"/>
    <w:rsid w:val="00417F2F"/>
    <w:rsid w:val="00420390"/>
    <w:rsid w:val="0042104F"/>
    <w:rsid w:val="0042377C"/>
    <w:rsid w:val="00423CF6"/>
    <w:rsid w:val="00426DD7"/>
    <w:rsid w:val="0042749B"/>
    <w:rsid w:val="0043033C"/>
    <w:rsid w:val="00430503"/>
    <w:rsid w:val="00430993"/>
    <w:rsid w:val="00433D82"/>
    <w:rsid w:val="00437222"/>
    <w:rsid w:val="0044391A"/>
    <w:rsid w:val="00450FFB"/>
    <w:rsid w:val="004517B5"/>
    <w:rsid w:val="00451C9D"/>
    <w:rsid w:val="0045210D"/>
    <w:rsid w:val="004527A1"/>
    <w:rsid w:val="00453FC3"/>
    <w:rsid w:val="00455285"/>
    <w:rsid w:val="004558AC"/>
    <w:rsid w:val="00456305"/>
    <w:rsid w:val="00461498"/>
    <w:rsid w:val="00463633"/>
    <w:rsid w:val="00466B83"/>
    <w:rsid w:val="00466FA7"/>
    <w:rsid w:val="00470337"/>
    <w:rsid w:val="004718BB"/>
    <w:rsid w:val="0047283A"/>
    <w:rsid w:val="0047363C"/>
    <w:rsid w:val="00473674"/>
    <w:rsid w:val="00475964"/>
    <w:rsid w:val="00477C17"/>
    <w:rsid w:val="00481E95"/>
    <w:rsid w:val="00481E99"/>
    <w:rsid w:val="00482346"/>
    <w:rsid w:val="004825FF"/>
    <w:rsid w:val="004843E5"/>
    <w:rsid w:val="00484903"/>
    <w:rsid w:val="00485725"/>
    <w:rsid w:val="004903CB"/>
    <w:rsid w:val="004905BA"/>
    <w:rsid w:val="00492A30"/>
    <w:rsid w:val="004942E0"/>
    <w:rsid w:val="00494887"/>
    <w:rsid w:val="00495CF8"/>
    <w:rsid w:val="004A0F85"/>
    <w:rsid w:val="004A11AA"/>
    <w:rsid w:val="004A2928"/>
    <w:rsid w:val="004A428F"/>
    <w:rsid w:val="004A5D91"/>
    <w:rsid w:val="004A7BFE"/>
    <w:rsid w:val="004B2FFD"/>
    <w:rsid w:val="004B36C0"/>
    <w:rsid w:val="004B38D5"/>
    <w:rsid w:val="004B3C3B"/>
    <w:rsid w:val="004B49B9"/>
    <w:rsid w:val="004B6CB4"/>
    <w:rsid w:val="004B6EFB"/>
    <w:rsid w:val="004C0C30"/>
    <w:rsid w:val="004C251B"/>
    <w:rsid w:val="004C35D6"/>
    <w:rsid w:val="004C4E17"/>
    <w:rsid w:val="004C53A1"/>
    <w:rsid w:val="004C5C5C"/>
    <w:rsid w:val="004D01C6"/>
    <w:rsid w:val="004D0CBE"/>
    <w:rsid w:val="004D3264"/>
    <w:rsid w:val="004D3D82"/>
    <w:rsid w:val="004D53DC"/>
    <w:rsid w:val="004D7A4D"/>
    <w:rsid w:val="004E0443"/>
    <w:rsid w:val="004E1291"/>
    <w:rsid w:val="004E1474"/>
    <w:rsid w:val="004E1891"/>
    <w:rsid w:val="004E1F88"/>
    <w:rsid w:val="004E232C"/>
    <w:rsid w:val="004E2B3F"/>
    <w:rsid w:val="004E464F"/>
    <w:rsid w:val="004E4736"/>
    <w:rsid w:val="004E47D4"/>
    <w:rsid w:val="004E490D"/>
    <w:rsid w:val="004E550C"/>
    <w:rsid w:val="004E6112"/>
    <w:rsid w:val="004E6FB2"/>
    <w:rsid w:val="004E7DF9"/>
    <w:rsid w:val="004F0D5C"/>
    <w:rsid w:val="004F1656"/>
    <w:rsid w:val="004F197A"/>
    <w:rsid w:val="004F27AE"/>
    <w:rsid w:val="004F28D8"/>
    <w:rsid w:val="004F51C5"/>
    <w:rsid w:val="004F7BD4"/>
    <w:rsid w:val="00501FB7"/>
    <w:rsid w:val="00502B2F"/>
    <w:rsid w:val="00503550"/>
    <w:rsid w:val="00503696"/>
    <w:rsid w:val="005047A1"/>
    <w:rsid w:val="00505ED7"/>
    <w:rsid w:val="00506F89"/>
    <w:rsid w:val="005070D9"/>
    <w:rsid w:val="005077A2"/>
    <w:rsid w:val="00510DA9"/>
    <w:rsid w:val="0051136C"/>
    <w:rsid w:val="0051227D"/>
    <w:rsid w:val="00514B85"/>
    <w:rsid w:val="00515750"/>
    <w:rsid w:val="00515A79"/>
    <w:rsid w:val="0051698C"/>
    <w:rsid w:val="00516DB7"/>
    <w:rsid w:val="005203F0"/>
    <w:rsid w:val="00521CA6"/>
    <w:rsid w:val="0052303A"/>
    <w:rsid w:val="0052328B"/>
    <w:rsid w:val="00523434"/>
    <w:rsid w:val="00531269"/>
    <w:rsid w:val="00533860"/>
    <w:rsid w:val="00536C20"/>
    <w:rsid w:val="00537B78"/>
    <w:rsid w:val="005437D7"/>
    <w:rsid w:val="00543CB6"/>
    <w:rsid w:val="00544E5B"/>
    <w:rsid w:val="00547C28"/>
    <w:rsid w:val="0055093A"/>
    <w:rsid w:val="00551A2D"/>
    <w:rsid w:val="00551CB3"/>
    <w:rsid w:val="0055354D"/>
    <w:rsid w:val="00554235"/>
    <w:rsid w:val="00560909"/>
    <w:rsid w:val="00561D4B"/>
    <w:rsid w:val="00562F78"/>
    <w:rsid w:val="00563575"/>
    <w:rsid w:val="00563BC1"/>
    <w:rsid w:val="00563D61"/>
    <w:rsid w:val="00563E03"/>
    <w:rsid w:val="00563F00"/>
    <w:rsid w:val="005640BA"/>
    <w:rsid w:val="00564576"/>
    <w:rsid w:val="00565433"/>
    <w:rsid w:val="00567FF1"/>
    <w:rsid w:val="005704DF"/>
    <w:rsid w:val="00570547"/>
    <w:rsid w:val="00572C8C"/>
    <w:rsid w:val="00574728"/>
    <w:rsid w:val="00575B34"/>
    <w:rsid w:val="005764F4"/>
    <w:rsid w:val="00577686"/>
    <w:rsid w:val="00580782"/>
    <w:rsid w:val="005814C3"/>
    <w:rsid w:val="005819B6"/>
    <w:rsid w:val="0058272D"/>
    <w:rsid w:val="00582F3E"/>
    <w:rsid w:val="00583602"/>
    <w:rsid w:val="005837BE"/>
    <w:rsid w:val="00585F22"/>
    <w:rsid w:val="00590296"/>
    <w:rsid w:val="005906F9"/>
    <w:rsid w:val="00592216"/>
    <w:rsid w:val="005961F5"/>
    <w:rsid w:val="00596279"/>
    <w:rsid w:val="005A00B8"/>
    <w:rsid w:val="005A1DAF"/>
    <w:rsid w:val="005A2C00"/>
    <w:rsid w:val="005A343B"/>
    <w:rsid w:val="005A5653"/>
    <w:rsid w:val="005A6DD4"/>
    <w:rsid w:val="005B03D9"/>
    <w:rsid w:val="005B131C"/>
    <w:rsid w:val="005B25FD"/>
    <w:rsid w:val="005B456A"/>
    <w:rsid w:val="005B73ED"/>
    <w:rsid w:val="005B790A"/>
    <w:rsid w:val="005C2D4D"/>
    <w:rsid w:val="005C4FD3"/>
    <w:rsid w:val="005C5748"/>
    <w:rsid w:val="005C6CCB"/>
    <w:rsid w:val="005C7E51"/>
    <w:rsid w:val="005C7ED5"/>
    <w:rsid w:val="005D0447"/>
    <w:rsid w:val="005D2A7B"/>
    <w:rsid w:val="005D44CC"/>
    <w:rsid w:val="005D4BD0"/>
    <w:rsid w:val="005D7931"/>
    <w:rsid w:val="005D7A0C"/>
    <w:rsid w:val="005E103D"/>
    <w:rsid w:val="005E2066"/>
    <w:rsid w:val="005E2780"/>
    <w:rsid w:val="005E3361"/>
    <w:rsid w:val="005E62E2"/>
    <w:rsid w:val="005E687F"/>
    <w:rsid w:val="005E6E2E"/>
    <w:rsid w:val="005E75A2"/>
    <w:rsid w:val="005E7831"/>
    <w:rsid w:val="005F083D"/>
    <w:rsid w:val="005F139B"/>
    <w:rsid w:val="005F21C1"/>
    <w:rsid w:val="005F3378"/>
    <w:rsid w:val="0060507C"/>
    <w:rsid w:val="00606B93"/>
    <w:rsid w:val="00607110"/>
    <w:rsid w:val="006076B1"/>
    <w:rsid w:val="006123F5"/>
    <w:rsid w:val="00612FA1"/>
    <w:rsid w:val="0061303A"/>
    <w:rsid w:val="00614418"/>
    <w:rsid w:val="00614F42"/>
    <w:rsid w:val="00615FA2"/>
    <w:rsid w:val="00617935"/>
    <w:rsid w:val="006210FA"/>
    <w:rsid w:val="006217AF"/>
    <w:rsid w:val="00621D99"/>
    <w:rsid w:val="0062259C"/>
    <w:rsid w:val="006250E5"/>
    <w:rsid w:val="006252DC"/>
    <w:rsid w:val="00625911"/>
    <w:rsid w:val="00625FFD"/>
    <w:rsid w:val="006278DA"/>
    <w:rsid w:val="006301FC"/>
    <w:rsid w:val="0063045B"/>
    <w:rsid w:val="006317FE"/>
    <w:rsid w:val="00633569"/>
    <w:rsid w:val="00633617"/>
    <w:rsid w:val="0063398C"/>
    <w:rsid w:val="00635938"/>
    <w:rsid w:val="00635F05"/>
    <w:rsid w:val="00637734"/>
    <w:rsid w:val="00637A5C"/>
    <w:rsid w:val="00641941"/>
    <w:rsid w:val="00643D77"/>
    <w:rsid w:val="0064412A"/>
    <w:rsid w:val="00646543"/>
    <w:rsid w:val="00646C6B"/>
    <w:rsid w:val="00647A65"/>
    <w:rsid w:val="00651937"/>
    <w:rsid w:val="00653250"/>
    <w:rsid w:val="00653845"/>
    <w:rsid w:val="00653982"/>
    <w:rsid w:val="00653E08"/>
    <w:rsid w:val="00655F73"/>
    <w:rsid w:val="00656C95"/>
    <w:rsid w:val="006613CD"/>
    <w:rsid w:val="0066296C"/>
    <w:rsid w:val="006637A9"/>
    <w:rsid w:val="0066516D"/>
    <w:rsid w:val="00665B93"/>
    <w:rsid w:val="00666498"/>
    <w:rsid w:val="00667217"/>
    <w:rsid w:val="006679F6"/>
    <w:rsid w:val="00670F31"/>
    <w:rsid w:val="0067113E"/>
    <w:rsid w:val="00671C2B"/>
    <w:rsid w:val="00674C68"/>
    <w:rsid w:val="00675CE1"/>
    <w:rsid w:val="006762E7"/>
    <w:rsid w:val="006806FD"/>
    <w:rsid w:val="00682910"/>
    <w:rsid w:val="00683332"/>
    <w:rsid w:val="00685DBB"/>
    <w:rsid w:val="00686A86"/>
    <w:rsid w:val="00687154"/>
    <w:rsid w:val="0068795D"/>
    <w:rsid w:val="00690822"/>
    <w:rsid w:val="006927E3"/>
    <w:rsid w:val="0069295C"/>
    <w:rsid w:val="00692C91"/>
    <w:rsid w:val="00695A87"/>
    <w:rsid w:val="00695B25"/>
    <w:rsid w:val="00696729"/>
    <w:rsid w:val="0069794C"/>
    <w:rsid w:val="006A0514"/>
    <w:rsid w:val="006A25B4"/>
    <w:rsid w:val="006A3754"/>
    <w:rsid w:val="006A3F58"/>
    <w:rsid w:val="006A51F8"/>
    <w:rsid w:val="006A5A76"/>
    <w:rsid w:val="006A746D"/>
    <w:rsid w:val="006B1653"/>
    <w:rsid w:val="006B1C3F"/>
    <w:rsid w:val="006B2F0A"/>
    <w:rsid w:val="006B46BB"/>
    <w:rsid w:val="006B5664"/>
    <w:rsid w:val="006B5CE4"/>
    <w:rsid w:val="006B64C7"/>
    <w:rsid w:val="006C0711"/>
    <w:rsid w:val="006C1132"/>
    <w:rsid w:val="006C14C2"/>
    <w:rsid w:val="006C31B1"/>
    <w:rsid w:val="006C3486"/>
    <w:rsid w:val="006C3F0D"/>
    <w:rsid w:val="006C40FC"/>
    <w:rsid w:val="006C43D0"/>
    <w:rsid w:val="006C4AF0"/>
    <w:rsid w:val="006C6FE6"/>
    <w:rsid w:val="006D1515"/>
    <w:rsid w:val="006D1D56"/>
    <w:rsid w:val="006D2800"/>
    <w:rsid w:val="006D3F29"/>
    <w:rsid w:val="006D420E"/>
    <w:rsid w:val="006D46EF"/>
    <w:rsid w:val="006D5C77"/>
    <w:rsid w:val="006D6FD1"/>
    <w:rsid w:val="006E1851"/>
    <w:rsid w:val="006E1C9E"/>
    <w:rsid w:val="006E3B71"/>
    <w:rsid w:val="006E3CEC"/>
    <w:rsid w:val="006E564D"/>
    <w:rsid w:val="006E59B6"/>
    <w:rsid w:val="006E6966"/>
    <w:rsid w:val="006E7207"/>
    <w:rsid w:val="006F1302"/>
    <w:rsid w:val="006F1AF5"/>
    <w:rsid w:val="006F20E6"/>
    <w:rsid w:val="006F3112"/>
    <w:rsid w:val="006F31E3"/>
    <w:rsid w:val="006F4417"/>
    <w:rsid w:val="006F445B"/>
    <w:rsid w:val="006F4B6B"/>
    <w:rsid w:val="006F4CBC"/>
    <w:rsid w:val="006F4DD9"/>
    <w:rsid w:val="006F5C74"/>
    <w:rsid w:val="00700D7E"/>
    <w:rsid w:val="0070473D"/>
    <w:rsid w:val="00704ED0"/>
    <w:rsid w:val="007053A9"/>
    <w:rsid w:val="007059EC"/>
    <w:rsid w:val="00705FB3"/>
    <w:rsid w:val="007061AA"/>
    <w:rsid w:val="007069A6"/>
    <w:rsid w:val="007076E0"/>
    <w:rsid w:val="007102A5"/>
    <w:rsid w:val="00711586"/>
    <w:rsid w:val="007117C7"/>
    <w:rsid w:val="00711AB0"/>
    <w:rsid w:val="00712F65"/>
    <w:rsid w:val="00714078"/>
    <w:rsid w:val="00714563"/>
    <w:rsid w:val="00715073"/>
    <w:rsid w:val="00715F38"/>
    <w:rsid w:val="00716236"/>
    <w:rsid w:val="0071688E"/>
    <w:rsid w:val="007170BA"/>
    <w:rsid w:val="00721BD0"/>
    <w:rsid w:val="00722747"/>
    <w:rsid w:val="00722E43"/>
    <w:rsid w:val="007241E1"/>
    <w:rsid w:val="007245EB"/>
    <w:rsid w:val="007251D2"/>
    <w:rsid w:val="0072594B"/>
    <w:rsid w:val="00726115"/>
    <w:rsid w:val="00726D6E"/>
    <w:rsid w:val="007274A8"/>
    <w:rsid w:val="0073370B"/>
    <w:rsid w:val="00734260"/>
    <w:rsid w:val="00735807"/>
    <w:rsid w:val="0073656A"/>
    <w:rsid w:val="00736855"/>
    <w:rsid w:val="00736D2E"/>
    <w:rsid w:val="007409F5"/>
    <w:rsid w:val="00742CE9"/>
    <w:rsid w:val="007434A0"/>
    <w:rsid w:val="00744490"/>
    <w:rsid w:val="00744E65"/>
    <w:rsid w:val="00746B2F"/>
    <w:rsid w:val="00750DE3"/>
    <w:rsid w:val="00751545"/>
    <w:rsid w:val="007517F5"/>
    <w:rsid w:val="007538C3"/>
    <w:rsid w:val="00755552"/>
    <w:rsid w:val="00756389"/>
    <w:rsid w:val="00756438"/>
    <w:rsid w:val="007619A8"/>
    <w:rsid w:val="0076374A"/>
    <w:rsid w:val="007648FB"/>
    <w:rsid w:val="00770DA1"/>
    <w:rsid w:val="0077233C"/>
    <w:rsid w:val="00772A26"/>
    <w:rsid w:val="007731D0"/>
    <w:rsid w:val="0077341D"/>
    <w:rsid w:val="00773542"/>
    <w:rsid w:val="007751CF"/>
    <w:rsid w:val="00780091"/>
    <w:rsid w:val="007800C7"/>
    <w:rsid w:val="00780A8D"/>
    <w:rsid w:val="00782C8E"/>
    <w:rsid w:val="007831FA"/>
    <w:rsid w:val="007832B1"/>
    <w:rsid w:val="00783729"/>
    <w:rsid w:val="007853C8"/>
    <w:rsid w:val="00787A82"/>
    <w:rsid w:val="00787AEC"/>
    <w:rsid w:val="00787AFA"/>
    <w:rsid w:val="00787F45"/>
    <w:rsid w:val="0079043C"/>
    <w:rsid w:val="00790808"/>
    <w:rsid w:val="00791A9F"/>
    <w:rsid w:val="00794277"/>
    <w:rsid w:val="00795B0D"/>
    <w:rsid w:val="007963D8"/>
    <w:rsid w:val="0079672D"/>
    <w:rsid w:val="00796E34"/>
    <w:rsid w:val="00797C99"/>
    <w:rsid w:val="007A06EF"/>
    <w:rsid w:val="007A2151"/>
    <w:rsid w:val="007A422E"/>
    <w:rsid w:val="007A6AFC"/>
    <w:rsid w:val="007A7394"/>
    <w:rsid w:val="007A748C"/>
    <w:rsid w:val="007A7CCA"/>
    <w:rsid w:val="007B3913"/>
    <w:rsid w:val="007B4345"/>
    <w:rsid w:val="007B6A27"/>
    <w:rsid w:val="007B7E9C"/>
    <w:rsid w:val="007C0054"/>
    <w:rsid w:val="007C0CDB"/>
    <w:rsid w:val="007C335F"/>
    <w:rsid w:val="007C578B"/>
    <w:rsid w:val="007C5F99"/>
    <w:rsid w:val="007C62AD"/>
    <w:rsid w:val="007D0C22"/>
    <w:rsid w:val="007D29CB"/>
    <w:rsid w:val="007D3B2C"/>
    <w:rsid w:val="007D4805"/>
    <w:rsid w:val="007D5C2B"/>
    <w:rsid w:val="007D6E8F"/>
    <w:rsid w:val="007D6F6D"/>
    <w:rsid w:val="007D7BC3"/>
    <w:rsid w:val="007E06E4"/>
    <w:rsid w:val="007E0FBB"/>
    <w:rsid w:val="007E263C"/>
    <w:rsid w:val="007E4015"/>
    <w:rsid w:val="007E666B"/>
    <w:rsid w:val="007E757F"/>
    <w:rsid w:val="007E7853"/>
    <w:rsid w:val="007F1971"/>
    <w:rsid w:val="007F283B"/>
    <w:rsid w:val="007F4090"/>
    <w:rsid w:val="00800AFF"/>
    <w:rsid w:val="00801D27"/>
    <w:rsid w:val="00801FD5"/>
    <w:rsid w:val="00802A48"/>
    <w:rsid w:val="008050E3"/>
    <w:rsid w:val="008069D9"/>
    <w:rsid w:val="008077DF"/>
    <w:rsid w:val="00810F15"/>
    <w:rsid w:val="0081399E"/>
    <w:rsid w:val="0081442D"/>
    <w:rsid w:val="008147B9"/>
    <w:rsid w:val="008148BC"/>
    <w:rsid w:val="00815239"/>
    <w:rsid w:val="00817974"/>
    <w:rsid w:val="00817C4A"/>
    <w:rsid w:val="00821225"/>
    <w:rsid w:val="00822495"/>
    <w:rsid w:val="0082274E"/>
    <w:rsid w:val="00824441"/>
    <w:rsid w:val="00824D64"/>
    <w:rsid w:val="00827641"/>
    <w:rsid w:val="00830C99"/>
    <w:rsid w:val="00831B9F"/>
    <w:rsid w:val="008333A9"/>
    <w:rsid w:val="00834525"/>
    <w:rsid w:val="008360BC"/>
    <w:rsid w:val="00840B2B"/>
    <w:rsid w:val="00840BB5"/>
    <w:rsid w:val="0084219E"/>
    <w:rsid w:val="008447C0"/>
    <w:rsid w:val="00846CAD"/>
    <w:rsid w:val="00847E5D"/>
    <w:rsid w:val="00851EA0"/>
    <w:rsid w:val="00852074"/>
    <w:rsid w:val="008521F9"/>
    <w:rsid w:val="008524C8"/>
    <w:rsid w:val="0085632B"/>
    <w:rsid w:val="00857533"/>
    <w:rsid w:val="00857688"/>
    <w:rsid w:val="00857BD1"/>
    <w:rsid w:val="0086179B"/>
    <w:rsid w:val="0086189C"/>
    <w:rsid w:val="00864512"/>
    <w:rsid w:val="008646A4"/>
    <w:rsid w:val="00865B45"/>
    <w:rsid w:val="00866CA8"/>
    <w:rsid w:val="00867134"/>
    <w:rsid w:val="008709AB"/>
    <w:rsid w:val="00870AF1"/>
    <w:rsid w:val="00870E4A"/>
    <w:rsid w:val="008739BA"/>
    <w:rsid w:val="00875458"/>
    <w:rsid w:val="00881A4D"/>
    <w:rsid w:val="008843DA"/>
    <w:rsid w:val="0088508F"/>
    <w:rsid w:val="008879BE"/>
    <w:rsid w:val="00887A3A"/>
    <w:rsid w:val="008900CA"/>
    <w:rsid w:val="008901E2"/>
    <w:rsid w:val="00894632"/>
    <w:rsid w:val="008958BE"/>
    <w:rsid w:val="00895B4E"/>
    <w:rsid w:val="00896CFA"/>
    <w:rsid w:val="008A03C8"/>
    <w:rsid w:val="008A068B"/>
    <w:rsid w:val="008A22ED"/>
    <w:rsid w:val="008A24C5"/>
    <w:rsid w:val="008A2B67"/>
    <w:rsid w:val="008A383F"/>
    <w:rsid w:val="008A3C89"/>
    <w:rsid w:val="008A506C"/>
    <w:rsid w:val="008A5976"/>
    <w:rsid w:val="008A6077"/>
    <w:rsid w:val="008A63C6"/>
    <w:rsid w:val="008A66D9"/>
    <w:rsid w:val="008A6971"/>
    <w:rsid w:val="008A6C84"/>
    <w:rsid w:val="008A6D9C"/>
    <w:rsid w:val="008B0869"/>
    <w:rsid w:val="008B0CC7"/>
    <w:rsid w:val="008B4FE9"/>
    <w:rsid w:val="008B50C4"/>
    <w:rsid w:val="008B5BAD"/>
    <w:rsid w:val="008B727B"/>
    <w:rsid w:val="008B7E45"/>
    <w:rsid w:val="008C0526"/>
    <w:rsid w:val="008C0AF2"/>
    <w:rsid w:val="008C2553"/>
    <w:rsid w:val="008C4307"/>
    <w:rsid w:val="008C5A74"/>
    <w:rsid w:val="008C6632"/>
    <w:rsid w:val="008C7D2A"/>
    <w:rsid w:val="008D1E0F"/>
    <w:rsid w:val="008D2ACF"/>
    <w:rsid w:val="008D3080"/>
    <w:rsid w:val="008D36C3"/>
    <w:rsid w:val="008D3BBC"/>
    <w:rsid w:val="008D44EB"/>
    <w:rsid w:val="008D45D1"/>
    <w:rsid w:val="008D4743"/>
    <w:rsid w:val="008D49ED"/>
    <w:rsid w:val="008D5187"/>
    <w:rsid w:val="008D51FD"/>
    <w:rsid w:val="008D58CC"/>
    <w:rsid w:val="008D7E86"/>
    <w:rsid w:val="008E0E4B"/>
    <w:rsid w:val="008E1604"/>
    <w:rsid w:val="008E1C3C"/>
    <w:rsid w:val="008E28B2"/>
    <w:rsid w:val="008E3BAB"/>
    <w:rsid w:val="008E623A"/>
    <w:rsid w:val="008E623D"/>
    <w:rsid w:val="008E6559"/>
    <w:rsid w:val="008E6AFD"/>
    <w:rsid w:val="008E71AD"/>
    <w:rsid w:val="008E74C8"/>
    <w:rsid w:val="008E7D67"/>
    <w:rsid w:val="008F0A53"/>
    <w:rsid w:val="008F1EA7"/>
    <w:rsid w:val="008F2D52"/>
    <w:rsid w:val="008F3006"/>
    <w:rsid w:val="008F3431"/>
    <w:rsid w:val="008F3682"/>
    <w:rsid w:val="008F453E"/>
    <w:rsid w:val="008F4709"/>
    <w:rsid w:val="008F490F"/>
    <w:rsid w:val="008F755E"/>
    <w:rsid w:val="008F7798"/>
    <w:rsid w:val="008F797F"/>
    <w:rsid w:val="00900CC6"/>
    <w:rsid w:val="009047F7"/>
    <w:rsid w:val="00904FE5"/>
    <w:rsid w:val="0090770C"/>
    <w:rsid w:val="0091331F"/>
    <w:rsid w:val="009137E2"/>
    <w:rsid w:val="00913A6B"/>
    <w:rsid w:val="00914AD2"/>
    <w:rsid w:val="00914C7F"/>
    <w:rsid w:val="00915391"/>
    <w:rsid w:val="0091681E"/>
    <w:rsid w:val="0092102E"/>
    <w:rsid w:val="009212C9"/>
    <w:rsid w:val="00921B4B"/>
    <w:rsid w:val="00922979"/>
    <w:rsid w:val="0092398C"/>
    <w:rsid w:val="009247C6"/>
    <w:rsid w:val="00925C2C"/>
    <w:rsid w:val="00925FDC"/>
    <w:rsid w:val="00926FC4"/>
    <w:rsid w:val="00931F8D"/>
    <w:rsid w:val="00932744"/>
    <w:rsid w:val="00936C72"/>
    <w:rsid w:val="00937FF9"/>
    <w:rsid w:val="009404D6"/>
    <w:rsid w:val="00941521"/>
    <w:rsid w:val="0094212D"/>
    <w:rsid w:val="009472A7"/>
    <w:rsid w:val="00950290"/>
    <w:rsid w:val="00955DE0"/>
    <w:rsid w:val="0095782D"/>
    <w:rsid w:val="009618E7"/>
    <w:rsid w:val="00962079"/>
    <w:rsid w:val="00962249"/>
    <w:rsid w:val="00962AD7"/>
    <w:rsid w:val="009639FB"/>
    <w:rsid w:val="00964642"/>
    <w:rsid w:val="00966F61"/>
    <w:rsid w:val="009676E5"/>
    <w:rsid w:val="009703ED"/>
    <w:rsid w:val="00970FF3"/>
    <w:rsid w:val="009729DB"/>
    <w:rsid w:val="00973845"/>
    <w:rsid w:val="0097419F"/>
    <w:rsid w:val="0097782B"/>
    <w:rsid w:val="00980B4F"/>
    <w:rsid w:val="009820C4"/>
    <w:rsid w:val="0098305C"/>
    <w:rsid w:val="009843FD"/>
    <w:rsid w:val="009846DD"/>
    <w:rsid w:val="0098608E"/>
    <w:rsid w:val="009874C2"/>
    <w:rsid w:val="009917BE"/>
    <w:rsid w:val="00992B93"/>
    <w:rsid w:val="00992CEB"/>
    <w:rsid w:val="0099359B"/>
    <w:rsid w:val="00993C12"/>
    <w:rsid w:val="0099446D"/>
    <w:rsid w:val="00995349"/>
    <w:rsid w:val="00995392"/>
    <w:rsid w:val="00996453"/>
    <w:rsid w:val="00996678"/>
    <w:rsid w:val="009A0CF9"/>
    <w:rsid w:val="009A1B65"/>
    <w:rsid w:val="009A1D16"/>
    <w:rsid w:val="009A1F21"/>
    <w:rsid w:val="009A2025"/>
    <w:rsid w:val="009A3869"/>
    <w:rsid w:val="009A4503"/>
    <w:rsid w:val="009A5B83"/>
    <w:rsid w:val="009A7E91"/>
    <w:rsid w:val="009B0D60"/>
    <w:rsid w:val="009B144F"/>
    <w:rsid w:val="009B4065"/>
    <w:rsid w:val="009B4118"/>
    <w:rsid w:val="009B43B8"/>
    <w:rsid w:val="009B5EB3"/>
    <w:rsid w:val="009B60F8"/>
    <w:rsid w:val="009B7EDD"/>
    <w:rsid w:val="009C1AE3"/>
    <w:rsid w:val="009C3970"/>
    <w:rsid w:val="009C3D49"/>
    <w:rsid w:val="009D200C"/>
    <w:rsid w:val="009D21AD"/>
    <w:rsid w:val="009D31C0"/>
    <w:rsid w:val="009D38A4"/>
    <w:rsid w:val="009D58F5"/>
    <w:rsid w:val="009D71B3"/>
    <w:rsid w:val="009E10A7"/>
    <w:rsid w:val="009E1566"/>
    <w:rsid w:val="009E27E7"/>
    <w:rsid w:val="009E2A82"/>
    <w:rsid w:val="009E32B1"/>
    <w:rsid w:val="009E6E68"/>
    <w:rsid w:val="009F013A"/>
    <w:rsid w:val="009F1128"/>
    <w:rsid w:val="009F1334"/>
    <w:rsid w:val="009F208E"/>
    <w:rsid w:val="009F4ED4"/>
    <w:rsid w:val="009F569E"/>
    <w:rsid w:val="009F5CAB"/>
    <w:rsid w:val="009F63A6"/>
    <w:rsid w:val="00A00EDC"/>
    <w:rsid w:val="00A0296C"/>
    <w:rsid w:val="00A02FD5"/>
    <w:rsid w:val="00A04C3E"/>
    <w:rsid w:val="00A0541A"/>
    <w:rsid w:val="00A1027B"/>
    <w:rsid w:val="00A11853"/>
    <w:rsid w:val="00A11C53"/>
    <w:rsid w:val="00A142A8"/>
    <w:rsid w:val="00A17E28"/>
    <w:rsid w:val="00A21F0D"/>
    <w:rsid w:val="00A24083"/>
    <w:rsid w:val="00A25584"/>
    <w:rsid w:val="00A26C97"/>
    <w:rsid w:val="00A308D8"/>
    <w:rsid w:val="00A30B1E"/>
    <w:rsid w:val="00A31459"/>
    <w:rsid w:val="00A346F9"/>
    <w:rsid w:val="00A34E56"/>
    <w:rsid w:val="00A3602D"/>
    <w:rsid w:val="00A37547"/>
    <w:rsid w:val="00A40026"/>
    <w:rsid w:val="00A40615"/>
    <w:rsid w:val="00A4166D"/>
    <w:rsid w:val="00A44837"/>
    <w:rsid w:val="00A44A9A"/>
    <w:rsid w:val="00A4659B"/>
    <w:rsid w:val="00A465AC"/>
    <w:rsid w:val="00A46781"/>
    <w:rsid w:val="00A52318"/>
    <w:rsid w:val="00A5321C"/>
    <w:rsid w:val="00A5378F"/>
    <w:rsid w:val="00A53DE2"/>
    <w:rsid w:val="00A54DC8"/>
    <w:rsid w:val="00A54F21"/>
    <w:rsid w:val="00A56413"/>
    <w:rsid w:val="00A5788D"/>
    <w:rsid w:val="00A579DA"/>
    <w:rsid w:val="00A63D35"/>
    <w:rsid w:val="00A65CDC"/>
    <w:rsid w:val="00A66F6A"/>
    <w:rsid w:val="00A676F6"/>
    <w:rsid w:val="00A67D7A"/>
    <w:rsid w:val="00A715BD"/>
    <w:rsid w:val="00A72AC8"/>
    <w:rsid w:val="00A72EAE"/>
    <w:rsid w:val="00A73910"/>
    <w:rsid w:val="00A73D81"/>
    <w:rsid w:val="00A742DA"/>
    <w:rsid w:val="00A75002"/>
    <w:rsid w:val="00A7544D"/>
    <w:rsid w:val="00A755FB"/>
    <w:rsid w:val="00A770B8"/>
    <w:rsid w:val="00A77785"/>
    <w:rsid w:val="00A82E70"/>
    <w:rsid w:val="00A83231"/>
    <w:rsid w:val="00A83B94"/>
    <w:rsid w:val="00A84F81"/>
    <w:rsid w:val="00A86020"/>
    <w:rsid w:val="00A877D0"/>
    <w:rsid w:val="00A87A4F"/>
    <w:rsid w:val="00A90C42"/>
    <w:rsid w:val="00A9165D"/>
    <w:rsid w:val="00A927D0"/>
    <w:rsid w:val="00A94A00"/>
    <w:rsid w:val="00A95B44"/>
    <w:rsid w:val="00A9643D"/>
    <w:rsid w:val="00A9694F"/>
    <w:rsid w:val="00A96E3C"/>
    <w:rsid w:val="00AA0BCE"/>
    <w:rsid w:val="00AA1AB8"/>
    <w:rsid w:val="00AA2B8D"/>
    <w:rsid w:val="00AB4535"/>
    <w:rsid w:val="00AB4602"/>
    <w:rsid w:val="00AB4F33"/>
    <w:rsid w:val="00AB53A7"/>
    <w:rsid w:val="00AB57B7"/>
    <w:rsid w:val="00AB5FD6"/>
    <w:rsid w:val="00AB6A51"/>
    <w:rsid w:val="00AC1D17"/>
    <w:rsid w:val="00AC2854"/>
    <w:rsid w:val="00AC4310"/>
    <w:rsid w:val="00AC4F4E"/>
    <w:rsid w:val="00AC60EA"/>
    <w:rsid w:val="00AD147B"/>
    <w:rsid w:val="00AD1AAF"/>
    <w:rsid w:val="00AD349F"/>
    <w:rsid w:val="00AD459F"/>
    <w:rsid w:val="00AD5C47"/>
    <w:rsid w:val="00AD5D0C"/>
    <w:rsid w:val="00AD63AE"/>
    <w:rsid w:val="00AD6409"/>
    <w:rsid w:val="00AD67C3"/>
    <w:rsid w:val="00AD762E"/>
    <w:rsid w:val="00AD7873"/>
    <w:rsid w:val="00AE01C9"/>
    <w:rsid w:val="00AE136E"/>
    <w:rsid w:val="00AE3A6A"/>
    <w:rsid w:val="00AE4AC8"/>
    <w:rsid w:val="00AE4E2E"/>
    <w:rsid w:val="00AE5171"/>
    <w:rsid w:val="00AE619E"/>
    <w:rsid w:val="00AE649C"/>
    <w:rsid w:val="00AE6DBC"/>
    <w:rsid w:val="00AE7566"/>
    <w:rsid w:val="00AE7B80"/>
    <w:rsid w:val="00AF04FF"/>
    <w:rsid w:val="00AF0A3E"/>
    <w:rsid w:val="00AF10AD"/>
    <w:rsid w:val="00AF2636"/>
    <w:rsid w:val="00AF3CF5"/>
    <w:rsid w:val="00AF3E4C"/>
    <w:rsid w:val="00AF4765"/>
    <w:rsid w:val="00AF61D5"/>
    <w:rsid w:val="00AF68DF"/>
    <w:rsid w:val="00AF6B1D"/>
    <w:rsid w:val="00AF77C3"/>
    <w:rsid w:val="00B02678"/>
    <w:rsid w:val="00B02957"/>
    <w:rsid w:val="00B042BD"/>
    <w:rsid w:val="00B10371"/>
    <w:rsid w:val="00B13C4D"/>
    <w:rsid w:val="00B14971"/>
    <w:rsid w:val="00B153F5"/>
    <w:rsid w:val="00B156DB"/>
    <w:rsid w:val="00B178FF"/>
    <w:rsid w:val="00B20D42"/>
    <w:rsid w:val="00B23394"/>
    <w:rsid w:val="00B23E8E"/>
    <w:rsid w:val="00B243AD"/>
    <w:rsid w:val="00B25118"/>
    <w:rsid w:val="00B30792"/>
    <w:rsid w:val="00B30E9F"/>
    <w:rsid w:val="00B33BC0"/>
    <w:rsid w:val="00B358AD"/>
    <w:rsid w:val="00B35E2C"/>
    <w:rsid w:val="00B36A8C"/>
    <w:rsid w:val="00B40725"/>
    <w:rsid w:val="00B408E9"/>
    <w:rsid w:val="00B413B3"/>
    <w:rsid w:val="00B418BA"/>
    <w:rsid w:val="00B42D08"/>
    <w:rsid w:val="00B42F4B"/>
    <w:rsid w:val="00B44E4A"/>
    <w:rsid w:val="00B4647E"/>
    <w:rsid w:val="00B4681F"/>
    <w:rsid w:val="00B46E77"/>
    <w:rsid w:val="00B46F41"/>
    <w:rsid w:val="00B476C8"/>
    <w:rsid w:val="00B506C5"/>
    <w:rsid w:val="00B52FC4"/>
    <w:rsid w:val="00B54655"/>
    <w:rsid w:val="00B61EED"/>
    <w:rsid w:val="00B62D2E"/>
    <w:rsid w:val="00B655E0"/>
    <w:rsid w:val="00B6639F"/>
    <w:rsid w:val="00B71CDE"/>
    <w:rsid w:val="00B71DCF"/>
    <w:rsid w:val="00B7318E"/>
    <w:rsid w:val="00B75B8B"/>
    <w:rsid w:val="00B76F3C"/>
    <w:rsid w:val="00B81261"/>
    <w:rsid w:val="00B82B4C"/>
    <w:rsid w:val="00B82F46"/>
    <w:rsid w:val="00B84507"/>
    <w:rsid w:val="00B8567E"/>
    <w:rsid w:val="00B8596C"/>
    <w:rsid w:val="00B861BA"/>
    <w:rsid w:val="00B8623B"/>
    <w:rsid w:val="00B869DF"/>
    <w:rsid w:val="00B869FE"/>
    <w:rsid w:val="00B87282"/>
    <w:rsid w:val="00B877F4"/>
    <w:rsid w:val="00B87C3D"/>
    <w:rsid w:val="00B90982"/>
    <w:rsid w:val="00B90AA9"/>
    <w:rsid w:val="00B92423"/>
    <w:rsid w:val="00B9305D"/>
    <w:rsid w:val="00B93496"/>
    <w:rsid w:val="00B94C72"/>
    <w:rsid w:val="00B95EF7"/>
    <w:rsid w:val="00B9606D"/>
    <w:rsid w:val="00BA0004"/>
    <w:rsid w:val="00BA421A"/>
    <w:rsid w:val="00BA42AE"/>
    <w:rsid w:val="00BA486A"/>
    <w:rsid w:val="00BB00B4"/>
    <w:rsid w:val="00BB3238"/>
    <w:rsid w:val="00BB6882"/>
    <w:rsid w:val="00BB6943"/>
    <w:rsid w:val="00BB6CFD"/>
    <w:rsid w:val="00BB6E84"/>
    <w:rsid w:val="00BB7103"/>
    <w:rsid w:val="00BC0178"/>
    <w:rsid w:val="00BC06DE"/>
    <w:rsid w:val="00BC099B"/>
    <w:rsid w:val="00BC104D"/>
    <w:rsid w:val="00BC151A"/>
    <w:rsid w:val="00BC2A1D"/>
    <w:rsid w:val="00BC4B67"/>
    <w:rsid w:val="00BC529C"/>
    <w:rsid w:val="00BC6176"/>
    <w:rsid w:val="00BC62ED"/>
    <w:rsid w:val="00BC75FB"/>
    <w:rsid w:val="00BC7F58"/>
    <w:rsid w:val="00BD065C"/>
    <w:rsid w:val="00BD0D99"/>
    <w:rsid w:val="00BD1E0A"/>
    <w:rsid w:val="00BD2397"/>
    <w:rsid w:val="00BD2896"/>
    <w:rsid w:val="00BD2E47"/>
    <w:rsid w:val="00BD4AE3"/>
    <w:rsid w:val="00BD69CB"/>
    <w:rsid w:val="00BE0630"/>
    <w:rsid w:val="00BE209A"/>
    <w:rsid w:val="00BE4087"/>
    <w:rsid w:val="00BE4590"/>
    <w:rsid w:val="00BE4C68"/>
    <w:rsid w:val="00BE73D0"/>
    <w:rsid w:val="00BE7F83"/>
    <w:rsid w:val="00BF0C99"/>
    <w:rsid w:val="00BF445B"/>
    <w:rsid w:val="00BF5049"/>
    <w:rsid w:val="00BF6F89"/>
    <w:rsid w:val="00C00EBD"/>
    <w:rsid w:val="00C04275"/>
    <w:rsid w:val="00C068D2"/>
    <w:rsid w:val="00C13D15"/>
    <w:rsid w:val="00C13F27"/>
    <w:rsid w:val="00C15814"/>
    <w:rsid w:val="00C170F5"/>
    <w:rsid w:val="00C175C2"/>
    <w:rsid w:val="00C20079"/>
    <w:rsid w:val="00C20E7B"/>
    <w:rsid w:val="00C20FEF"/>
    <w:rsid w:val="00C22284"/>
    <w:rsid w:val="00C23588"/>
    <w:rsid w:val="00C24E5D"/>
    <w:rsid w:val="00C2541A"/>
    <w:rsid w:val="00C277C3"/>
    <w:rsid w:val="00C30B7D"/>
    <w:rsid w:val="00C316F9"/>
    <w:rsid w:val="00C32080"/>
    <w:rsid w:val="00C32EFA"/>
    <w:rsid w:val="00C3573B"/>
    <w:rsid w:val="00C3713F"/>
    <w:rsid w:val="00C40103"/>
    <w:rsid w:val="00C452A8"/>
    <w:rsid w:val="00C4675C"/>
    <w:rsid w:val="00C47090"/>
    <w:rsid w:val="00C47F70"/>
    <w:rsid w:val="00C501FE"/>
    <w:rsid w:val="00C5238E"/>
    <w:rsid w:val="00C53930"/>
    <w:rsid w:val="00C563B7"/>
    <w:rsid w:val="00C57DF5"/>
    <w:rsid w:val="00C6077F"/>
    <w:rsid w:val="00C62738"/>
    <w:rsid w:val="00C63AB8"/>
    <w:rsid w:val="00C63CD2"/>
    <w:rsid w:val="00C65A6C"/>
    <w:rsid w:val="00C66634"/>
    <w:rsid w:val="00C66FB3"/>
    <w:rsid w:val="00C70EB1"/>
    <w:rsid w:val="00C72AF8"/>
    <w:rsid w:val="00C73319"/>
    <w:rsid w:val="00C76287"/>
    <w:rsid w:val="00C81731"/>
    <w:rsid w:val="00C817C4"/>
    <w:rsid w:val="00C8190F"/>
    <w:rsid w:val="00C81B43"/>
    <w:rsid w:val="00C8570D"/>
    <w:rsid w:val="00C85D2B"/>
    <w:rsid w:val="00C85E94"/>
    <w:rsid w:val="00C87C58"/>
    <w:rsid w:val="00C90455"/>
    <w:rsid w:val="00C933C7"/>
    <w:rsid w:val="00C93478"/>
    <w:rsid w:val="00C944C9"/>
    <w:rsid w:val="00C952A3"/>
    <w:rsid w:val="00CA0600"/>
    <w:rsid w:val="00CA1629"/>
    <w:rsid w:val="00CA25A1"/>
    <w:rsid w:val="00CA351B"/>
    <w:rsid w:val="00CA494B"/>
    <w:rsid w:val="00CA4DC9"/>
    <w:rsid w:val="00CA6DBD"/>
    <w:rsid w:val="00CA7A7E"/>
    <w:rsid w:val="00CB0C80"/>
    <w:rsid w:val="00CB0EA4"/>
    <w:rsid w:val="00CB139B"/>
    <w:rsid w:val="00CB3CBF"/>
    <w:rsid w:val="00CB4519"/>
    <w:rsid w:val="00CB5042"/>
    <w:rsid w:val="00CB65BD"/>
    <w:rsid w:val="00CB6B9B"/>
    <w:rsid w:val="00CB6CE6"/>
    <w:rsid w:val="00CC2AF0"/>
    <w:rsid w:val="00CC2C51"/>
    <w:rsid w:val="00CC2EE9"/>
    <w:rsid w:val="00CC36C9"/>
    <w:rsid w:val="00CC4246"/>
    <w:rsid w:val="00CC5286"/>
    <w:rsid w:val="00CC5D24"/>
    <w:rsid w:val="00CC652F"/>
    <w:rsid w:val="00CC6D05"/>
    <w:rsid w:val="00CC771E"/>
    <w:rsid w:val="00CC7ED9"/>
    <w:rsid w:val="00CC7EE6"/>
    <w:rsid w:val="00CD0167"/>
    <w:rsid w:val="00CD0ABA"/>
    <w:rsid w:val="00CD1114"/>
    <w:rsid w:val="00CD2551"/>
    <w:rsid w:val="00CD497D"/>
    <w:rsid w:val="00CD5E4D"/>
    <w:rsid w:val="00CD7D5D"/>
    <w:rsid w:val="00CE399B"/>
    <w:rsid w:val="00CE4AE3"/>
    <w:rsid w:val="00CF17EB"/>
    <w:rsid w:val="00CF2160"/>
    <w:rsid w:val="00CF26DA"/>
    <w:rsid w:val="00CF3650"/>
    <w:rsid w:val="00CF4697"/>
    <w:rsid w:val="00CF48CC"/>
    <w:rsid w:val="00CF5212"/>
    <w:rsid w:val="00D000D0"/>
    <w:rsid w:val="00D007D1"/>
    <w:rsid w:val="00D01082"/>
    <w:rsid w:val="00D0153F"/>
    <w:rsid w:val="00D02146"/>
    <w:rsid w:val="00D024C8"/>
    <w:rsid w:val="00D056B6"/>
    <w:rsid w:val="00D066FA"/>
    <w:rsid w:val="00D07D3C"/>
    <w:rsid w:val="00D103FC"/>
    <w:rsid w:val="00D10EBC"/>
    <w:rsid w:val="00D10FDF"/>
    <w:rsid w:val="00D117FA"/>
    <w:rsid w:val="00D11A05"/>
    <w:rsid w:val="00D131C6"/>
    <w:rsid w:val="00D1323D"/>
    <w:rsid w:val="00D13302"/>
    <w:rsid w:val="00D13D5B"/>
    <w:rsid w:val="00D1763A"/>
    <w:rsid w:val="00D1784E"/>
    <w:rsid w:val="00D20E7F"/>
    <w:rsid w:val="00D23706"/>
    <w:rsid w:val="00D27BF4"/>
    <w:rsid w:val="00D27DB9"/>
    <w:rsid w:val="00D27F53"/>
    <w:rsid w:val="00D3196F"/>
    <w:rsid w:val="00D33A6F"/>
    <w:rsid w:val="00D37306"/>
    <w:rsid w:val="00D37847"/>
    <w:rsid w:val="00D425F3"/>
    <w:rsid w:val="00D42E2F"/>
    <w:rsid w:val="00D43977"/>
    <w:rsid w:val="00D43FB5"/>
    <w:rsid w:val="00D4427E"/>
    <w:rsid w:val="00D44CD6"/>
    <w:rsid w:val="00D45EA7"/>
    <w:rsid w:val="00D46AB5"/>
    <w:rsid w:val="00D46DDA"/>
    <w:rsid w:val="00D50B8C"/>
    <w:rsid w:val="00D50D1C"/>
    <w:rsid w:val="00D527C8"/>
    <w:rsid w:val="00D57CE7"/>
    <w:rsid w:val="00D608D4"/>
    <w:rsid w:val="00D60CBE"/>
    <w:rsid w:val="00D62161"/>
    <w:rsid w:val="00D64A24"/>
    <w:rsid w:val="00D64D99"/>
    <w:rsid w:val="00D65BCE"/>
    <w:rsid w:val="00D72E39"/>
    <w:rsid w:val="00D73058"/>
    <w:rsid w:val="00D73BDF"/>
    <w:rsid w:val="00D741D0"/>
    <w:rsid w:val="00D74232"/>
    <w:rsid w:val="00D74B0F"/>
    <w:rsid w:val="00D81326"/>
    <w:rsid w:val="00D82294"/>
    <w:rsid w:val="00D8264D"/>
    <w:rsid w:val="00D82ACE"/>
    <w:rsid w:val="00D83357"/>
    <w:rsid w:val="00D843ED"/>
    <w:rsid w:val="00D8481B"/>
    <w:rsid w:val="00D865D3"/>
    <w:rsid w:val="00D87770"/>
    <w:rsid w:val="00D910F8"/>
    <w:rsid w:val="00D9178C"/>
    <w:rsid w:val="00D930FC"/>
    <w:rsid w:val="00D94F51"/>
    <w:rsid w:val="00D952E1"/>
    <w:rsid w:val="00D957BB"/>
    <w:rsid w:val="00D96B09"/>
    <w:rsid w:val="00D97D5C"/>
    <w:rsid w:val="00DA0242"/>
    <w:rsid w:val="00DA0506"/>
    <w:rsid w:val="00DA0D46"/>
    <w:rsid w:val="00DA499C"/>
    <w:rsid w:val="00DA4DD3"/>
    <w:rsid w:val="00DA6D4E"/>
    <w:rsid w:val="00DB00F3"/>
    <w:rsid w:val="00DB11DF"/>
    <w:rsid w:val="00DB1315"/>
    <w:rsid w:val="00DB5485"/>
    <w:rsid w:val="00DB7E57"/>
    <w:rsid w:val="00DC0709"/>
    <w:rsid w:val="00DC208D"/>
    <w:rsid w:val="00DC2BC4"/>
    <w:rsid w:val="00DC438A"/>
    <w:rsid w:val="00DC45D5"/>
    <w:rsid w:val="00DC6165"/>
    <w:rsid w:val="00DC69AC"/>
    <w:rsid w:val="00DC69CD"/>
    <w:rsid w:val="00DC7F6A"/>
    <w:rsid w:val="00DD0B77"/>
    <w:rsid w:val="00DD1E86"/>
    <w:rsid w:val="00DD2604"/>
    <w:rsid w:val="00DD3702"/>
    <w:rsid w:val="00DD4133"/>
    <w:rsid w:val="00DD4EE2"/>
    <w:rsid w:val="00DD6303"/>
    <w:rsid w:val="00DD6DAD"/>
    <w:rsid w:val="00DE19A4"/>
    <w:rsid w:val="00DE2026"/>
    <w:rsid w:val="00DE353A"/>
    <w:rsid w:val="00DE427F"/>
    <w:rsid w:val="00DE58E5"/>
    <w:rsid w:val="00DE7C5B"/>
    <w:rsid w:val="00DF16A9"/>
    <w:rsid w:val="00DF2A24"/>
    <w:rsid w:val="00DF34D6"/>
    <w:rsid w:val="00DF35EC"/>
    <w:rsid w:val="00DF637F"/>
    <w:rsid w:val="00DF6891"/>
    <w:rsid w:val="00DF6F7A"/>
    <w:rsid w:val="00E0087B"/>
    <w:rsid w:val="00E02847"/>
    <w:rsid w:val="00E04F96"/>
    <w:rsid w:val="00E07F5C"/>
    <w:rsid w:val="00E10B53"/>
    <w:rsid w:val="00E12DED"/>
    <w:rsid w:val="00E1385D"/>
    <w:rsid w:val="00E14449"/>
    <w:rsid w:val="00E1445D"/>
    <w:rsid w:val="00E15EFB"/>
    <w:rsid w:val="00E163DD"/>
    <w:rsid w:val="00E20F1B"/>
    <w:rsid w:val="00E21417"/>
    <w:rsid w:val="00E23471"/>
    <w:rsid w:val="00E24F41"/>
    <w:rsid w:val="00E25846"/>
    <w:rsid w:val="00E302E0"/>
    <w:rsid w:val="00E377C2"/>
    <w:rsid w:val="00E41C9B"/>
    <w:rsid w:val="00E42681"/>
    <w:rsid w:val="00E42DA3"/>
    <w:rsid w:val="00E43DE0"/>
    <w:rsid w:val="00E46E66"/>
    <w:rsid w:val="00E50F32"/>
    <w:rsid w:val="00E52301"/>
    <w:rsid w:val="00E52676"/>
    <w:rsid w:val="00E53B4A"/>
    <w:rsid w:val="00E541AE"/>
    <w:rsid w:val="00E566B8"/>
    <w:rsid w:val="00E56AA5"/>
    <w:rsid w:val="00E56EE7"/>
    <w:rsid w:val="00E60B19"/>
    <w:rsid w:val="00E60FA7"/>
    <w:rsid w:val="00E617B3"/>
    <w:rsid w:val="00E6285D"/>
    <w:rsid w:val="00E63536"/>
    <w:rsid w:val="00E64B7F"/>
    <w:rsid w:val="00E65065"/>
    <w:rsid w:val="00E67D40"/>
    <w:rsid w:val="00E70568"/>
    <w:rsid w:val="00E7254F"/>
    <w:rsid w:val="00E73284"/>
    <w:rsid w:val="00E738CA"/>
    <w:rsid w:val="00E748DA"/>
    <w:rsid w:val="00E76256"/>
    <w:rsid w:val="00E76F62"/>
    <w:rsid w:val="00E772C3"/>
    <w:rsid w:val="00E77A15"/>
    <w:rsid w:val="00E812AE"/>
    <w:rsid w:val="00E8221B"/>
    <w:rsid w:val="00E82A8F"/>
    <w:rsid w:val="00E82B59"/>
    <w:rsid w:val="00E83902"/>
    <w:rsid w:val="00E84101"/>
    <w:rsid w:val="00E84FC1"/>
    <w:rsid w:val="00E85769"/>
    <w:rsid w:val="00E87481"/>
    <w:rsid w:val="00E876C2"/>
    <w:rsid w:val="00E919A4"/>
    <w:rsid w:val="00E94032"/>
    <w:rsid w:val="00E96434"/>
    <w:rsid w:val="00EA1715"/>
    <w:rsid w:val="00EA1A65"/>
    <w:rsid w:val="00EA1C6D"/>
    <w:rsid w:val="00EA2F47"/>
    <w:rsid w:val="00EA4EAC"/>
    <w:rsid w:val="00EA620A"/>
    <w:rsid w:val="00EB0D4C"/>
    <w:rsid w:val="00EB0FEE"/>
    <w:rsid w:val="00EB1284"/>
    <w:rsid w:val="00EB1F9D"/>
    <w:rsid w:val="00EB39DC"/>
    <w:rsid w:val="00EB421F"/>
    <w:rsid w:val="00EB53F6"/>
    <w:rsid w:val="00EB5CB3"/>
    <w:rsid w:val="00EB7CD8"/>
    <w:rsid w:val="00EC008A"/>
    <w:rsid w:val="00EC1474"/>
    <w:rsid w:val="00EC2BC0"/>
    <w:rsid w:val="00EC351C"/>
    <w:rsid w:val="00EC4577"/>
    <w:rsid w:val="00EC59F6"/>
    <w:rsid w:val="00EC6029"/>
    <w:rsid w:val="00EC6799"/>
    <w:rsid w:val="00ED00B7"/>
    <w:rsid w:val="00ED0238"/>
    <w:rsid w:val="00ED09C0"/>
    <w:rsid w:val="00ED11D0"/>
    <w:rsid w:val="00ED24E2"/>
    <w:rsid w:val="00ED2729"/>
    <w:rsid w:val="00ED2E43"/>
    <w:rsid w:val="00ED51EE"/>
    <w:rsid w:val="00ED5FBA"/>
    <w:rsid w:val="00ED64F8"/>
    <w:rsid w:val="00EE3319"/>
    <w:rsid w:val="00EE358B"/>
    <w:rsid w:val="00EE4103"/>
    <w:rsid w:val="00EE4FBC"/>
    <w:rsid w:val="00EE5B65"/>
    <w:rsid w:val="00EE67EB"/>
    <w:rsid w:val="00EE7D29"/>
    <w:rsid w:val="00EF0551"/>
    <w:rsid w:val="00EF1004"/>
    <w:rsid w:val="00EF1AF4"/>
    <w:rsid w:val="00EF27D3"/>
    <w:rsid w:val="00EF4101"/>
    <w:rsid w:val="00EF4585"/>
    <w:rsid w:val="00EF513A"/>
    <w:rsid w:val="00F00355"/>
    <w:rsid w:val="00F0189F"/>
    <w:rsid w:val="00F037B6"/>
    <w:rsid w:val="00F04251"/>
    <w:rsid w:val="00F054A5"/>
    <w:rsid w:val="00F05C11"/>
    <w:rsid w:val="00F05FAC"/>
    <w:rsid w:val="00F06523"/>
    <w:rsid w:val="00F066F1"/>
    <w:rsid w:val="00F10562"/>
    <w:rsid w:val="00F11825"/>
    <w:rsid w:val="00F11BE8"/>
    <w:rsid w:val="00F132E7"/>
    <w:rsid w:val="00F1426A"/>
    <w:rsid w:val="00F150F6"/>
    <w:rsid w:val="00F1615C"/>
    <w:rsid w:val="00F16E66"/>
    <w:rsid w:val="00F200B2"/>
    <w:rsid w:val="00F20699"/>
    <w:rsid w:val="00F20ACF"/>
    <w:rsid w:val="00F210D6"/>
    <w:rsid w:val="00F21F60"/>
    <w:rsid w:val="00F2471D"/>
    <w:rsid w:val="00F277A4"/>
    <w:rsid w:val="00F326D9"/>
    <w:rsid w:val="00F333D8"/>
    <w:rsid w:val="00F35297"/>
    <w:rsid w:val="00F35543"/>
    <w:rsid w:val="00F36E6F"/>
    <w:rsid w:val="00F37221"/>
    <w:rsid w:val="00F37489"/>
    <w:rsid w:val="00F376E6"/>
    <w:rsid w:val="00F378E4"/>
    <w:rsid w:val="00F4054C"/>
    <w:rsid w:val="00F411F3"/>
    <w:rsid w:val="00F423F5"/>
    <w:rsid w:val="00F46CE2"/>
    <w:rsid w:val="00F46D9C"/>
    <w:rsid w:val="00F51B70"/>
    <w:rsid w:val="00F534D3"/>
    <w:rsid w:val="00F6038A"/>
    <w:rsid w:val="00F614ED"/>
    <w:rsid w:val="00F6292E"/>
    <w:rsid w:val="00F643F0"/>
    <w:rsid w:val="00F6628B"/>
    <w:rsid w:val="00F66E50"/>
    <w:rsid w:val="00F673B5"/>
    <w:rsid w:val="00F6743D"/>
    <w:rsid w:val="00F70878"/>
    <w:rsid w:val="00F7436B"/>
    <w:rsid w:val="00F76470"/>
    <w:rsid w:val="00F800BB"/>
    <w:rsid w:val="00F81FFF"/>
    <w:rsid w:val="00F823DC"/>
    <w:rsid w:val="00F84E6D"/>
    <w:rsid w:val="00F85180"/>
    <w:rsid w:val="00F865FB"/>
    <w:rsid w:val="00F90422"/>
    <w:rsid w:val="00F944F1"/>
    <w:rsid w:val="00FA0671"/>
    <w:rsid w:val="00FA2826"/>
    <w:rsid w:val="00FA3515"/>
    <w:rsid w:val="00FA523A"/>
    <w:rsid w:val="00FA5B5E"/>
    <w:rsid w:val="00FA6041"/>
    <w:rsid w:val="00FA72D0"/>
    <w:rsid w:val="00FA7599"/>
    <w:rsid w:val="00FB04B7"/>
    <w:rsid w:val="00FB0E3B"/>
    <w:rsid w:val="00FB22EA"/>
    <w:rsid w:val="00FB2C81"/>
    <w:rsid w:val="00FB3483"/>
    <w:rsid w:val="00FB4857"/>
    <w:rsid w:val="00FB4A9D"/>
    <w:rsid w:val="00FC0ED1"/>
    <w:rsid w:val="00FC14DA"/>
    <w:rsid w:val="00FC1B51"/>
    <w:rsid w:val="00FC2675"/>
    <w:rsid w:val="00FC3678"/>
    <w:rsid w:val="00FC69F1"/>
    <w:rsid w:val="00FD019B"/>
    <w:rsid w:val="00FD1A6C"/>
    <w:rsid w:val="00FD26E1"/>
    <w:rsid w:val="00FD36B9"/>
    <w:rsid w:val="00FD43B3"/>
    <w:rsid w:val="00FD55D1"/>
    <w:rsid w:val="00FD5D25"/>
    <w:rsid w:val="00FD625F"/>
    <w:rsid w:val="00FD68ED"/>
    <w:rsid w:val="00FD7101"/>
    <w:rsid w:val="00FD7642"/>
    <w:rsid w:val="00FD7F50"/>
    <w:rsid w:val="00FE0396"/>
    <w:rsid w:val="00FE0563"/>
    <w:rsid w:val="00FE2C97"/>
    <w:rsid w:val="00FE3A62"/>
    <w:rsid w:val="00FE3E6C"/>
    <w:rsid w:val="00FE7697"/>
    <w:rsid w:val="00FF001F"/>
    <w:rsid w:val="00FF18B1"/>
    <w:rsid w:val="00FF5AFC"/>
    <w:rsid w:val="00FF6600"/>
    <w:rsid w:val="00FF6D96"/>
    <w:rsid w:val="00FF7E1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eastAsia="zh-CN"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en-US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0" w:name="heading 1"/>
    <w:lsdException w:qFormat="true" w:uiPriority="0" w:name="heading 2"/>
    <w:lsdException w:qFormat="true" w:uiPriority="0" w:name="heading 3"/>
    <w:lsdException w:qFormat="true" w:uiPriority="9" w:name="heading 4"/>
    <w:lsdException w:qFormat="true" w:uiPriority="0" w:name="heading 5"/>
    <w:lsdException w:qFormat="true" w:uiPriority="0" w:name="heading 6"/>
    <w:lsdException w:qFormat="true" w:uiPriority="0" w:name="heading 7"/>
    <w:lsdException w:qFormat="true" w:uiPriority="0" w:name="heading 8"/>
    <w:lsdException w:qFormat="true" w:uiPriority="0" w:name="heading 9"/>
    <w:lsdException w:uiPriority="39" w:name="toc 1"/>
    <w:lsdException w:uiPriority="39" w:name="toc 2"/>
    <w:lsdException w:uiPriority="39" w:name="toc 3"/>
    <w:lsdException w:qFormat="true" w:name="caption"/>
    <w:lsdException w:uiPriority="0" w:name="footnote reference"/>
    <w:lsdException w:qFormat="true" w:name="List"/>
    <w:lsdException w:qFormat="true" w:uiPriority="0" w:name="List Bullet"/>
    <w:lsdException w:qFormat="true" w:uiPriority="0" w:name="List Number"/>
    <w:lsdException w:qFormat="true" w:name="List Bullet 2"/>
    <w:lsdException w:uiPriority="0" w:name="List Bullet 3"/>
    <w:lsdException w:uiPriority="0" w:name="List Bullet 4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true" w:unhideWhenUsed="false" w:semiHidden="false" w:uiPriority="10" w:name="Title"/>
    <w:lsdException w:uiPriority="1" w:name="Default Paragraph Font"/>
    <w:lsdException w:qFormat="true" w:name="List Continue"/>
    <w:lsdException w:qFormat="true" w:uiPriority="0" w:name="List Continue 2"/>
    <w:lsdException w:uiPriority="0" w:name="List Continue 3"/>
    <w:lsdException w:uiPriority="0" w:name="List Continue 4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iPriority="0" w:name="HTML Top of Form"/>
    <w:lsdException w:uiPriority="0" w:name="HTML Bottom of Form"/>
    <w:lsdException w:unhideWhenUsed="false" w:semiHidden="false" w:uiPriority="59" w:name="Table Grid"/>
    <w:lsdException w:qFormat="true" w:uiPriority="0" w:name="No Spacing"/>
    <w:lsdException w:unhideWhenUsed="false" w:semiHidden="false" w:name="Light Shading"/>
    <w:lsdException w:unhideWhenUsed="false" w:semiHidden="false" w:name="Light List"/>
    <w:lsdException w:unhideWhenUsed="false" w:semiHidden="false" w:name="Light Grid"/>
    <w:lsdException w:unhideWhenUsed="false" w:semiHidden="false" w:name="Medium Shading 1"/>
    <w:lsdException w:unhideWhenUsed="false" w:semiHidden="false" w:name="Medium Shading 2"/>
    <w:lsdException w:unhideWhenUsed="false" w:semiHidden="false" w:name="Medium List 1"/>
    <w:lsdException w:unhideWhenUsed="false" w:semiHidden="false" w:name="Medium List 2"/>
    <w:lsdException w:unhideWhenUsed="false" w:semiHidden="false" w:name="Medium Grid 1"/>
    <w:lsdException w:unhideWhenUsed="false" w:semiHidden="false" w:name="Medium Grid 2"/>
    <w:lsdException w:unhideWhenUsed="false" w:semiHidden="false" w:name="Medium Grid 3"/>
    <w:lsdException w:unhideWhenUsed="false" w:semiHidden="false" w:name="Dark List"/>
    <w:lsdException w:unhideWhenUsed="false" w:semiHidden="false" w:name="Colorful Shading"/>
    <w:lsdException w:unhideWhenUsed="false" w:semiHidden="false" w:name="Colorful List"/>
    <w:lsdException w:unhideWhenUsed="false" w:semiHidden="false" w:name="Colorful Grid"/>
    <w:lsdException w:unhideWhenUsed="false" w:semiHidden="false" w:name="Light Shading Accent 1"/>
    <w:lsdException w:unhideWhenUsed="false" w:semiHidden="false" w:name="Light List Accent 1"/>
    <w:lsdException w:unhideWhenUsed="false" w:semiHidden="false" w:name="Light Grid Accent 1"/>
    <w:lsdException w:unhideWhenUsed="false" w:semiHidden="false" w:name="Medium Shading 1 Accent 1"/>
    <w:lsdException w:unhideWhenUsed="false" w:semiHidden="false" w:name="Medium Shading 2 Accent 1"/>
    <w:lsdException w:unhideWhenUsed="false" w:semiHidden="false" w:name="Medium List 1 Accent 1"/>
    <w:lsdException w:unhideWhenUsed="false" w:name="Revision"/>
    <w:lsdException w:qFormat="true" w:unhideWhenUsed="false" w:semiHidden="false" w:uiPriority="34" w:name="List Paragraph"/>
    <w:lsdException w:unhideWhenUsed="false" w:semiHidden="false" w:uiPriority="29" w:name="Quote"/>
    <w:lsdException w:unhideWhenUsed="false" w:semiHidden="false" w:uiPriority="30" w:name="Intense Quote"/>
    <w:lsdException w:unhideWhenUsed="false" w:semiHidden="false" w:name="Medium List 2 Accent 1"/>
    <w:lsdException w:unhideWhenUsed="false" w:semiHidden="false" w:name="Medium Grid 1 Accent 1"/>
    <w:lsdException w:unhideWhenUsed="false" w:semiHidden="false" w:name="Medium Grid 2 Accent 1"/>
    <w:lsdException w:unhideWhenUsed="false" w:semiHidden="false" w:name="Medium Grid 3 Accent 1"/>
    <w:lsdException w:unhideWhenUsed="false" w:semiHidden="false" w:name="Dark List Accent 1"/>
    <w:lsdException w:unhideWhenUsed="false" w:semiHidden="false" w:name="Colorful Shading Accent 1"/>
    <w:lsdException w:unhideWhenUsed="false" w:semiHidden="false" w:name="Colorful List Accent 1"/>
    <w:lsdException w:unhideWhenUsed="false" w:semiHidden="false" w:name="Colorful Grid Accent 1"/>
    <w:lsdException w:unhideWhenUsed="false" w:semiHidden="false" w:name="Light Shading Accent 2"/>
    <w:lsdException w:unhideWhenUsed="false" w:semiHidden="false" w:name="Light List Accent 2"/>
    <w:lsdException w:unhideWhenUsed="false" w:semiHidden="false" w:name="Light Grid Accent 2"/>
    <w:lsdException w:unhideWhenUsed="false" w:semiHidden="false" w:name="Medium Shading 1 Accent 2"/>
    <w:lsdException w:unhideWhenUsed="false" w:semiHidden="false" w:name="Medium Shading 2 Accent 2"/>
    <w:lsdException w:unhideWhenUsed="false" w:semiHidden="false" w:name="Medium List 1 Accent 2"/>
    <w:lsdException w:unhideWhenUsed="false" w:semiHidden="false" w:name="Medium List 2 Accent 2"/>
    <w:lsdException w:unhideWhenUsed="false" w:semiHidden="false" w:name="Medium Grid 1 Accent 2"/>
    <w:lsdException w:unhideWhenUsed="false" w:semiHidden="false" w:name="Medium Grid 2 Accent 2"/>
    <w:lsdException w:unhideWhenUsed="false" w:semiHidden="false" w:name="Medium Grid 3 Accent 2"/>
    <w:lsdException w:unhideWhenUsed="false" w:semiHidden="false" w:name="Dark List Accent 2"/>
    <w:lsdException w:unhideWhenUsed="false" w:semiHidden="false" w:name="Colorful Shading Accent 2"/>
    <w:lsdException w:unhideWhenUsed="false" w:semiHidden="false" w:name="Colorful List Accent 2"/>
    <w:lsdException w:unhideWhenUsed="false" w:semiHidden="false" w:name="Colorful Grid Accent 2"/>
    <w:lsdException w:unhideWhenUsed="false" w:semiHidden="false" w:name="Light Shading Accent 3"/>
    <w:lsdException w:unhideWhenUsed="false" w:semiHidden="false" w:name="Light List Accent 3"/>
    <w:lsdException w:unhideWhenUsed="false" w:semiHidden="false" w:name="Light Grid Accent 3"/>
    <w:lsdException w:unhideWhenUsed="false" w:semiHidden="false" w:name="Medium Shading 1 Accent 3"/>
    <w:lsdException w:unhideWhenUsed="false" w:semiHidden="false" w:name="Medium Shading 2 Accent 3"/>
    <w:lsdException w:unhideWhenUsed="false" w:semiHidden="false" w:name="Medium List 1 Accent 3"/>
    <w:lsdException w:unhideWhenUsed="false" w:semiHidden="false" w:name="Medium List 2 Accent 3"/>
    <w:lsdException w:unhideWhenUsed="false" w:semiHidden="false" w:name="Medium Grid 1 Accent 3"/>
    <w:lsdException w:unhideWhenUsed="false" w:semiHidden="false" w:name="Medium Grid 2 Accent 3"/>
    <w:lsdException w:unhideWhenUsed="false" w:semiHidden="false" w:name="Medium Grid 3 Accent 3"/>
    <w:lsdException w:unhideWhenUsed="false" w:semiHidden="false" w:name="Dark List Accent 3"/>
    <w:lsdException w:unhideWhenUsed="false" w:semiHidden="false" w:name="Colorful Shading Accent 3"/>
    <w:lsdException w:unhideWhenUsed="false" w:semiHidden="false" w:name="Colorful List Accent 3"/>
    <w:lsdException w:unhideWhenUsed="false" w:semiHidden="false" w:name="Colorful Grid Accent 3"/>
    <w:lsdException w:unhideWhenUsed="false" w:semiHidden="false" w:name="Light Shading Accent 4"/>
    <w:lsdException w:unhideWhenUsed="false" w:semiHidden="false" w:name="Light List Accent 4"/>
    <w:lsdException w:unhideWhenUsed="false" w:semiHidden="false" w:name="Light Grid Accent 4"/>
    <w:lsdException w:unhideWhenUsed="false" w:semiHidden="false" w:name="Medium Shading 1 Accent 4"/>
    <w:lsdException w:unhideWhenUsed="false" w:semiHidden="false" w:name="Medium Shading 2 Accent 4"/>
    <w:lsdException w:unhideWhenUsed="false" w:semiHidden="false" w:name="Medium List 1 Accent 4"/>
    <w:lsdException w:unhideWhenUsed="false" w:semiHidden="false" w:name="Medium List 2 Accent 4"/>
    <w:lsdException w:unhideWhenUsed="false" w:semiHidden="false" w:name="Medium Grid 1 Accent 4"/>
    <w:lsdException w:unhideWhenUsed="false" w:semiHidden="false" w:name="Medium Grid 2 Accent 4"/>
    <w:lsdException w:unhideWhenUsed="false" w:semiHidden="false" w:name="Medium Grid 3 Accent 4"/>
    <w:lsdException w:unhideWhenUsed="false" w:semiHidden="false" w:name="Dark List Accent 4"/>
    <w:lsdException w:unhideWhenUsed="false" w:semiHidden="false" w:name="Colorful Shading Accent 4"/>
    <w:lsdException w:unhideWhenUsed="false" w:semiHidden="false" w:name="Colorful List Accent 4"/>
    <w:lsdException w:unhideWhenUsed="false" w:semiHidden="false" w:name="Colorful Grid Accent 4"/>
    <w:lsdException w:unhideWhenUsed="false" w:semiHidden="false" w:name="Light Shading Accent 5"/>
    <w:lsdException w:unhideWhenUsed="false" w:semiHidden="false" w:name="Light List Accent 5"/>
    <w:lsdException w:unhideWhenUsed="false" w:semiHidden="false" w:name="Light Grid Accent 5"/>
    <w:lsdException w:unhideWhenUsed="false" w:semiHidden="false" w:name="Medium Shading 1 Accent 5"/>
    <w:lsdException w:unhideWhenUsed="false" w:semiHidden="false" w:name="Medium Shading 2 Accent 5"/>
    <w:lsdException w:unhideWhenUsed="false" w:semiHidden="false" w:name="Medium List 1 Accent 5"/>
    <w:lsdException w:unhideWhenUsed="false" w:semiHidden="false" w:name="Medium List 2 Accent 5"/>
    <w:lsdException w:unhideWhenUsed="false" w:semiHidden="false" w:name="Medium Grid 1 Accent 5"/>
    <w:lsdException w:unhideWhenUsed="false" w:semiHidden="false" w:name="Medium Grid 2 Accent 5"/>
    <w:lsdException w:unhideWhenUsed="false" w:semiHidden="false" w:name="Medium Grid 3 Accent 5"/>
    <w:lsdException w:unhideWhenUsed="false" w:semiHidden="false" w:name="Dark List Accent 5"/>
    <w:lsdException w:unhideWhenUsed="false" w:semiHidden="false" w:name="Colorful Shading Accent 5"/>
    <w:lsdException w:unhideWhenUsed="false" w:semiHidden="false" w:name="Colorful List Accent 5"/>
    <w:lsdException w:unhideWhenUsed="false" w:semiHidden="false" w:name="Colorful Grid Accent 5"/>
    <w:lsdException w:unhideWhenUsed="false" w:semiHidden="false" w:name="Light Shading Accent 6"/>
    <w:lsdException w:unhideWhenUsed="false" w:semiHidden="false" w:name="Light List Accent 6"/>
    <w:lsdException w:unhideWhenUsed="false" w:semiHidden="false" w:name="Light Grid Accent 6"/>
    <w:lsdException w:unhideWhenUsed="false" w:semiHidden="false" w:name="Medium Shading 1 Accent 6"/>
    <w:lsdException w:unhideWhenUsed="false" w:semiHidden="false" w:name="Medium Shading 2 Accent 6"/>
    <w:lsdException w:unhideWhenUsed="false" w:semiHidden="false" w:name="Medium List 1 Accent 6"/>
    <w:lsdException w:unhideWhenUsed="false" w:semiHidden="false" w:name="Medium List 2 Accent 6"/>
    <w:lsdException w:unhideWhenUsed="false" w:semiHidden="false" w:name="Medium Grid 1 Accent 6"/>
    <w:lsdException w:unhideWhenUsed="false" w:semiHidden="false" w:name="Medium Grid 2 Accent 6"/>
    <w:lsdException w:unhideWhenUsed="false" w:semiHidden="false" w:name="Medium Grid 3 Accent 6"/>
    <w:lsdException w:unhideWhenUsed="false" w:semiHidden="false" w:name="Dark List Accent 6"/>
    <w:lsdException w:unhideWhenUsed="false" w:semiHidden="false" w:name="Colorful Shading Accent 6"/>
    <w:lsdException w:unhideWhenUsed="false" w:semiHidden="false" w:name="Colorful List Accent 6"/>
    <w:lsdException w:unhideWhenUsed="false" w:semiHidden="false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unhideWhenUsed="false" w:semiHidden="false" w:name="Subtle Reference"/>
    <w:lsdException w:unhideWhenUsed="false" w:semiHidden="false" w:name="Intense Reference"/>
    <w:lsdException w:unhideWhenUsed="false" w:semiHidden="false" w:name="Book Title"/>
    <w:lsdException w:qFormat="true" w:uiPriority="39" w:name="TOC Heading"/>
  </w:latentStyles>
  <w:style w:default="true" w:styleId="Normal" w:type="paragraph">
    <w:name w:val="Normal"/>
    <w:qFormat/>
    <w:rsid w:val="0007483D"/>
    <w:pPr>
      <w:spacing w:lineRule="auto" w:line="240" w:after="240"/>
    </w:pPr>
    <w:rPr>
      <w:rFonts w:hAnsi="Times New Roman" w:asci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nhideWhenUsed/>
    <w:qFormat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nhideWhenUsed/>
    <w:qFormat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nhideWhenUsed/>
    <w:qFormat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qFormat/>
    <w:rsid w:val="004F27AE"/>
    <w:pPr>
      <w:keepNext/>
      <w:keepLines/>
      <w:spacing w:before="200"/>
      <w:ind w:hanging="144" w:left="864"/>
      <w:outlineLvl w:val="3"/>
    </w:pPr>
    <w:rPr>
      <w:rFonts w:cstheme="majorBidi" w:eastAsiaTheme="majorEastAsia" w:hAnsiTheme="majorHAnsi" w:asci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qFormat/>
    <w:rsid w:val="00EB0D4C"/>
    <w:pPr>
      <w:spacing w:after="0" w:before="120"/>
      <w:ind w:hanging="432" w:left="1008"/>
      <w:outlineLvl w:val="4"/>
    </w:pPr>
    <w:rPr>
      <w:rFonts w:eastAsia="Times New Roman" w:hAnsi="Arial" w:asci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eastAsia="Times New Roman" w:hAnsi="Arial" w:asci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eastAsia="Times New Roman" w:hAnsi="Arial" w:asci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eastAsia="Times New Roman" w:hAnsi="Arial" w:asci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eastAsia="Times New Roman" w:hAnsi="Arial" w:ascii="Arial"/>
      <w:i/>
      <w:noProof/>
      <w:kern w:val="18"/>
      <w:sz w:val="18"/>
      <w:lang w:eastAsia="hr-HR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customStyle="true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true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true" w:styleId="Naslov1Char" w:type="character">
    <w:name w:val="Naslov 1 Char"/>
    <w:basedOn w:val="Zadanifontodlomka"/>
    <w:link w:val="Naslov1"/>
    <w:rsid w:val="004F27AE"/>
    <w:rPr>
      <w:rFonts w:cstheme="majorBidi" w:eastAsiaTheme="majorEastAsia" w:hAnsi="Times New Roman" w:ascii="Times New Roman"/>
      <w:b/>
      <w:bCs/>
      <w:sz w:val="28"/>
      <w:szCs w:val="28"/>
      <w:lang w:val="hr-HR"/>
    </w:rPr>
  </w:style>
  <w:style w:customStyle="true" w:styleId="Naslov2Char" w:type="character">
    <w:name w:val="Naslov 2 Char"/>
    <w:basedOn w:val="Zadanifontodlomka"/>
    <w:link w:val="Naslov2"/>
    <w:rsid w:val="004F27AE"/>
    <w:rPr>
      <w:rFonts w:hAnsi="Times New Roman" w:ascii="Times New Roman"/>
      <w:b/>
      <w:sz w:val="28"/>
      <w:szCs w:val="20"/>
      <w:lang w:val="hr-HR"/>
    </w:rPr>
  </w:style>
  <w:style w:customStyle="true" w:styleId="Naslov3Char" w:type="character">
    <w:name w:val="Naslov 3 Char"/>
    <w:basedOn w:val="Zadanifontodlomka"/>
    <w:link w:val="Naslov3"/>
    <w:rsid w:val="004F27AE"/>
    <w:rPr>
      <w:rFonts w:cstheme="majorBidi" w:eastAsiaTheme="majorEastAsia" w:hAnsi="Times New Roman" w:ascii="Times New Roman"/>
      <w:b/>
      <w:bCs/>
      <w:sz w:val="24"/>
      <w:szCs w:val="24"/>
      <w:lang w:val="hr-HR"/>
    </w:rPr>
  </w:style>
  <w:style w:customStyle="true" w:styleId="Naslov4Char" w:type="character">
    <w:name w:val="Naslov 4 Char"/>
    <w:basedOn w:val="Zadanifontodlomka"/>
    <w:link w:val="Naslov4"/>
    <w:uiPriority w:val="9"/>
    <w:rsid w:val="004F27AE"/>
    <w:rPr>
      <w:rFonts w:cstheme="majorBidi" w:eastAsiaTheme="majorEastAsia" w:hAnsiTheme="majorHAnsi" w:asci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rsid w:val="00551CB3"/>
    <w:rPr>
      <w:rFonts w:cs="Tahoma" w:hAnsi="Tahoma" w:ascii="Tahoma"/>
      <w:sz w:val="16"/>
      <w:szCs w:val="16"/>
      <w:lang w:val="hr-HR"/>
    </w:rPr>
  </w:style>
  <w:style w:customStyle="true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true" w:styleId="Tijeloteksta3Char" w:type="character">
    <w:name w:val="Tijelo teksta 3 Char"/>
    <w:basedOn w:val="Zadanifontodlomka"/>
    <w:link w:val="Tijeloteksta3"/>
    <w:uiPriority w:val="99"/>
    <w:rsid w:val="00551CB3"/>
    <w:rPr>
      <w:rFonts w:hAnsi="Times New Roman" w:ascii="Times New Roman"/>
      <w:sz w:val="16"/>
      <w:szCs w:val="16"/>
      <w:lang w:val="hr-HR"/>
    </w:rPr>
  </w:style>
  <w:style w:customStyle="true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true" w:styleId="DatumPisanjaChar" w:type="character">
    <w:name w:val="DatumPisanja Char"/>
    <w:basedOn w:val="Zadanifontodlomka"/>
    <w:link w:val="DatumPisanja"/>
    <w:rsid w:val="00EB0D4C"/>
    <w:rPr>
      <w:rFonts w:hAnsi="Times New Roman" w:ascii="Times New Roman"/>
      <w:sz w:val="24"/>
      <w:szCs w:val="24"/>
      <w:lang w:val="hr-HR"/>
    </w:rPr>
  </w:style>
  <w:style w:customStyle="true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true" w:styleId="DostavitiChar" w:type="character">
    <w:name w:val="Dostaviti Char"/>
    <w:basedOn w:val="Zadanifontodlomka"/>
    <w:link w:val="Dostaviti"/>
    <w:rsid w:val="00EB0D4C"/>
    <w:rPr>
      <w:rFonts w:hAnsi="Times New Roman" w:asci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Rule="exact" w:yAlign="bottom" w:xAlign="center" w:hAnchor="page" w:wrap="auto" w:hSpace="180" w:h="1980" w:w="7920"/>
      <w:ind w:left="2880"/>
    </w:pPr>
    <w:rPr>
      <w:rFonts w:cstheme="majorBidi" w:eastAsiaTheme="majorEastAsia" w:hAnsiTheme="majorHAnsi" w:asciiTheme="majorHAnsi"/>
    </w:rPr>
  </w:style>
  <w:style w:customStyle="true" w:styleId="eSPISCCParagraphDefaultFont" w:type="character">
    <w:name w:val="eSPIS_CC_Paragraph Default Font"/>
    <w:basedOn w:val="NormaleSPISChar"/>
    <w:rsid w:val="00EB0D4C"/>
    <w:rPr>
      <w:rFonts w:cs="Times New Roman" w:eastAsia="Times New Roman" w:hAnsi="Times New Roman" w:ascii="Times New Roman"/>
      <w:noProof/>
      <w:color w:val="auto"/>
      <w:sz w:val="24"/>
      <w:szCs w:val="24"/>
      <w:bdr w:space="0" w:sz="0" w:color="auto" w:val="none"/>
      <w:shd w:fill="auto" w:color="auto" w:val="clear"/>
      <w:lang w:eastAsia="hr-HR" w:val="hr-HR"/>
    </w:rPr>
  </w:style>
  <w:style w:customStyle="true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true" w:styleId="PodnojeChar" w:type="character">
    <w:name w:val="Podnožje Char"/>
    <w:basedOn w:val="Zadanifontodlomka"/>
    <w:link w:val="Podno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GrafListkrui" w:type="numbering">
    <w:name w:val="GrafList_kružić"/>
    <w:uiPriority w:val="99"/>
    <w:rsid w:val="00551CB3"/>
    <w:pPr>
      <w:numPr>
        <w:numId w:val="5"/>
      </w:numPr>
    </w:pPr>
  </w:style>
  <w:style w:customStyle="true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true" w:styleId="GrafListkruiQSChar" w:type="character">
    <w:name w:val="GrafList_kružić_QS Char"/>
    <w:basedOn w:val="Zadanifontodlomka"/>
    <w:link w:val="GrafListkru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afListstar" w:type="numbering">
    <w:name w:val="GrafList_star"/>
    <w:uiPriority w:val="99"/>
    <w:rsid w:val="00551CB3"/>
    <w:pPr>
      <w:numPr>
        <w:numId w:val="6"/>
      </w:numPr>
    </w:pPr>
  </w:style>
  <w:style w:customStyle="true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true" w:styleId="GrafListstarQSChar" w:type="character">
    <w:name w:val="GrafList_star_QS Char"/>
    <w:basedOn w:val="Zadanifontodlomka"/>
    <w:link w:val="GrafListstar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true" w:styleId="ZaglavljeChar" w:type="character">
    <w:name w:val="Zaglavlje Char"/>
    <w:basedOn w:val="Zadanifontodlomka"/>
    <w:link w:val="Zaglavl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space="4" w:sz="4" w:themeColor="accent1" w:color="4F81BD" w:val="single"/>
      </w:pBdr>
      <w:spacing w:after="280" w:before="200"/>
      <w:ind w:right="936" w:left="936"/>
    </w:pPr>
    <w:rPr>
      <w:b/>
      <w:bCs/>
      <w:i/>
      <w:iCs/>
      <w:color w:themeColor="accent1" w:val="4F81BD"/>
    </w:rPr>
  </w:style>
  <w:style w:customStyle="true" w:styleId="NaglaencitatChar" w:type="character">
    <w:name w:val="Naglašen citat Char"/>
    <w:basedOn w:val="Zadanifontodlomka"/>
    <w:link w:val="Naglaencitat"/>
    <w:uiPriority w:val="30"/>
    <w:rsid w:val="00551CB3"/>
    <w:rPr>
      <w:rFonts w:hAnsi="Times New Roman" w:asci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uiPriority w:val="99"/>
    <w:rsid w:val="00EB0D4C"/>
    <w:pPr>
      <w:spacing w:after="0" w:before="120"/>
      <w:ind w:left="567"/>
    </w:pPr>
  </w:style>
  <w:style w:styleId="Popis2" w:type="paragraph">
    <w:name w:val="List 2"/>
    <w:basedOn w:val="NormalDefault"/>
    <w:uiPriority w:val="99"/>
    <w:rsid w:val="00EB0D4C"/>
    <w:pPr>
      <w:spacing w:after="0" w:before="120"/>
      <w:ind w:left="851"/>
    </w:pPr>
  </w:style>
  <w:style w:styleId="Popis3" w:type="paragraph">
    <w:name w:val="List 3"/>
    <w:basedOn w:val="NormalDefault"/>
    <w:uiPriority w:val="99"/>
    <w:rsid w:val="00EB0D4C"/>
    <w:pPr>
      <w:spacing w:after="0" w:before="120"/>
      <w:ind w:left="1134"/>
    </w:pPr>
  </w:style>
  <w:style w:styleId="Popis4" w:type="paragraph">
    <w:name w:val="List 4"/>
    <w:basedOn w:val="NormalDefault"/>
    <w:uiPriority w:val="99"/>
    <w:rsid w:val="00EB0D4C"/>
    <w:pPr>
      <w:spacing w:after="0" w:before="120"/>
      <w:ind w:left="1418"/>
    </w:pPr>
  </w:style>
  <w:style w:styleId="Popis5" w:type="paragraph">
    <w:name w:val="List 5"/>
    <w:basedOn w:val="NormalDefault"/>
    <w:uiPriority w:val="99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2"/>
      </w:numPr>
      <w:spacing w:after="0" w:before="120"/>
    </w:pPr>
  </w:style>
  <w:style w:styleId="Grafikeoznake2" w:type="paragraph">
    <w:name w:val="List Bullet 2"/>
    <w:basedOn w:val="NormalDefault"/>
    <w:uiPriority w:val="99"/>
    <w:rsid w:val="00EB0D4C"/>
    <w:pPr>
      <w:numPr>
        <w:numId w:val="23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4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5"/>
      </w:numPr>
      <w:spacing w:after="0" w:before="120"/>
    </w:pPr>
  </w:style>
  <w:style w:styleId="Grafikeoznake5" w:type="paragraph">
    <w:name w:val="List Bullet 5"/>
    <w:basedOn w:val="NormalDefault"/>
    <w:uiPriority w:val="99"/>
    <w:rsid w:val="00EB0D4C"/>
    <w:pPr>
      <w:numPr>
        <w:numId w:val="26"/>
      </w:numPr>
      <w:spacing w:after="0" w:before="120"/>
    </w:pPr>
  </w:style>
  <w:style w:styleId="Nastavakpopisa" w:type="paragraph">
    <w:name w:val="List Continue"/>
    <w:basedOn w:val="NormalDefault"/>
    <w:uiPriority w:val="99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uiPriority w:val="99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7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8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29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0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1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qFormat/>
    <w:rsid w:val="00EB0D4C"/>
    <w:pPr>
      <w:tabs>
        <w:tab w:pos="851" w:val="left"/>
      </w:tabs>
    </w:pPr>
  </w:style>
  <w:style w:customStyle="true" w:styleId="OdlomakpopisaChar" w:type="character">
    <w:name w:val="Odlomak popisa Char"/>
    <w:basedOn w:val="Zadanifontodlomka"/>
    <w:link w:val="Odlomakpopisa"/>
    <w:uiPriority w:val="34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123" w:type="paragraph">
    <w:name w:val="Lista_123"/>
    <w:basedOn w:val="Odlomakpopisa"/>
    <w:link w:val="Lista123Char"/>
    <w:qFormat/>
    <w:rsid w:val="00EB0D4C"/>
    <w:pPr>
      <w:numPr>
        <w:numId w:val="32"/>
      </w:numPr>
      <w:spacing w:after="0" w:before="120"/>
      <w:jc w:val="left"/>
    </w:pPr>
  </w:style>
  <w:style w:customStyle="true" w:styleId="Lista123Char" w:type="character">
    <w:name w:val="Lista_123 Char"/>
    <w:basedOn w:val="OdlomakpopisaChar"/>
    <w:link w:val="Lista123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abc" w:type="paragraph">
    <w:name w:val="Lista_abc"/>
    <w:basedOn w:val="Odlomakpopisa"/>
    <w:link w:val="ListaabcChar"/>
    <w:qFormat/>
    <w:rsid w:val="00EB0D4C"/>
    <w:pPr>
      <w:numPr>
        <w:numId w:val="33"/>
      </w:numPr>
      <w:spacing w:after="0" w:before="120"/>
      <w:jc w:val="left"/>
    </w:pPr>
  </w:style>
  <w:style w:customStyle="true" w:styleId="ListaabcChar" w:type="character">
    <w:name w:val="Lista_abc Char"/>
    <w:basedOn w:val="OdlomakpopisaChar"/>
    <w:link w:val="Listaabc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krui" w:type="paragraph">
    <w:name w:val="Lista_kružić"/>
    <w:basedOn w:val="Odlomakpopisa"/>
    <w:link w:val="ListakruiChar"/>
    <w:qFormat/>
    <w:rsid w:val="00EB0D4C"/>
    <w:pPr>
      <w:numPr>
        <w:numId w:val="35"/>
      </w:numPr>
      <w:spacing w:after="0" w:before="120"/>
      <w:jc w:val="left"/>
    </w:pPr>
  </w:style>
  <w:style w:customStyle="true" w:styleId="ListakruiChar" w:type="character">
    <w:name w:val="Lista_kružić Char"/>
    <w:basedOn w:val="Zadanifontodlomka"/>
    <w:link w:val="Listakrui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" w:type="numbering">
    <w:name w:val="Lista_nastavak"/>
    <w:uiPriority w:val="99"/>
    <w:rsid w:val="00551CB3"/>
    <w:pPr>
      <w:numPr>
        <w:numId w:val="7"/>
      </w:numPr>
    </w:pPr>
  </w:style>
  <w:style w:customStyle="true" w:styleId="ListanastavakQS" w:type="paragraph">
    <w:name w:val="Lista_nastavak_QS"/>
    <w:basedOn w:val="Normal"/>
    <w:link w:val="ListanastavakQSChar"/>
    <w:rsid w:val="00EB0D4C"/>
    <w:pPr>
      <w:numPr>
        <w:numId w:val="36"/>
      </w:numPr>
      <w:spacing w:after="0" w:before="60"/>
    </w:pPr>
    <w:rPr>
      <w:rFonts w:eastAsia="Times New Roman"/>
      <w:lang w:eastAsia="hr-HR"/>
    </w:rPr>
  </w:style>
  <w:style w:customStyle="true" w:styleId="ListanastavakQSChar" w:type="character">
    <w:name w:val="Lista_nastavak_QS Char"/>
    <w:basedOn w:val="Zadanifontodlomka"/>
    <w:link w:val="Listanastavak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QSGraf" w:type="paragraph">
    <w:name w:val="Lista_nastavak_QS_Graf"/>
    <w:basedOn w:val="Odlomakpopisa"/>
    <w:link w:val="ListanastavakQSGrafChar"/>
    <w:rsid w:val="00EB0D4C"/>
    <w:pPr>
      <w:numPr>
        <w:numId w:val="37"/>
      </w:numPr>
      <w:tabs>
        <w:tab w:pos="851" w:val="clear"/>
      </w:tabs>
      <w:jc w:val="left"/>
    </w:pPr>
  </w:style>
  <w:style w:customStyle="true" w:styleId="ListanastavakQSGrafChar" w:type="character">
    <w:name w:val="Lista_nastavak_QS_Graf Char"/>
    <w:basedOn w:val="OdlomakpopisaChar"/>
    <w:link w:val="ListanastavakQSGraf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slijed" w:type="paragraph">
    <w:name w:val="Lista_slijed"/>
    <w:basedOn w:val="Odlomakpopisa"/>
    <w:link w:val="ListaslijedChar"/>
    <w:qFormat/>
    <w:rsid w:val="00EB0D4C"/>
    <w:pPr>
      <w:numPr>
        <w:numId w:val="38"/>
      </w:numPr>
      <w:tabs>
        <w:tab w:pos="851" w:val="clear"/>
      </w:tabs>
      <w:spacing w:after="60"/>
      <w:contextualSpacing/>
      <w:jc w:val="left"/>
    </w:pPr>
  </w:style>
  <w:style w:customStyle="true" w:styleId="ListaslijedChar" w:type="character">
    <w:name w:val="Lista_slijed Char"/>
    <w:basedOn w:val="OdlomakpopisaChar"/>
    <w:link w:val="Listaslijed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XIV" w:type="paragraph">
    <w:name w:val="Lista_XIV"/>
    <w:basedOn w:val="Odlomakpopisa"/>
    <w:link w:val="ListaXIVChar"/>
    <w:qFormat/>
    <w:rsid w:val="00EB0D4C"/>
    <w:pPr>
      <w:numPr>
        <w:numId w:val="39"/>
      </w:numPr>
      <w:spacing w:after="0" w:before="120"/>
      <w:jc w:val="left"/>
    </w:pPr>
  </w:style>
  <w:style w:customStyle="true" w:styleId="ListaXIVChar" w:type="character">
    <w:name w:val="Lista_XIV Char"/>
    <w:basedOn w:val="OdlomakpopisaChar"/>
    <w:link w:val="ListaXIV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Razmak" w:type="paragraph">
    <w:name w:val="ListaRazmak"/>
    <w:basedOn w:val="Normal"/>
    <w:rsid w:val="00551CB3"/>
    <w:pPr>
      <w:spacing w:after="0" w:before="120"/>
    </w:pPr>
  </w:style>
  <w:style w:customStyle="true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lineRule="auto" w:line="240" w:after="240"/>
      <w:contextualSpacing/>
    </w:pPr>
    <w:rPr>
      <w:rFonts w:cs="Times New Roman" w:eastAsia="Times New Roman" w:hAnsi="Times New Roman" w:ascii="Times New Roman"/>
      <w:sz w:val="24"/>
      <w:szCs w:val="24"/>
      <w:lang w:eastAsia="hr-HR" w:val="hr-HR"/>
    </w:rPr>
  </w:style>
  <w:style w:styleId="StandardWeb" w:type="paragraph">
    <w:name w:val="Normal (Web)"/>
    <w:basedOn w:val="Normal"/>
    <w:uiPriority w:val="99"/>
    <w:semiHidden/>
    <w:unhideWhenUsed/>
    <w:rsid w:val="00551CB3"/>
    <w:pPr>
      <w:spacing w:afterAutospacing="true" w:after="100" w:beforeAutospacing="true" w:before="100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true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true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true" w:styleId="Naslov5Char" w:type="character">
    <w:name w:val="Naslov 5 Char"/>
    <w:basedOn w:val="Zadanifontodlomka"/>
    <w:link w:val="Naslov5"/>
    <w:rsid w:val="00EB0D4C"/>
    <w:rPr>
      <w:rFonts w:eastAsia="Times New Roman" w:hAnsi="Arial" w:ascii="Arial"/>
      <w:noProof/>
      <w:kern w:val="22"/>
      <w:szCs w:val="24"/>
      <w:lang w:eastAsia="hr-HR" w:val="hr-HR"/>
    </w:rPr>
  </w:style>
  <w:style w:customStyle="true" w:styleId="Naslov6Char" w:type="character">
    <w:name w:val="Naslov 6 Char"/>
    <w:basedOn w:val="Zadanifontodlomka"/>
    <w:link w:val="Naslov6"/>
    <w:rsid w:val="00EB0D4C"/>
    <w:rPr>
      <w:rFonts w:eastAsia="Times New Roman" w:hAnsi="Arial" w:ascii="Arial"/>
      <w:i/>
      <w:noProof/>
      <w:kern w:val="22"/>
      <w:szCs w:val="24"/>
      <w:lang w:eastAsia="hr-HR" w:val="hr-HR"/>
    </w:rPr>
  </w:style>
  <w:style w:customStyle="true" w:styleId="Naslov7Char" w:type="character">
    <w:name w:val="Naslov 7 Char"/>
    <w:basedOn w:val="Zadanifontodlomka"/>
    <w:link w:val="Naslov7"/>
    <w:rsid w:val="00EB0D4C"/>
    <w:rPr>
      <w:rFonts w:eastAsia="Times New Roman" w:hAnsi="Arial" w:ascii="Arial"/>
      <w:noProof/>
      <w:kern w:val="20"/>
      <w:szCs w:val="24"/>
      <w:lang w:eastAsia="hr-HR" w:val="hr-HR"/>
    </w:rPr>
  </w:style>
  <w:style w:customStyle="true" w:styleId="Naslov8Char" w:type="character">
    <w:name w:val="Naslov 8 Char"/>
    <w:basedOn w:val="Zadanifontodlomka"/>
    <w:link w:val="Naslov8"/>
    <w:rsid w:val="00EB0D4C"/>
    <w:rPr>
      <w:rFonts w:eastAsia="Times New Roman" w:hAnsi="Arial" w:ascii="Arial"/>
      <w:i/>
      <w:noProof/>
      <w:kern w:val="20"/>
      <w:szCs w:val="24"/>
      <w:lang w:eastAsia="hr-HR" w:val="hr-HR"/>
    </w:rPr>
  </w:style>
  <w:style w:customStyle="true" w:styleId="Naslov9Char" w:type="character">
    <w:name w:val="Naslov 9 Char"/>
    <w:basedOn w:val="Zadanifontodlomka"/>
    <w:link w:val="Naslov9"/>
    <w:rsid w:val="00EB0D4C"/>
    <w:rPr>
      <w:rFonts w:eastAsia="Times New Roman" w:hAnsi="Arial" w:ascii="Arial"/>
      <w:i/>
      <w:noProof/>
      <w:kern w:val="18"/>
      <w:sz w:val="18"/>
      <w:szCs w:val="24"/>
      <w:lang w:eastAsia="hr-HR" w:val="hr-HR"/>
    </w:rPr>
  </w:style>
  <w:style w:customStyle="true" w:styleId="NumList1QS" w:type="paragraph">
    <w:name w:val="NumList_1)_QS"/>
    <w:basedOn w:val="Normal"/>
    <w:link w:val="NumList1QSChar"/>
    <w:locked/>
    <w:rsid w:val="00EB0D4C"/>
    <w:pPr>
      <w:numPr>
        <w:numId w:val="40"/>
      </w:numPr>
      <w:spacing w:after="0" w:before="120"/>
    </w:pPr>
    <w:rPr>
      <w:rFonts w:eastAsia="Times New Roman"/>
      <w:lang w:eastAsia="hr-HR"/>
    </w:rPr>
  </w:style>
  <w:style w:customStyle="true" w:styleId="NumList1QSChar" w:type="character">
    <w:name w:val="NumList_1)_QS Char"/>
    <w:basedOn w:val="Zadanifontodlomka"/>
    <w:link w:val="NumList1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" w:type="numbering">
    <w:name w:val="NumList_a"/>
    <w:uiPriority w:val="99"/>
    <w:locked/>
    <w:rsid w:val="00551CB3"/>
    <w:pPr>
      <w:numPr>
        <w:numId w:val="9"/>
      </w:numPr>
    </w:pPr>
  </w:style>
  <w:style w:customStyle="true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true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aQSChar" w:type="character">
    <w:name w:val="NumList_a)_QS Char"/>
    <w:basedOn w:val="Zadanifontodlomka"/>
    <w:link w:val="NumLista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QS" w:type="paragraph">
    <w:name w:val="NumList_A)_QS"/>
    <w:basedOn w:val="Normal"/>
    <w:link w:val="NumListAQSChar0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true" w:styleId="NumListAQSChar0" w:type="character">
    <w:name w:val="NumList_A)_QS Char"/>
    <w:basedOn w:val="Zadanifontodlomka"/>
    <w:link w:val="NumListA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true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true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iQSChar" w:type="character">
    <w:name w:val="NumList_i)_QS Char"/>
    <w:basedOn w:val="Zadanifontodlomka"/>
    <w:link w:val="NumListi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QS" w:type="paragraph">
    <w:name w:val="NumList_I)_QS"/>
    <w:basedOn w:val="Normal"/>
    <w:link w:val="NumListI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true" w:styleId="NumListIQSChar0" w:type="character">
    <w:name w:val="NumList_I)_QS Char"/>
    <w:basedOn w:val="Zadanifontodlomka"/>
    <w:link w:val="NumList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true" w:styleId="NumListOIQS" w:type="paragraph">
    <w:name w:val="NumList_OI_QS"/>
    <w:basedOn w:val="Normal"/>
    <w:link w:val="NumListOIQSChar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true" w:styleId="NumListOIQSChar" w:type="character">
    <w:name w:val="NumList_OI_QS Char"/>
    <w:basedOn w:val="Zadanifontodlomka"/>
    <w:link w:val="NumListO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space="0" w:sz="0" w:color="auto" w:val="none"/>
      <w:shd w:fill="CCFFFF" w:color="auto" w:val="clear"/>
      <w:lang w:val="hr-HR"/>
    </w:rPr>
  </w:style>
  <w:style w:customStyle="true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true" w:styleId="PozadinaSvijetloCrvena" w:type="character">
    <w:name w:val="Pozadina_SvijetloCrvena"/>
    <w:basedOn w:val="Zadanifontodlomka"/>
    <w:uiPriority w:val="3"/>
    <w:rsid w:val="00EB0D4C"/>
    <w:rPr>
      <w:noProof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Zadanifontodlomka"/>
    <w:rsid w:val="00EB0D4C"/>
    <w:rPr>
      <w:noProof/>
      <w:bdr w:space="0" w:sz="0" w:color="auto" w:val="none"/>
      <w:shd w:fill="CCFFCC" w:color="auto" w:val="clear"/>
      <w:lang w:val="hr-HR"/>
    </w:rPr>
  </w:style>
  <w:style w:customStyle="true" w:styleId="PozadinaSvijetloZuta" w:type="character">
    <w:name w:val="Pozadina_SvijetloZuta"/>
    <w:basedOn w:val="Zadanifontodlomka"/>
    <w:uiPriority w:val="3"/>
    <w:rsid w:val="00EB0D4C"/>
    <w:rPr>
      <w:noProof/>
      <w:bdr w:space="0" w:sz="0" w:color="auto" w:val="none"/>
      <w:shd w:fill="FFFFCC" w:color="auto" w:val="clear"/>
      <w:lang w:val="hr-HR"/>
    </w:rPr>
  </w:style>
  <w:style w:customStyle="true" w:styleId="Proir0pt" w:type="character">
    <w:name w:val="Prošir_0pt"/>
    <w:basedOn w:val="Zadanifontodlomka"/>
    <w:qFormat/>
    <w:rsid w:val="00EB0D4C"/>
    <w:rPr>
      <w:spacing w:val="0"/>
    </w:rPr>
  </w:style>
  <w:style w:customStyle="true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true" w:styleId="CitatChar" w:type="character">
    <w:name w:val="Citat Char"/>
    <w:basedOn w:val="Zadanifontodlomka"/>
    <w:link w:val="Citat"/>
    <w:uiPriority w:val="29"/>
    <w:rsid w:val="00551CB3"/>
    <w:rPr>
      <w:rFonts w:hAnsi="Times New Roman" w:ascii="Times New Roman"/>
      <w:i/>
      <w:iCs/>
      <w:color w:themeColor="text1" w:val="000000"/>
      <w:sz w:val="24"/>
      <w:szCs w:val="24"/>
      <w:lang w:val="hr-HR"/>
    </w:rPr>
  </w:style>
  <w:style w:customStyle="true" w:styleId="RedniBrojTablica" w:type="paragraph">
    <w:name w:val="RedniBroj_Tablica"/>
    <w:basedOn w:val="Normal"/>
    <w:rsid w:val="00551CB3"/>
    <w:pPr>
      <w:numPr>
        <w:numId w:val="15"/>
      </w:numPr>
    </w:pPr>
    <w:rPr>
      <w:rFonts w:hAnsiTheme="minorHAnsi" w:asciiTheme="minorHAnsi"/>
      <w:sz w:val="18"/>
      <w:szCs w:val="18"/>
    </w:rPr>
  </w:style>
  <w:style w:customStyle="true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true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false"/>
      <w:spacing w:before="0"/>
    </w:pPr>
    <w:rPr>
      <w:rFonts w:eastAsia="Times New Roman"/>
      <w:i/>
      <w:iCs/>
      <w:szCs w:val="20"/>
      <w:u w:val="single"/>
    </w:rPr>
  </w:style>
  <w:style w:customStyle="true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cstheme="majorBidi" w:eastAsia="Times New Roman" w:hAnsi="Times New Roman" w:ascii="Times New Roman"/>
      <w:b/>
      <w:bCs/>
      <w:i/>
      <w:iCs/>
      <w:color w:themeShade="BF" w:themeColor="accent1" w:val="365F91"/>
      <w:sz w:val="28"/>
      <w:szCs w:val="20"/>
      <w:u w:val="single"/>
      <w:lang w:val="hr-HR"/>
    </w:rPr>
  </w:style>
  <w:style w:customStyle="true" w:styleId="Style1" w:type="numbering">
    <w:name w:val="Style1"/>
    <w:uiPriority w:val="99"/>
    <w:rsid w:val="00551CB3"/>
    <w:pPr>
      <w:numPr>
        <w:numId w:val="16"/>
      </w:numPr>
    </w:pPr>
  </w:style>
  <w:style w:customStyle="true" w:styleId="Style2" w:type="numbering">
    <w:name w:val="Style2"/>
    <w:uiPriority w:val="99"/>
    <w:rsid w:val="00551CB3"/>
    <w:pPr>
      <w:numPr>
        <w:numId w:val="17"/>
      </w:numPr>
    </w:pPr>
  </w:style>
  <w:style w:customStyle="true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Tint="7F" w:themeColor="text1" w:val="808080"/>
    </w:rPr>
  </w:style>
  <w:style w:customStyle="true" w:styleId="SudAdresa" w:type="paragraph">
    <w:name w:val="Sud_Adresa"/>
    <w:basedOn w:val="Normal"/>
    <w:rsid w:val="00EB0D4C"/>
    <w:pPr>
      <w:spacing w:after="0"/>
    </w:pPr>
    <w:rPr>
      <w:noProof/>
    </w:rPr>
  </w:style>
  <w:style w:customStyle="true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true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true" w:styleId="SudStalnasluba" w:type="paragraph">
    <w:name w:val="Sud_Stalna služba"/>
    <w:basedOn w:val="SudSjedite"/>
    <w:rsid w:val="00EB0D4C"/>
  </w:style>
  <w:style w:customStyle="true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true" w:styleId="SudacChar" w:type="character">
    <w:name w:val="Sudac Char"/>
    <w:basedOn w:val="Zadanifontodlomka"/>
    <w:link w:val="Sudac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true" w:styleId="SudacPotpisChar" w:type="character">
    <w:name w:val="SudacPotpis Char"/>
    <w:basedOn w:val="DostavitiChar"/>
    <w:link w:val="SudacPotpis"/>
    <w:uiPriority w:val="2"/>
    <w:rsid w:val="00551CB3"/>
    <w:rPr>
      <w:rFonts w:hAnsi="Times New Roman" w:asci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lineRule="auto" w:line="240" w:after="0"/>
    </w:pPr>
    <w:rPr>
      <w:rFonts w:hAnsi="Times New Roman" w:ascii="Times New Roman"/>
      <w:sz w:val="24"/>
      <w:szCs w:val="24"/>
      <w:lang w:val="hr-HR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customStyle="true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true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true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true" w:styleId="ABCNaslovChar" w:type="character">
    <w:name w:val="ABC_Naslov Char"/>
    <w:basedOn w:val="Zadanifontodlomka"/>
    <w:link w:val="ABCNaslov"/>
    <w:rsid w:val="00EB0D4C"/>
    <w:rPr>
      <w:rFonts w:hAnsi="Times New Roman" w:ascii="Times New Roman"/>
      <w:caps/>
      <w:spacing w:val="100"/>
      <w:sz w:val="24"/>
      <w:szCs w:val="24"/>
      <w:lang w:val="hr-HR"/>
    </w:rPr>
  </w:style>
  <w:style w:customStyle="true" w:styleId="abcNaslovChar0" w:type="character">
    <w:name w:val="abc_Naslov Char"/>
    <w:basedOn w:val="Zadanifontodlomka"/>
    <w:link w:val="abcNaslov0"/>
    <w:rsid w:val="00EB0D4C"/>
    <w:rPr>
      <w:rFonts w:hAnsi="Times New Roman" w:ascii="Times New Roman"/>
      <w:spacing w:val="100"/>
      <w:sz w:val="24"/>
      <w:szCs w:val="24"/>
      <w:lang w:val="hr-HR"/>
    </w:rPr>
  </w:style>
  <w:style w:customStyle="true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true" w:styleId="abc2NaslovChar" w:type="character">
    <w:name w:val="abc2_Naslov Char"/>
    <w:basedOn w:val="Zadanifontodlomka"/>
    <w:link w:val="abc2Naslov"/>
    <w:rsid w:val="00EB0D4C"/>
    <w:rPr>
      <w:rFonts w:hAnsi="Times New Roman" w:asci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true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true" w:styleId="NaslovdokumentaChar" w:type="character">
    <w:name w:val="Naslov_dokumenta Char"/>
    <w:basedOn w:val="Zadanifontodlomka"/>
    <w:link w:val="Naslovdokumenta"/>
    <w:rsid w:val="00EB0D4C"/>
    <w:rPr>
      <w:rFonts w:hAnsi="Times New Roman" w:ascii="Times New Roman"/>
      <w:b/>
      <w:caps/>
      <w:spacing w:val="100"/>
      <w:sz w:val="24"/>
      <w:szCs w:val="24"/>
      <w:lang w:val="hr-HR"/>
    </w:rPr>
  </w:style>
  <w:style w:customStyle="true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true" w:styleId="NormaleSPISChar" w:type="character">
    <w:name w:val="Normal_eSPIS Char"/>
    <w:basedOn w:val="Zadanifontodlomka"/>
    <w:link w:val="Normal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cstheme="majorBidi" w:eastAsiaTheme="majorEastAsia" w:hAnsiTheme="majorHAnsi" w:asciiTheme="majorHAnsi"/>
      <w:i/>
      <w:iCs/>
      <w:color w:themeColor="accent1" w:val="4F81BD"/>
      <w:spacing w:val="15"/>
    </w:rPr>
  </w:style>
  <w:style w:customStyle="true" w:styleId="PodnaslovChar" w:type="character">
    <w:name w:val="Podnaslov Char"/>
    <w:basedOn w:val="Zadanifontodlomka"/>
    <w:link w:val="Podnaslov"/>
    <w:uiPriority w:val="11"/>
    <w:rsid w:val="00551CB3"/>
    <w:rPr>
      <w:rFonts w:cstheme="majorBidi" w:eastAsiaTheme="majorEastAsia" w:hAnsiTheme="majorHAnsi" w:asciiTheme="majorHAnsi"/>
      <w:i/>
      <w:iCs/>
      <w:color w:themeColor="accent1" w:val="4F81BD"/>
      <w:spacing w:val="15"/>
      <w:sz w:val="24"/>
      <w:szCs w:val="24"/>
      <w:lang w:val="hr-HR"/>
    </w:rPr>
  </w:style>
  <w:style w:customStyle="true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true" w:styleId="SudacPotpisIzvornikChar" w:type="character">
    <w:name w:val="SudacPotpis_Izvornik Char"/>
    <w:basedOn w:val="DostavitiChar"/>
    <w:link w:val="SudacPotpisIzvornik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true" w:styleId="SudacPotpisOtpravakChar" w:type="character">
    <w:name w:val="SudacPotpis_Otpravak Char"/>
    <w:basedOn w:val="SudacPotpisIzvornikChar"/>
    <w:link w:val="SudacPotpisOtpravak"/>
    <w:rsid w:val="00EB0D4C"/>
    <w:rPr>
      <w:rFonts w:hAnsi="Times New Roman" w:asci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space="4" w:sz="8" w:themeColor="accent1" w:color="4F81BD" w:val="single"/>
      </w:pBdr>
      <w:spacing w:after="300"/>
      <w:contextualSpacing/>
    </w:pPr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</w:rPr>
  </w:style>
  <w:style w:customStyle="true" w:styleId="NaslovChar" w:type="character">
    <w:name w:val="Naslov Char"/>
    <w:basedOn w:val="Zadanifontodlomka"/>
    <w:link w:val="Naslov"/>
    <w:uiPriority w:val="10"/>
    <w:rsid w:val="00551CB3"/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shadow="true" w:space="10" w:sz="2" w:themeColor="accent1" w:color="4F81BD" w:val="single"/>
        <w:left w:shadow="true" w:space="10" w:sz="2" w:themeColor="accent1" w:color="4F81BD" w:val="single"/>
        <w:bottom w:shadow="true" w:space="10" w:sz="2" w:themeColor="accent1" w:color="4F81BD" w:val="single"/>
        <w:right w:shadow="true" w:space="10" w:sz="2" w:themeColor="accent1" w:color="4F81BD" w:val="single"/>
      </w:pBdr>
      <w:ind w:right="1152" w:left="1152"/>
    </w:pPr>
    <w:rPr>
      <w:rFonts w:eastAsiaTheme="minorEastAsia" w:hAnsiTheme="minorHAnsi" w:asci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true" w:styleId="TijelotekstaChar" w:type="character">
    <w:name w:val="Tijelo teksta Char"/>
    <w:basedOn w:val="Zadanifontodlomka"/>
    <w:link w:val="Tijeloteksta"/>
    <w:uiPriority w:val="99"/>
    <w:rsid w:val="00551CB3"/>
    <w:rPr>
      <w:rFonts w:hAnsi="Times New Roman" w:asci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lineRule="auto" w:line="480" w:after="120"/>
    </w:pPr>
  </w:style>
  <w:style w:customStyle="true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true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true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true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lineRule="auto" w:line="480" w:after="120"/>
      <w:ind w:left="283"/>
    </w:pPr>
  </w:style>
  <w:style w:customStyle="true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true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hAnsi="Times New Roman" w:asci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qFormat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true" w:styleId="ZavretakChar" w:type="character">
    <w:name w:val="Završetak Char"/>
    <w:basedOn w:val="Zadanifontodlomka"/>
    <w:link w:val="Zavretak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text1" w:fill="CCCCCC" w:color="auto" w:val="clear"/>
    </w:tcPr>
    <w:tblStylePr w:type="firstRow">
      <w:rPr>
        <w:b/>
        <w:bCs/>
      </w:rPr>
      <w:tblPr/>
      <w:tcPr>
        <w:shd w:themeFillTint="66" w:themeFill="text1" w:fill="99999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text1" w:fill="999999" w:color="auto" w:val="clear"/>
      </w:tcPr>
    </w:tblStylePr>
    <w:tblStylePr w:type="fir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la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1" w:fill="DBE5F1" w:color="auto" w:val="clear"/>
    </w:tcPr>
    <w:tblStylePr w:type="firstRow">
      <w:rPr>
        <w:b/>
        <w:bCs/>
      </w:rPr>
      <w:tblPr/>
      <w:tcPr>
        <w:shd w:themeFillTint="66" w:themeFill="accent1" w:fill="B8CCE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1" w:fill="B8CCE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2" w:fill="F2DBDB" w:color="auto" w:val="clear"/>
    </w:tcPr>
    <w:tblStylePr w:type="firstRow">
      <w:rPr>
        <w:b/>
        <w:bCs/>
      </w:rPr>
      <w:tblPr/>
      <w:tcPr>
        <w:shd w:themeFillTint="66" w:themeFill="accent2" w:fill="E5B8B7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2" w:fill="E5B8B7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3" w:fill="EAF1DD" w:color="auto" w:val="clear"/>
    </w:tcPr>
    <w:tblStylePr w:type="firstRow">
      <w:rPr>
        <w:b/>
        <w:bCs/>
      </w:rPr>
      <w:tblPr/>
      <w:tcPr>
        <w:shd w:themeFillTint="66" w:themeFill="accent3" w:fill="D6E3BC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3" w:fill="D6E3BC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4" w:fill="E5DFEC" w:color="auto" w:val="clear"/>
    </w:tcPr>
    <w:tblStylePr w:type="firstRow">
      <w:rPr>
        <w:b/>
        <w:bCs/>
      </w:rPr>
      <w:tblPr/>
      <w:tcPr>
        <w:shd w:themeFillTint="66" w:themeFill="accent4" w:fill="CCC0D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4" w:fill="CCC0D9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5" w:fill="DAEEF3" w:color="auto" w:val="clear"/>
    </w:tcPr>
    <w:tblStylePr w:type="firstRow">
      <w:rPr>
        <w:b/>
        <w:bCs/>
      </w:rPr>
      <w:tblPr/>
      <w:tcPr>
        <w:shd w:themeFillTint="66" w:themeFill="accent5" w:fill="B6DDE8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5" w:fill="B6DDE8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6" w:fill="FDE9D9" w:color="auto" w:val="clear"/>
    </w:tcPr>
    <w:tblStylePr w:type="firstRow">
      <w:rPr>
        <w:b/>
        <w:bCs/>
      </w:rPr>
      <w:tblPr/>
      <w:tcPr>
        <w:shd w:themeFillTint="66" w:themeFill="accent6" w:fill="FBD4B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6" w:fill="FBD4B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text1" w:fill="E6E6E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shd w:themeFillTint="33" w:themeFill="text1" w:fill="CCCCCC" w:color="auto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1" w:fill="EDF2F8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shd w:themeFillTint="33" w:themeFill="accent1" w:fill="DBE5F1" w:color="auto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2" w:fill="F8EDED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shd w:themeFillTint="33" w:themeFill="accent2" w:fill="F2DBDB" w:color="auto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3" w:fill="F5F8EE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4" w:fill="664E82" w:color="auto" w:val="clear"/>
      </w:tcPr>
    </w:tblStylePr>
    <w:tblStylePr w:type="lastRow">
      <w:rPr>
        <w:b/>
        <w:bCs/>
        <w:color w:themeShade="CC" w:themeColor="accent4" w:val="664E82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shd w:themeFillTint="33" w:themeFill="accent3" w:fill="EAF1DD" w:color="auto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4" w:fill="F2EFF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3" w:fill="7E9C40" w:color="auto" w:val="clear"/>
      </w:tcPr>
    </w:tblStylePr>
    <w:tblStylePr w:type="lastRow">
      <w:rPr>
        <w:b/>
        <w:bCs/>
        <w:color w:themeShade="CC" w:themeColor="accent3" w:val="7E9C40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shd w:themeFillTint="33" w:themeFill="accent4" w:fill="E5DFEC" w:color="auto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5" w:fill="EDF6F9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6" w:fill="F2730A" w:color="auto" w:val="clear"/>
      </w:tcPr>
    </w:tblStylePr>
    <w:tblStylePr w:type="lastRow">
      <w:rPr>
        <w:b/>
        <w:bCs/>
        <w:color w:themeShade="CC" w:themeColor="accent6" w:val="F2730A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shd w:themeFillTint="33" w:themeFill="accent5" w:fill="DAEEF3" w:color="auto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6" w:fill="FEF4EC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5" w:fill="348DA5" w:color="auto" w:val="clear"/>
      </w:tcPr>
    </w:tblStylePr>
    <w:tblStylePr w:type="lastRow">
      <w:rPr>
        <w:b/>
        <w:bCs/>
        <w:color w:themeShade="CC" w:themeColor="accent5" w:val="348DA5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shd w:themeFillTint="33" w:themeFill="accent6" w:fill="FDE9D9" w:color="auto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text1" w:color="000000" w:val="single"/>
        <w:bottom w:space="0" w:sz="4" w:themeColor="text1" w:color="000000" w:val="single"/>
        <w:right w:space="0" w:sz="4" w:themeColor="text1" w:color="000000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text1" w:fill="E6E6E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text1" w:fill="00000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text1" w:color="000000" w:val="single"/>
          <w:insideV w:val="nil"/>
        </w:tcBorders>
        <w:shd w:themeFillShade="99" w:themeFill="text1" w:fill="00000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shd w:themeFillTint="66" w:themeFill="text1" w:fill="999999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1" w:color="4F81BD" w:val="single"/>
        <w:bottom w:space="0" w:sz="4" w:themeColor="accent1" w:color="4F81BD" w:val="single"/>
        <w:right w:space="0" w:sz="4" w:themeColor="accent1" w:color="4F81B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1" w:fill="EDF2F8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1" w:fill="2C4C74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1" w:color="2C4C74" w:val="single"/>
          <w:insideV w:val="nil"/>
        </w:tcBorders>
        <w:shd w:themeFillShade="99" w:themeFill="accent1" w:fill="2C4C74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1" w:fill="2C4C74" w:color="auto" w:val="clear"/>
      </w:tcPr>
    </w:tblStylePr>
    <w:tblStylePr w:type="band1Vert">
      <w:tblPr/>
      <w:tcPr>
        <w:shd w:themeFillTint="66" w:themeFill="accent1" w:fill="B8CCE4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2" w:color="C0504D" w:val="single"/>
        <w:bottom w:space="0" w:sz="4" w:themeColor="accent2" w:color="C0504D" w:val="single"/>
        <w:right w:space="0" w:sz="4" w:themeColor="accent2" w:color="C0504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2" w:fill="F8EDE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2" w:fill="772C2A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2" w:color="772C2A" w:val="single"/>
          <w:insideV w:val="nil"/>
        </w:tcBorders>
        <w:shd w:themeFillShade="99" w:themeFill="accent2" w:fill="772C2A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2" w:fill="772C2A" w:color="auto" w:val="clear"/>
      </w:tcPr>
    </w:tblStylePr>
    <w:tblStylePr w:type="band1Vert">
      <w:tblPr/>
      <w:tcPr>
        <w:shd w:themeFillTint="66" w:themeFill="accent2" w:fill="E5B8B7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4" w:color="8064A2" w:val="single"/>
        <w:left w:space="0" w:sz="4" w:themeColor="accent3" w:color="9BBB59" w:val="single"/>
        <w:bottom w:space="0" w:sz="4" w:themeColor="accent3" w:color="9BBB59" w:val="single"/>
        <w:right w:space="0" w:sz="4" w:themeColor="accent3" w:color="9BBB59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3" w:fill="F5F8EE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3" w:fill="5E753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3" w:color="5E7530" w:val="single"/>
          <w:insideV w:val="nil"/>
        </w:tcBorders>
        <w:shd w:themeFillShade="99" w:themeFill="accent3" w:fill="5E753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3" w:fill="5E7530" w:color="auto" w:val="clear"/>
      </w:tcPr>
    </w:tblStylePr>
    <w:tblStylePr w:type="band1Vert">
      <w:tblPr/>
      <w:tcPr>
        <w:shd w:themeFillTint="66" w:themeFill="accent3" w:fill="D6E3B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3" w:color="9BBB59" w:val="single"/>
        <w:left w:space="0" w:sz="4" w:themeColor="accent4" w:color="8064A2" w:val="single"/>
        <w:bottom w:space="0" w:sz="4" w:themeColor="accent4" w:color="8064A2" w:val="single"/>
        <w:right w:space="0" w:sz="4" w:themeColor="accent4" w:color="8064A2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4" w:fill="F2EFF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4" w:fill="4C3B62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4" w:color="4C3B62" w:val="single"/>
          <w:insideV w:val="nil"/>
        </w:tcBorders>
        <w:shd w:themeFillShade="99" w:themeFill="accent4" w:fill="4C3B62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4" w:fill="4C3B62" w:color="auto" w:val="clear"/>
      </w:tcPr>
    </w:tblStylePr>
    <w:tblStylePr w:type="band1Vert">
      <w:tblPr/>
      <w:tcPr>
        <w:shd w:themeFillTint="66" w:themeFill="accent4" w:fill="CCC0D9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6" w:color="F79646" w:val="single"/>
        <w:left w:space="0" w:sz="4" w:themeColor="accent5" w:color="4BACC6" w:val="single"/>
        <w:bottom w:space="0" w:sz="4" w:themeColor="accent5" w:color="4BACC6" w:val="single"/>
        <w:right w:space="0" w:sz="4" w:themeColor="accent5" w:color="4BACC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5" w:fill="EDF6F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5" w:fill="276A7C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5" w:color="276A7C" w:val="single"/>
          <w:insideV w:val="nil"/>
        </w:tcBorders>
        <w:shd w:themeFillShade="99" w:themeFill="accent5" w:fill="276A7C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5" w:fill="276A7C" w:color="auto" w:val="clear"/>
      </w:tcPr>
    </w:tblStylePr>
    <w:tblStylePr w:type="band1Vert">
      <w:tblPr/>
      <w:tcPr>
        <w:shd w:themeFillTint="66" w:themeFill="accent5" w:fill="B6DDE8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5" w:color="4BACC6" w:val="single"/>
        <w:left w:space="0" w:sz="4" w:themeColor="accent6" w:color="F79646" w:val="single"/>
        <w:bottom w:space="0" w:sz="4" w:themeColor="accent6" w:color="F79646" w:val="single"/>
        <w:right w:space="0" w:sz="4" w:themeColor="accent6" w:color="F7964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6" w:fill="FEF4EC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6" w:fill="B65608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6" w:color="B65608" w:val="single"/>
          <w:insideV w:val="nil"/>
        </w:tcBorders>
        <w:shd w:themeFillShade="99" w:themeFill="accent6" w:fill="B65608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6" w:fill="B65608" w:color="auto" w:val="clear"/>
      </w:tcPr>
    </w:tblStylePr>
    <w:tblStylePr w:type="band1Vert">
      <w:tblPr/>
      <w:tcPr>
        <w:shd w:themeFillTint="66" w:themeFill="accent6" w:fill="FBD4B4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true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true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hAnsi="Times New Roman" w:asci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text1" w:fill="000000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text1" w:fill="00000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text1" w:fill="000000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1" w:fill="4F81B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1" w:fill="243F6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1" w:fill="365F91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2" w:fill="C0504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2" w:fill="622423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2" w:fill="943634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3" w:fill="9BBB5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3" w:fill="4E6128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3" w:fill="76923C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4" w:fill="8064A2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4" w:fill="3F3151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4" w:fill="5F497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5" w:fill="4BACC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5" w:fill="205867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5" w:fill="31849B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6" w:fill="F7964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6" w:fill="974706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6" w:fill="E36C0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true" w:styleId="DatumChar" w:type="character">
    <w:name w:val="Datum Char"/>
    <w:basedOn w:val="Zadanifontodlomka"/>
    <w:link w:val="Datum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cs="Tahoma" w:hAnsi="Tahoma" w:ascii="Tahoma"/>
      <w:sz w:val="16"/>
      <w:szCs w:val="16"/>
    </w:rPr>
  </w:style>
  <w:style w:customStyle="true" w:styleId="KartadokumentaChar" w:type="character">
    <w:name w:val="Karta dokumenta Char"/>
    <w:basedOn w:val="Zadanifontodlomka"/>
    <w:link w:val="Kartadokumenta"/>
    <w:uiPriority w:val="99"/>
    <w:rsid w:val="00551CB3"/>
    <w:rPr>
      <w:rFonts w:cs="Tahoma" w:hAnsi="Tahoma" w:asci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true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cstheme="majorBidi" w:eastAsiaTheme="majorEastAsia" w:hAnsiTheme="majorHAnsi" w:asci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true" w:styleId="HTML-adresaChar" w:type="character">
    <w:name w:val="HTML-adresa Char"/>
    <w:basedOn w:val="Zadanifontodlomka"/>
    <w:link w:val="HTML-adresa"/>
    <w:uiPriority w:val="99"/>
    <w:semiHidden/>
    <w:rsid w:val="00551CB3"/>
    <w:rPr>
      <w:rFonts w:hAnsi="Times New Roman" w:asci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cs="Consolas" w:hAnsi="Consolas" w:ascii="Consolas"/>
      <w:sz w:val="20"/>
      <w:szCs w:val="20"/>
    </w:rPr>
  </w:style>
  <w:style w:customStyle="true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cs="Consolas" w:hAnsi="Consolas" w:asci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cs="Consolas" w:hAnsi="Consolas" w:asci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cstheme="majorBidi" w:eastAsiaTheme="majorEastAsia" w:hAnsiTheme="majorHAnsi" w:asci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1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  <w:shd w:themeFillTint="3F" w:themeFill="text1" w:fill="C0C0C0" w:color="auto" w:val="clear"/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  <w:shd w:themeFillTint="3F" w:themeFill="text1" w:fill="C0C0C0" w:color="auto" w:val="clear"/>
      </w:tcPr>
    </w:tblStylePr>
    <w:tblStylePr w:type="band2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1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  <w:shd w:themeFillTint="3F" w:themeFill="accent1" w:fill="D3DFEE" w:color="auto" w:val="clear"/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  <w:shd w:themeFillTint="3F" w:themeFill="accent1" w:fill="D3DFEE" w:color="auto" w:val="clear"/>
      </w:tcPr>
    </w:tblStylePr>
    <w:tblStylePr w:type="band2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1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  <w:shd w:themeFillTint="3F" w:themeFill="accent2" w:fill="EFD3D2" w:color="auto" w:val="clear"/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  <w:shd w:themeFillTint="3F" w:themeFill="accent2" w:fill="EFD3D2" w:color="auto" w:val="clear"/>
      </w:tcPr>
    </w:tblStylePr>
    <w:tblStylePr w:type="band2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1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  <w:shd w:themeFillTint="3F" w:themeFill="accent3" w:fill="E6EED5" w:color="auto" w:val="clear"/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  <w:shd w:themeFillTint="3F" w:themeFill="accent3" w:fill="E6EED5" w:color="auto" w:val="clear"/>
      </w:tcPr>
    </w:tblStylePr>
    <w:tblStylePr w:type="band2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1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  <w:shd w:themeFillTint="3F" w:themeFill="accent4" w:fill="DFD8E8" w:color="auto" w:val="clear"/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  <w:shd w:themeFillTint="3F" w:themeFill="accent4" w:fill="DFD8E8" w:color="auto" w:val="clear"/>
      </w:tcPr>
    </w:tblStylePr>
    <w:tblStylePr w:type="band2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1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  <w:shd w:themeFillTint="3F" w:themeFill="accent5" w:fill="D2EAF1" w:color="auto" w:val="clear"/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  <w:shd w:themeFillTint="3F" w:themeFill="accent5" w:fill="D2EAF1" w:color="auto" w:val="clear"/>
      </w:tcPr>
    </w:tblStylePr>
    <w:tblStylePr w:type="band2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1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  <w:shd w:themeFillTint="3F" w:themeFill="accent6" w:fill="FDE4D0" w:color="auto" w:val="clear"/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  <w:shd w:themeFillTint="3F" w:themeFill="accent6" w:fill="FDE4D0" w:color="auto" w:val="clear"/>
      </w:tcPr>
    </w:tblStylePr>
    <w:tblStylePr w:type="band2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1" w:val="365F91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2" w:val="943634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3" w:val="76923C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4" w:val="5F497A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5" w:val="31849B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6" w:val="E36C0A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lineRule="auto" w:line="240" w:after="0"/>
    </w:pPr>
    <w:rPr>
      <w:rFonts w:cs="Consolas" w:hAnsi="Consolas" w:ascii="Consolas"/>
      <w:sz w:val="20"/>
      <w:szCs w:val="20"/>
    </w:rPr>
  </w:style>
  <w:style w:customStyle="true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cs="Consolas" w:hAnsi="Consolas" w:asci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  <w:insideV w:space="0" w:sz="8" w:themeTint="BF" w:themeColor="text1" w:color="404040" w:val="single"/>
      </w:tblBorders>
    </w:tblPr>
    <w:tcPr>
      <w:shd w:themeFillTint="3F" w:themeFill="text1" w:fill="C0C0C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text1" w:color="40404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  <w:insideV w:space="0" w:sz="8" w:themeTint="BF" w:themeColor="accent1" w:color="7BA0CD" w:val="single"/>
      </w:tblBorders>
    </w:tblPr>
    <w:tcPr>
      <w:shd w:themeFillTint="3F" w:themeFill="accent1" w:fill="D3DFEE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1" w:color="7BA0C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  <w:insideV w:space="0" w:sz="8" w:themeTint="BF" w:themeColor="accent2" w:color="CF7B79" w:val="single"/>
      </w:tblBorders>
    </w:tblPr>
    <w:tcPr>
      <w:shd w:themeFillTint="3F" w:themeFill="accent2" w:fill="EFD3D2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2" w:color="CF7B7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  <w:insideV w:space="0" w:sz="8" w:themeTint="BF" w:themeColor="accent3" w:color="B3CC82" w:val="single"/>
      </w:tblBorders>
    </w:tblPr>
    <w:tcPr>
      <w:shd w:themeFillTint="3F" w:themeFill="accent3" w:fill="E6EED5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3" w:color="B3CC8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  <w:insideV w:space="0" w:sz="8" w:themeTint="BF" w:themeColor="accent4" w:color="9F8AB9" w:val="single"/>
      </w:tblBorders>
    </w:tblPr>
    <w:tcPr>
      <w:shd w:themeFillTint="3F" w:themeFill="accent4" w:fill="DFD8E8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4" w:color="9F8AB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  <w:insideV w:space="0" w:sz="8" w:themeTint="BF" w:themeColor="accent5" w:color="78C0D4" w:val="single"/>
      </w:tblBorders>
    </w:tblPr>
    <w:tcPr>
      <w:shd w:themeFillTint="3F" w:themeFill="accent5" w:fill="D2EAF1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5" w:color="78C0D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  <w:insideV w:space="0" w:sz="8" w:themeTint="BF" w:themeColor="accent6" w:color="F9B074" w:val="single"/>
      </w:tblBorders>
    </w:tblPr>
    <w:tcPr>
      <w:shd w:themeFillTint="3F" w:themeFill="accent6" w:fill="FDE4D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6" w:color="F9B07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cPr>
      <w:shd w:themeFillTint="3F" w:themeFill="text1" w:fill="C0C0C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text1" w:fill="E6E6E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text1" w:fill="CCCCCC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tcBorders>
          <w:insideH w:space="0" w:sz="6" w:themeColor="text1" w:color="000000" w:val="single"/>
          <w:insideV w:space="0" w:sz="6" w:themeColor="text1" w:color="000000" w:val="single"/>
        </w:tcBorders>
        <w:shd w:themeFillTint="7F" w:themeFill="text1" w:fill="80808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1" w:fill="EDF2F8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1" w:fill="DBE5F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tcBorders>
          <w:insideH w:space="0" w:sz="6" w:themeColor="accent1" w:color="4F81BD" w:val="single"/>
          <w:insideV w:space="0" w:sz="6" w:themeColor="accent1" w:color="4F81BD" w:val="single"/>
        </w:tcBorders>
        <w:shd w:themeFillTint="7F" w:themeFill="accent1" w:fill="A7BFDE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2" w:fill="F8EDED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2" w:fill="F2DBDB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tcBorders>
          <w:insideH w:space="0" w:sz="6" w:themeColor="accent2" w:color="C0504D" w:val="single"/>
          <w:insideV w:space="0" w:sz="6" w:themeColor="accent2" w:color="C0504D" w:val="single"/>
        </w:tcBorders>
        <w:shd w:themeFillTint="7F" w:themeFill="accent2" w:fill="DFA7A6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3" w:fill="F5F8EE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3" w:fill="EAF1DD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tcBorders>
          <w:insideH w:space="0" w:sz="6" w:themeColor="accent3" w:color="9BBB59" w:val="single"/>
          <w:insideV w:space="0" w:sz="6" w:themeColor="accent3" w:color="9BBB59" w:val="single"/>
        </w:tcBorders>
        <w:shd w:themeFillTint="7F" w:themeFill="accent3" w:fill="CDDDAC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4" w:fill="F2EFF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4" w:fill="E5DFEC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tcBorders>
          <w:insideH w:space="0" w:sz="6" w:themeColor="accent4" w:color="8064A2" w:val="single"/>
          <w:insideV w:space="0" w:sz="6" w:themeColor="accent4" w:color="8064A2" w:val="single"/>
        </w:tcBorders>
        <w:shd w:themeFillTint="7F" w:themeFill="accent4" w:fill="BFB1D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5" w:fill="EDF6F9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5" w:fill="DAEEF3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tcBorders>
          <w:insideH w:space="0" w:sz="6" w:themeColor="accent5" w:color="4BACC6" w:val="single"/>
          <w:insideV w:space="0" w:sz="6" w:themeColor="accent5" w:color="4BACC6" w:val="single"/>
        </w:tcBorders>
        <w:shd w:themeFillTint="7F" w:themeFill="accent5" w:fill="A5D5E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6" w:fill="FEF4EC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6" w:fill="FDE9D9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tcBorders>
          <w:insideH w:space="0" w:sz="6" w:themeColor="accent6" w:color="F79646" w:val="single"/>
          <w:insideV w:space="0" w:sz="6" w:themeColor="accent6" w:color="F79646" w:val="single"/>
        </w:tcBorders>
        <w:shd w:themeFillTint="7F" w:themeFill="accent6" w:fill="FBCAA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text1" w:fill="C0C0C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text1" w:fill="80808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text1" w:fill="808080" w:color="auto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1" w:fill="A7BFDE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1" w:fill="A7BFDE" w:color="auto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2" w:fill="DFA7A6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2" w:fill="DFA7A6" w:color="auto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3" w:fill="CDDDAC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3" w:fill="CDDDAC" w:color="auto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4" w:fill="BFB1D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4" w:fill="BFB1D0" w:color="auto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5" w:fill="A5D5E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5" w:fill="A5D5E2" w:color="auto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6" w:fill="FBCAA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6" w:fill="FBCAA2" w:color="auto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text1" w:color="000000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shd w:themeFillTint="3F" w:themeFill="text1" w:fill="C0C0C0" w:color="auto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1" w:color="4F81B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shd w:themeFillTint="3F" w:themeFill="accent1" w:fill="D3DFEE" w:color="auto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2" w:color="C0504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shd w:themeFillTint="3F" w:themeFill="accent2" w:fill="EFD3D2" w:color="auto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3" w:color="9BBB59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shd w:themeFillTint="3F" w:themeFill="accent3" w:fill="E6EED5" w:color="auto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4" w:color="8064A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shd w:themeFillTint="3F" w:themeFill="accent4" w:fill="DFD8E8" w:color="auto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5" w:color="4BACC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shd w:themeFillTint="3F" w:themeFill="accent5" w:fill="D2EAF1" w:color="auto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6" w:color="F7964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shd w:themeFillTint="3F" w:themeFill="accent6" w:fill="FDE4D0" w:color="auto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text1" w:color="000000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text1" w:color="000000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text1" w:color="000000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text1" w:fill="C0C0C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1" w:color="4F81B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1" w:color="4F81B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1" w:color="4F81B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1" w:color="4F81B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1" w:fill="D3DFEE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2" w:color="C0504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2" w:color="C0504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2" w:color="C0504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2" w:fill="EFD3D2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3" w:color="9BBB59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3" w:color="9BBB59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3" w:color="9BBB59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3" w:fill="E6EED5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4" w:color="8064A2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4" w:color="8064A2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4" w:color="8064A2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4" w:fill="DFD8E8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5" w:color="4BACC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5" w:color="4BACC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5" w:color="4BACC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5" w:fill="D2EAF1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6" w:color="F7964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6" w:color="F7964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6" w:color="F7964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6" w:fill="FDE4D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text1" w:color="404040" w:val="sing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text1" w:color="404040" w:val="doub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text1" w:fill="C0C0C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1" w:color="7BA0CD" w:val="sing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1" w:color="7BA0CD" w:val="doub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1" w:fill="D3DFEE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2" w:color="CF7B79" w:val="sing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2" w:color="CF7B79" w:val="doub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2" w:fill="EFD3D2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3" w:color="B3CC82" w:val="sing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3" w:color="B3CC82" w:val="doub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3" w:fill="E6EED5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4" w:color="9F8AB9" w:val="sing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4" w:color="9F8AB9" w:val="doub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4" w:fill="DFD8E8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5" w:color="78C0D4" w:val="sing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5" w:color="78C0D4" w:val="doub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5" w:fill="D2EAF1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6" w:color="F9B074" w:val="sing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6" w:color="F9B074" w:val="doub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6" w:fill="FDE4D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space="1" w:sz="6" w:color="auto" w:val="single"/>
        <w:left w:space="1" w:sz="6" w:color="auto" w:val="single"/>
        <w:bottom w:space="1" w:sz="6" w:color="auto" w:val="single"/>
        <w:right w:space="1" w:sz="6" w:color="auto" w:val="single"/>
      </w:pBdr>
      <w:shd w:fill="auto" w:color="auto" w:val="pct20"/>
      <w:spacing w:after="0"/>
      <w:ind w:hanging="1134" w:left="1134"/>
    </w:pPr>
    <w:rPr>
      <w:rFonts w:cstheme="majorBidi" w:eastAsiaTheme="majorEastAsia" w:hAnsiTheme="majorHAnsi" w:asciiTheme="majorHAnsi"/>
    </w:rPr>
  </w:style>
  <w:style w:customStyle="true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cstheme="majorBidi" w:eastAsiaTheme="majorEastAsia" w:hAnsiTheme="majorHAnsi" w:asciiTheme="majorHAnsi"/>
      <w:sz w:val="24"/>
      <w:szCs w:val="24"/>
      <w:shd w:fill="auto" w:color="auto" w:val="pct20"/>
      <w:lang w:val="hr-HR"/>
    </w:rPr>
  </w:style>
  <w:style w:customStyle="true" w:styleId="NormalDefault" w:type="paragraph">
    <w:name w:val="Normal_Default"/>
    <w:basedOn w:val="Normal"/>
    <w:link w:val="NormalDefaultChar"/>
    <w:rsid w:val="00EB0D4C"/>
  </w:style>
  <w:style w:customStyle="true" w:styleId="NormalDefaultChar" w:type="character">
    <w:name w:val="Normal_Default Char"/>
    <w:basedOn w:val="Zadanifontodlomka"/>
    <w:link w:val="NormalDefault"/>
    <w:rsid w:val="00EB0D4C"/>
    <w:rPr>
      <w:rFonts w:hAnsi="Times New Roman" w:asci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true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cs="Consolas" w:hAnsi="Consolas" w:ascii="Consolas"/>
      <w:sz w:val="21"/>
      <w:szCs w:val="21"/>
    </w:rPr>
  </w:style>
  <w:style w:customStyle="true" w:styleId="ObinitekstChar" w:type="character">
    <w:name w:val="Obični tekst Char"/>
    <w:basedOn w:val="Zadanifontodlomka"/>
    <w:link w:val="Obinitekst"/>
    <w:uiPriority w:val="99"/>
    <w:semiHidden/>
    <w:rsid w:val="00551CB3"/>
    <w:rPr>
      <w:rFonts w:cs="Consolas" w:hAnsi="Consolas" w:asci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true" w:styleId="PozdravChar" w:type="character">
    <w:name w:val="Pozdrav Char"/>
    <w:basedOn w:val="Zadanifontodlomka"/>
    <w:link w:val="Pozdrav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true" w:styleId="PotpisChar" w:type="character">
    <w:name w:val="Potpis Char"/>
    <w:basedOn w:val="Zadanifontodlomka"/>
    <w:link w:val="Potpis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cPr>
      <w:shd w:fill="FFFFFF" w:color="C0C0C0" w:val="solid"/>
    </w:tcPr>
    <w:tblStylePr w:type="firstRow">
      <w:rPr>
        <w:b/>
        <w:bCs/>
        <w:color w:val="800080"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neCell">
      <w:tblPr/>
      <w:tcPr>
        <w:tcBorders>
          <w:left w:space="0" w:sz="0" w:color="auto" w:val="none"/>
          <w:bottom w:space="0" w:sz="0" w:color="auto" w:val="none"/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bottom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  <w:tblStylePr w:type="seCell">
      <w:tblPr/>
      <w:tcPr>
        <w:tcBorders>
          <w:top w:space="0" w:sz="0" w:color="auto" w:val="none"/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op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cPr>
      <w:shd w:fill="FFFFFF" w:color="C0C0C0" w:val="solid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C0C0C0" w:val="pct50"/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000080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FFFFFF" w:color="C0C0C0" w:val="solid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color w:val="000080"/>
      </w:rPr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FFFFFF" w:val="solid"/>
      </w:tcPr>
    </w:tblStylePr>
    <w:tblStylePr w:type="firstCol">
      <w:rPr>
        <w:b/>
        <w:bCs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6" w:color="000000" w:val="single"/>
        <w:bottom w:space="0" w:sz="12" w:color="000000" w:val="single"/>
        <w:right w:space="0" w:sz="6" w:color="000000" w:val="single"/>
      </w:tblBorders>
    </w:tblPr>
    <w:tcPr>
      <w:shd w:fill="auto" w:color="auto" w:val="clear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pct50"/>
      </w:tcPr>
    </w:tblStylePr>
    <w:tblStylePr w:type="lastRow">
      <w:rPr>
        <w:color w:val="00008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00" w:val="pct50"/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FFFFFF"/>
      <w:sz w:val="24"/>
      <w:szCs w:val="24"/>
    </w:rPr>
    <w:tblPr>
      <w:tblBorders>
        <w:top w:space="0" w:sz="12" w:color="008080" w:val="single"/>
        <w:left w:space="0" w:sz="12" w:color="008080" w:val="single"/>
        <w:bottom w:space="0" w:sz="12" w:color="008080" w:val="single"/>
        <w:right w:space="0" w:sz="12" w:color="008080" w:val="single"/>
        <w:insideH w:space="0" w:sz="6" w:color="00FFFF" w:val="single"/>
      </w:tblBorders>
    </w:tblPr>
    <w:tcPr>
      <w:shd w:fill="FFFFFF" w:color="008080" w:val="solid"/>
    </w:tcPr>
    <w:tblStylePr w:type="firstRow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bottom w:space="0" w:sz="12" w:color="000000" w:val="single"/>
      </w:tblBorders>
    </w:tblPr>
    <w:tcPr>
      <w:shd w:fill="FFFFFF" w:color="FFFF00" w:val="pct20"/>
    </w:tcPr>
    <w:tblStylePr w:type="firstRow">
      <w:rPr>
        <w:b/>
        <w:bCs/>
        <w:i/>
        <w:i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8" w:color="000000" w:val="single"/>
        <w:left w:space="0" w:sz="18" w:color="000000" w:val="single"/>
        <w:bottom w:space="0" w:sz="18" w:color="000000" w:val="single"/>
        <w:right w:space="0" w:sz="18" w:color="000000" w:val="single"/>
        <w:insideH w:space="0" w:sz="6" w:color="C0C0C0" w:val="single"/>
      </w:tblBorders>
    </w:tblPr>
    <w:tcPr>
      <w:shd w:fill="FFFFFF" w:color="008080" w:val="pct25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firstCol">
      <w:tblPr/>
      <w:tcPr>
        <w:tcBorders>
          <w:left w:space="0" w:sz="36" w:color="000000" w:val="single"/>
          <w:right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nwCell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blStylePr w:type="firstRow">
      <w:rPr>
        <w:b w:val="false"/>
        <w:bCs w:val="false"/>
      </w:rPr>
      <w:tblPr/>
      <w:tcPr>
        <w:tcBorders>
          <w:bottom w:space="0" w:sz="6" w:color="000000" w:val="doub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25"/>
      </w:tcPr>
    </w:tblStylePr>
    <w:tblStylePr w:type="band2Vert">
      <w:rPr>
        <w:color w:val="auto"/>
      </w:rPr>
      <w:tblPr/>
      <w:tcPr>
        <w:shd w:fill="FFFFFF" w:color="FF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30"/>
      </w:tcPr>
    </w:tblStylePr>
    <w:tblStylePr w:type="band2Vert">
      <w:rPr>
        <w:color w:val="auto"/>
      </w:rPr>
      <w:tblPr/>
      <w:tcPr>
        <w:shd w:fill="FFFFFF" w:color="00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V w:space="0" w:sz="6" w:color="000080" w:val="single"/>
      </w:tblBorders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op w:space="0" w:sz="6" w:color="000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000000" w:val="pct10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8080" w:val="pct50"/>
      </w:tcPr>
    </w:tblStylePr>
    <w:tblStylePr w:type="band2Vert">
      <w:rPr>
        <w:color w:val="auto"/>
      </w:rPr>
      <w:tblPr/>
      <w:tcPr>
        <w:shd w:fill="FFFFFF" w:color="000000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  <w:tblBorders>
        <w:top w:space="0" w:sz="12" w:color="808080" w:val="single"/>
        <w:left w:space="0" w:sz="12" w:color="808080" w:val="single"/>
        <w:bottom w:space="0" w:sz="12" w:color="808080" w:val="single"/>
        <w:right w:space="0" w:sz="12" w:color="808080" w:val="single"/>
        <w:insideV w:space="0" w:sz="6" w:color="C0C0C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insideH w:space="0" w:sz="18" w:color="FFFFFF" w:val="single"/>
        <w:insideV w:space="0" w:sz="18" w:color="FFFFFF" w:val="single"/>
      </w:tblBorders>
    </w:tbl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5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double"/>
        <w:left w:space="0" w:sz="6" w:color="000000" w:val="double"/>
        <w:bottom w:space="0" w:sz="6" w:color="000000" w:val="double"/>
        <w:right w:space="0" w:sz="6" w:color="000000" w:val="doub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ap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lastRow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12" w:color="000000" w:val="single"/>
        <w:bottom w:space="0" w:sz="6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olor w:val="auto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 w:val="false"/>
        <w:bCs w:val="false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H w:space="0" w:sz="6" w:color="000080" w:val="single"/>
        <w:insideV w:space="0" w:sz="6" w:color="00008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80" w:val="single"/>
        <w:left w:space="0" w:sz="6" w:color="008080" w:val="single"/>
        <w:bottom w:space="0" w:sz="12" w:color="008080" w:val="single"/>
        <w:right w:space="0" w:sz="6" w:color="008080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2"/>
      <w:tblBorders>
        <w:bottom w:space="0" w:sz="12" w:color="808080" w:val="single"/>
      </w:tblBorders>
    </w:tblPr>
    <w:tblStylePr w:type="firstRow">
      <w:rPr>
        <w:b/>
        <w:b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008000" w:color="008080" w:val="pct75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FF00" w:val="pct20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000080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8080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</w:tblBorders>
    </w:tblPr>
    <w:tcPr>
      <w:shd w:fill="FFFFFF" w:color="000000" w:val="pct50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l2br w:space="0" w:sz="0" w:color="auto" w:val="none"/>
          <w:tr2bl w:space="0" w:sz="0" w:color="auto" w:val="none"/>
        </w:tcBorders>
        <w:shd w:fill="FFFFFF" w:color="000000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00" w:val="single"/>
        <w:left w:space="0" w:sz="6" w:color="008000" w:val="single"/>
        <w:bottom w:space="0" w:sz="12" w:color="008000" w:val="single"/>
        <w:right w:space="0" w:sz="6" w:color="008000" w:val="single"/>
        <w:insideH w:space="0" w:sz="6" w:color="000000" w:val="single"/>
      </w:tblBorders>
    </w:tblPr>
    <w:tblStylePr w:type="firstRow">
      <w:rPr>
        <w:b/>
        <w:bCs/>
      </w:rPr>
      <w:tblPr/>
      <w:tcPr>
        <w:tcBorders>
          <w:bottom w:space="0" w:sz="12" w:color="008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rPr>
        <w:b/>
        <w:bCs/>
      </w:rPr>
      <w:tblPr/>
      <w:tcPr>
        <w:tcBorders>
          <w:top w:space="0" w:sz="12" w:color="008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V w:space="0" w:sz="6" w:color="00000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solid"/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0000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8000" w:val="single"/>
        <w:bottom w:space="0" w:sz="12" w:color="008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8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008000" w:val="single"/>
          <w:tl2br w:space="0" w:sz="0" w:color="auto" w:val="none"/>
          <w:tr2bl w:space="0" w:sz="0" w:color="auto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lef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</w:rPr>
      <w:tblPr/>
      <w:tcPr>
        <w:tcBorders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op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blStylePr w:type="firstRow">
      <w:tblPr/>
      <w:tcPr>
        <w:tcBorders>
          <w:top w:space="0" w:sz="6" w:color="000000" w:val="single"/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800080" w:val="pct25"/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6" w:color="000000" w:val="single"/>
        <w:right w:space="0" w:sz="6" w:color="000000" w:val="single"/>
      </w:tblBorders>
    </w:tbl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  <w:shd w:fill="FFFFFF" w:color="008000" w:val="pct25"/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outset"/>
        <w:left w:space="0" w:sz="6" w:color="auto" w:val="outset"/>
        <w:bottom w:space="0" w:sz="6" w:color="auto" w:val="outset"/>
        <w:right w:space="0" w:sz="6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inset"/>
        <w:left w:space="0" w:sz="6" w:color="auto" w:val="inset"/>
        <w:bottom w:space="0" w:sz="6" w:color="auto" w:val="inset"/>
        <w:right w:space="0" w:sz="6" w:color="auto" w:val="inset"/>
        <w:insideH w:space="0" w:sz="6" w:color="auto" w:val="inset"/>
        <w:insideV w:space="0" w:sz="6" w:color="auto" w:val="in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24" w:color="auto" w:val="outset"/>
        <w:left w:space="0" w:sz="24" w:color="auto" w:val="outset"/>
        <w:bottom w:space="0" w:sz="24" w:color="auto" w:val="outset"/>
        <w:right w:space="0" w:sz="24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cstheme="majorBidi" w:eastAsiaTheme="majorEastAsia" w:hAnsiTheme="majorHAnsi" w:asciiTheme="majorHAnsi"/>
      <w:b/>
      <w:bCs/>
    </w:rPr>
  </w:style>
  <w:style w:styleId="Sadraj1" w:type="paragraph">
    <w:name w:val="toc 1"/>
    <w:basedOn w:val="Normal"/>
    <w:next w:val="Normal"/>
    <w:autoRedefine/>
    <w:uiPriority w:val="3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3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3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39"/>
    <w:semiHidden/>
    <w:unhideWhenUsed/>
    <w:qFormat/>
    <w:rsid w:val="00551CB3"/>
    <w:pPr>
      <w:spacing w:after="0"/>
      <w:outlineLvl w:val="9"/>
    </w:pPr>
    <w:rPr>
      <w:rFonts w:hAnsiTheme="majorHAnsi" w:asciiTheme="majorHAnsi"/>
    </w:rPr>
  </w:style>
  <w:style w:customStyle="true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true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NacrtChar" w:type="character">
    <w:name w:val="Izvornik_Nacrt Char"/>
    <w:basedOn w:val="Zadanifontodlomka"/>
    <w:link w:val="IzvornikNacrt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true" w:styleId="IzvornikObradaChar" w:type="character">
    <w:name w:val="Izvornik_Obrada Char"/>
    <w:basedOn w:val="Zadanifontodlomka"/>
    <w:link w:val="IzvornikObrada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SavjetnikChar" w:type="character">
    <w:name w:val="Izvornik_Savjetnik Char"/>
    <w:basedOn w:val="Zadanifontodlomka"/>
    <w:link w:val="IzvornikSavjetnik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true" w:styleId="IzvornikSavjetnikPotpisChar" w:type="character">
    <w:name w:val="Izvornik_SavjetnikPotpis Char"/>
    <w:basedOn w:val="Zadanifontodlomka"/>
    <w:link w:val="IzvornikSavjetnikPotpis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true" w:styleId="IzvornikZapisniarChar" w:type="character">
    <w:name w:val="Izvornik_Zapisničar Char"/>
    <w:basedOn w:val="Zadanifontodlomka"/>
    <w:link w:val="IzvornikZapisniar"/>
    <w:rsid w:val="00EB0D4C"/>
    <w:rPr>
      <w:rFonts w:cs="Times New Roman" w:eastAsia="Calibri" w:hAnsi="Times New Roman" w:ascii="Times New Roman"/>
      <w:color w:val="000000"/>
      <w:sz w:val="24"/>
      <w:szCs w:val="24"/>
      <w:lang w:eastAsia="hr-HR" w:val="hr-HR"/>
    </w:rPr>
  </w:style>
  <w:style w:customStyle="true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true" w:styleId="IzvornikZapisniarPotpisChar" w:type="character">
    <w:name w:val="Izvornik_ZapisničarPotpis Char"/>
    <w:basedOn w:val="Zadanifontodlomka"/>
    <w:link w:val="IzvornikZapisniarPotpis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ListaeSPIS" w:type="paragraph">
    <w:name w:val="Lista_eSPIS"/>
    <w:basedOn w:val="NormaleSPIS"/>
    <w:link w:val="ListaeSPISChar"/>
    <w:qFormat/>
    <w:rsid w:val="00EB0D4C"/>
    <w:pPr>
      <w:numPr>
        <w:numId w:val="34"/>
      </w:numPr>
    </w:pPr>
  </w:style>
  <w:style w:customStyle="true" w:styleId="ListaeSPISChar" w:type="character">
    <w:name w:val="Lista_eSPIS Char"/>
    <w:basedOn w:val="NormaleSPISChar"/>
    <w:link w:val="Lista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true" w:styleId="NormalJustifiedChar" w:type="character">
    <w:name w:val="Normal_Justified Char"/>
    <w:basedOn w:val="Zadanifontodlomka"/>
    <w:link w:val="NormalJustified"/>
    <w:rsid w:val="00EB0D4C"/>
    <w:rPr>
      <w:rFonts w:hAnsi="Times New Roman" w:ascii="Times New Roman"/>
      <w:sz w:val="24"/>
      <w:szCs w:val="24"/>
      <w:lang w:val="hr-HR"/>
    </w:rPr>
  </w:style>
  <w:style w:customStyle="true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true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true" w:styleId="UputatekstChar" w:type="character">
    <w:name w:val="Uputa_tekst Char"/>
    <w:basedOn w:val="NormalJustifiedChar"/>
    <w:link w:val="Uputatekst"/>
    <w:rsid w:val="00EB0D4C"/>
    <w:rPr>
      <w:rFonts w:hAnsi="Times New Roman" w:ascii="Times New Roman"/>
      <w:sz w:val="24"/>
      <w:szCs w:val="24"/>
      <w:lang w:val="hr-HR"/>
    </w:rPr>
  </w:style>
  <w:style w:customStyle="true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true" w:styleId="Pravnastvar1Char" w:type="character">
    <w:name w:val="Pravna stvar1 Char"/>
    <w:basedOn w:val="Zadanifontodlomka"/>
    <w:link w:val="Pravnastvar1"/>
    <w:rsid w:val="00EB0D4C"/>
    <w:rPr>
      <w:rFonts w:hAnsi="Times New Roman" w:ascii="Times New Roman"/>
      <w:sz w:val="24"/>
      <w:szCs w:val="24"/>
      <w:lang w:val="hr-HR"/>
    </w:rPr>
  </w:style>
  <w:style w:customStyle="true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true" w:styleId="Pravnastvar2Char" w:type="character">
    <w:name w:val="Pravna stvar2 Char"/>
    <w:basedOn w:val="Pravnastvar1Char"/>
    <w:link w:val="Pravnastvar2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  <w:style w:customStyle="true" w:styleId="Bezpopisa1" w:type="numbering">
    <w:name w:val="Bez popisa1"/>
    <w:next w:val="Bezpopisa"/>
    <w:uiPriority w:val="99"/>
    <w:semiHidden/>
    <w:unhideWhenUsed/>
    <w:rsid w:val="006252DC"/>
  </w:style>
  <w:style w:customStyle="true" w:styleId="kontakt" w:type="paragraph">
    <w:name w:val="kontakt"/>
    <w:basedOn w:val="Normal"/>
    <w:uiPriority w:val="99"/>
    <w:rsid w:val="006252DC"/>
    <w:pPr>
      <w:spacing w:afterAutospacing="true" w:after="100" w:beforeAutospacing="true" w:before="100"/>
    </w:pPr>
    <w:rPr>
      <w:rFonts w:cs="Times New Roman" w:eastAsia="Times New Roman"/>
      <w:lang w:eastAsia="hr-HR"/>
    </w:rPr>
  </w:style>
  <w:style w:customStyle="true" w:styleId="contenttext" w:type="paragraph">
    <w:name w:val="contenttext"/>
    <w:basedOn w:val="Normal"/>
    <w:uiPriority w:val="99"/>
    <w:rsid w:val="006252DC"/>
    <w:pPr>
      <w:spacing w:afterAutospacing="true" w:after="100" w:beforeAutospacing="true" w:before="100"/>
      <w:jc w:val="both"/>
    </w:pPr>
    <w:rPr>
      <w:rFonts w:cs="Arial" w:eastAsia="Times New Roman" w:hAnsi="Arial" w:ascii="Arial"/>
      <w:color w:val="666666"/>
      <w:sz w:val="15"/>
      <w:szCs w:val="15"/>
      <w:lang w:eastAsia="hr-HR"/>
    </w:rPr>
  </w:style>
  <w:style w:customStyle="true" w:styleId="datum0" w:type="paragraph">
    <w:name w:val="datum"/>
    <w:basedOn w:val="Normal"/>
    <w:uiPriority w:val="99"/>
    <w:rsid w:val="006252DC"/>
    <w:pPr>
      <w:spacing w:afterAutospacing="true" w:after="100" w:beforeAutospacing="true" w:before="100"/>
    </w:pPr>
    <w:rPr>
      <w:rFonts w:cs="Arial" w:eastAsia="Times New Roman" w:hAnsi="Arial" w:ascii="Arial"/>
      <w:color w:val="800000"/>
      <w:sz w:val="20"/>
      <w:szCs w:val="20"/>
      <w:lang w:eastAsia="hr-HR"/>
    </w:rPr>
  </w:style>
  <w:style w:customStyle="true" w:styleId="c5" w:type="paragraph">
    <w:name w:val="c5"/>
    <w:basedOn w:val="Normal"/>
    <w:uiPriority w:val="99"/>
    <w:rsid w:val="006252DC"/>
    <w:pPr>
      <w:spacing w:lineRule="atLeast" w:line="330" w:after="270" w:beforeAutospacing="true" w:before="100"/>
      <w:jc w:val="both"/>
    </w:pPr>
    <w:rPr>
      <w:rFonts w:cs="Times New Roman" w:eastAsia="Times New Roman" w:hAnsi="Georgia" w:ascii="Georgia"/>
      <w:color w:val="000000"/>
      <w:sz w:val="21"/>
      <w:szCs w:val="21"/>
      <w:lang w:eastAsia="hr-HR"/>
    </w:rPr>
  </w:style>
  <w:style w:customStyle="true" w:styleId="ap1" w:type="paragraph">
    <w:name w:val="ap1"/>
    <w:basedOn w:val="Normal"/>
    <w:uiPriority w:val="99"/>
    <w:rsid w:val="006252DC"/>
    <w:pPr>
      <w:spacing w:lineRule="atLeast" w:line="217" w:after="0"/>
      <w:ind w:right="149" w:left="149"/>
    </w:pPr>
    <w:rPr>
      <w:rFonts w:cs="Times New Roman" w:eastAsia="Times New Roman"/>
      <w:color w:val="1D1C1C"/>
      <w:lang w:eastAsia="hr-HR"/>
    </w:rPr>
  </w:style>
  <w:style w:customStyle="true" w:styleId="itemhead" w:type="paragraph">
    <w:name w:val="itemhead"/>
    <w:basedOn w:val="Normal"/>
    <w:uiPriority w:val="99"/>
    <w:rsid w:val="006252DC"/>
    <w:pPr>
      <w:spacing w:afterAutospacing="true" w:after="100" w:beforeAutospacing="true" w:before="100"/>
    </w:pPr>
    <w:rPr>
      <w:rFonts w:cs="Times New Roman" w:eastAsia="Times New Roman"/>
      <w:lang w:eastAsia="hr-HR"/>
    </w:rPr>
  </w:style>
  <w:style w:customStyle="true" w:styleId="SubtleEmphasis2" w:type="paragraph">
    <w:name w:val="Subtle Emphasis2"/>
    <w:basedOn w:val="Normal"/>
    <w:uiPriority w:val="34"/>
    <w:qFormat/>
    <w:rsid w:val="006252DC"/>
    <w:pPr>
      <w:spacing w:after="0"/>
      <w:ind w:left="720"/>
      <w:contextualSpacing/>
    </w:pPr>
    <w:rPr>
      <w:rFonts w:cs="Times New Roman" w:eastAsia="Times New Roman"/>
      <w:lang w:eastAsia="hr-HR"/>
    </w:rPr>
  </w:style>
  <w:style w:customStyle="true" w:styleId="c11" w:type="paragraph">
    <w:name w:val="c11"/>
    <w:basedOn w:val="Normal"/>
    <w:uiPriority w:val="99"/>
    <w:rsid w:val="006252DC"/>
    <w:pPr>
      <w:spacing w:after="255" w:beforeAutospacing="true" w:before="100"/>
    </w:pPr>
    <w:rPr>
      <w:rFonts w:cs="Times New Roman" w:eastAsia="Times New Roman" w:hAnsi="Georgia" w:ascii="Georgia"/>
      <w:b/>
      <w:bCs/>
      <w:i/>
      <w:iCs/>
      <w:color w:val="484848"/>
      <w:sz w:val="23"/>
      <w:szCs w:val="23"/>
      <w:lang w:eastAsia="hr-HR"/>
    </w:rPr>
  </w:style>
  <w:style w:customStyle="true" w:styleId="textcisti" w:type="paragraph">
    <w:name w:val="textcisti"/>
    <w:basedOn w:val="Normal"/>
    <w:uiPriority w:val="99"/>
    <w:rsid w:val="006252DC"/>
    <w:pPr>
      <w:spacing w:afterAutospacing="true" w:after="100" w:beforeAutospacing="true" w:before="100"/>
    </w:pPr>
    <w:rPr>
      <w:rFonts w:cs="Times New Roman" w:eastAsia="Times New Roman"/>
      <w:lang w:eastAsia="hr-HR"/>
    </w:rPr>
  </w:style>
  <w:style w:customStyle="true" w:styleId="text" w:type="paragraph">
    <w:name w:val="text"/>
    <w:uiPriority w:val="99"/>
    <w:rsid w:val="006252DC"/>
    <w:pPr>
      <w:widowControl w:val="false"/>
      <w:snapToGrid w:val="false"/>
      <w:spacing w:lineRule="exact" w:line="240" w:after="0" w:before="240"/>
      <w:jc w:val="both"/>
    </w:pPr>
    <w:rPr>
      <w:rFonts w:cs="Times New Roman" w:eastAsia="Times New Roman" w:hAnsi="Arial" w:ascii="Arial"/>
      <w:sz w:val="24"/>
      <w:szCs w:val="20"/>
      <w:lang w:val="cs-CZ"/>
    </w:rPr>
  </w:style>
  <w:style w:customStyle="true" w:styleId="textcslovan" w:type="paragraph">
    <w:name w:val="text císlovaný"/>
    <w:basedOn w:val="text"/>
    <w:uiPriority w:val="99"/>
    <w:rsid w:val="006252DC"/>
    <w:pPr>
      <w:ind w:hanging="567" w:left="567"/>
    </w:pPr>
  </w:style>
  <w:style w:customStyle="true" w:styleId="noparagraphstyle" w:type="paragraph">
    <w:name w:val="noparagraphstyle"/>
    <w:basedOn w:val="Normal"/>
    <w:uiPriority w:val="99"/>
    <w:rsid w:val="006252DC"/>
    <w:pPr>
      <w:spacing w:afterAutospacing="true" w:after="100" w:beforeAutospacing="true" w:before="100"/>
    </w:pPr>
    <w:rPr>
      <w:rFonts w:cs="Times New Roman" w:eastAsia="Times New Roman"/>
      <w:lang w:eastAsia="hr-HR"/>
    </w:rPr>
  </w:style>
  <w:style w:customStyle="true" w:styleId="clanak" w:type="paragraph">
    <w:name w:val="clanak"/>
    <w:basedOn w:val="Normal"/>
    <w:uiPriority w:val="99"/>
    <w:rsid w:val="006252DC"/>
    <w:pPr>
      <w:spacing w:afterAutospacing="true" w:after="100" w:beforeAutospacing="true" w:before="100"/>
    </w:pPr>
    <w:rPr>
      <w:rFonts w:cs="Times New Roman" w:eastAsia="Times New Roman"/>
      <w:lang w:eastAsia="hr-HR"/>
    </w:rPr>
  </w:style>
  <w:style w:customStyle="true" w:styleId="c41" w:type="paragraph">
    <w:name w:val="c41"/>
    <w:basedOn w:val="Normal"/>
    <w:uiPriority w:val="99"/>
    <w:rsid w:val="006252DC"/>
    <w:pPr>
      <w:spacing w:afterAutospacing="true" w:after="100" w:beforeAutospacing="true" w:before="100"/>
    </w:pPr>
    <w:rPr>
      <w:rFonts w:cs="Times New Roman" w:eastAsia="Times New Roman"/>
      <w:lang w:eastAsia="hr-HR"/>
    </w:rPr>
  </w:style>
  <w:style w:customStyle="true" w:styleId="SubtleEmphasis1" w:type="paragraph">
    <w:name w:val="Subtle Emphasis1"/>
    <w:basedOn w:val="Normal"/>
    <w:uiPriority w:val="34"/>
    <w:qFormat/>
    <w:rsid w:val="006252DC"/>
    <w:pPr>
      <w:spacing w:after="0"/>
      <w:ind w:left="708"/>
    </w:pPr>
    <w:rPr>
      <w:rFonts w:cs="Times New Roman" w:eastAsia="Times New Roman"/>
      <w:lang w:eastAsia="hr-HR"/>
    </w:rPr>
  </w:style>
  <w:style w:customStyle="true" w:styleId="MediumShading11" w:type="paragraph">
    <w:name w:val="Medium Shading 11"/>
    <w:basedOn w:val="Normal"/>
    <w:uiPriority w:val="63"/>
    <w:rsid w:val="006252DC"/>
    <w:pPr>
      <w:keepNext/>
      <w:numPr>
        <w:ilvl w:val="5"/>
        <w:numId w:val="45"/>
      </w:numPr>
      <w:spacing w:after="0"/>
      <w:contextualSpacing/>
      <w:outlineLvl w:val="5"/>
    </w:pPr>
    <w:rPr>
      <w:rFonts w:cs="Times New Roman" w:eastAsia="MS Gothic" w:hAnsi="Verdana" w:ascii="Verdana"/>
      <w:lang w:eastAsia="hr-HR"/>
    </w:rPr>
  </w:style>
  <w:style w:customStyle="true" w:styleId="MediumGrid21" w:type="paragraph">
    <w:name w:val="Medium Grid 21"/>
    <w:uiPriority w:val="1"/>
    <w:qFormat/>
    <w:rsid w:val="006252DC"/>
    <w:pPr>
      <w:spacing w:lineRule="auto" w:line="240" w:after="0"/>
    </w:pPr>
    <w:rPr>
      <w:rFonts w:cs="Times New Roman" w:eastAsia="Times New Roman" w:hAnsi="Times New Roman" w:ascii="Times New Roman"/>
      <w:sz w:val="24"/>
      <w:szCs w:val="24"/>
      <w:lang w:eastAsia="hr-HR" w:val="hr-HR"/>
    </w:rPr>
  </w:style>
  <w:style w:customStyle="true" w:styleId="DarkList-Accent51" w:type="paragraph">
    <w:name w:val="Dark List - Accent 51"/>
    <w:basedOn w:val="Normal"/>
    <w:uiPriority w:val="34"/>
    <w:qFormat/>
    <w:rsid w:val="006252DC"/>
    <w:pPr>
      <w:spacing w:after="0"/>
      <w:ind w:left="708"/>
    </w:pPr>
    <w:rPr>
      <w:rFonts w:cs="Times New Roman" w:eastAsia="Times New Roman"/>
      <w:lang w:eastAsia="hr-HR"/>
    </w:rPr>
  </w:style>
  <w:style w:customStyle="true" w:styleId="Textbody" w:type="paragraph">
    <w:name w:val="Text body"/>
    <w:basedOn w:val="Normal"/>
    <w:uiPriority w:val="99"/>
    <w:rsid w:val="006252DC"/>
    <w:pPr>
      <w:widowControl w:val="false"/>
      <w:suppressAutoHyphens/>
      <w:autoSpaceDN w:val="false"/>
      <w:spacing w:after="120"/>
    </w:pPr>
    <w:rPr>
      <w:rFonts w:cs="Mangal" w:eastAsia="Lucida Sans Unicode"/>
      <w:kern w:val="3"/>
      <w:lang w:bidi="hi-IN" w:eastAsia="zh-CN"/>
    </w:rPr>
  </w:style>
  <w:style w:customStyle="true" w:styleId="xl63" w:type="paragraph">
    <w:name w:val="xl63"/>
    <w:basedOn w:val="Normal"/>
    <w:uiPriority w:val="99"/>
    <w:rsid w:val="006252DC"/>
    <w:pPr>
      <w:pBdr>
        <w:left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cs="Times New Roman" w:eastAsia="Times New Roman" w:hAnsi="Times" w:ascii="Times"/>
      <w:sz w:val="20"/>
      <w:szCs w:val="20"/>
      <w:lang w:val="en-US"/>
    </w:rPr>
  </w:style>
  <w:style w:customStyle="true" w:styleId="xl64" w:type="paragraph">
    <w:name w:val="xl64"/>
    <w:basedOn w:val="Normal"/>
    <w:uiPriority w:val="99"/>
    <w:rsid w:val="006252DC"/>
    <w:pPr>
      <w:shd w:fill="C0C0C0" w:color="auto" w:val="clear"/>
      <w:spacing w:afterAutospacing="true" w:after="100" w:beforeAutospacing="true" w:before="100"/>
    </w:pPr>
    <w:rPr>
      <w:rFonts w:cs="Times New Roman" w:eastAsia="Times New Roman" w:hAnsi="Times" w:ascii="Times"/>
      <w:sz w:val="20"/>
      <w:szCs w:val="20"/>
      <w:lang w:val="en-US"/>
    </w:rPr>
  </w:style>
  <w:style w:customStyle="true" w:styleId="xl65" w:type="paragraph">
    <w:name w:val="xl65"/>
    <w:basedOn w:val="Normal"/>
    <w:uiPriority w:val="99"/>
    <w:rsid w:val="006252DC"/>
    <w:pPr>
      <w:pBdr>
        <w:left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cs="Times New Roman" w:eastAsia="Times New Roman" w:hAnsi="Times" w:ascii="Times"/>
      <w:sz w:val="20"/>
      <w:szCs w:val="20"/>
      <w:lang w:val="en-US"/>
    </w:rPr>
  </w:style>
  <w:style w:customStyle="true" w:styleId="xl66" w:type="paragraph">
    <w:name w:val="xl66"/>
    <w:basedOn w:val="Normal"/>
    <w:uiPriority w:val="99"/>
    <w:rsid w:val="006252DC"/>
    <w:pPr>
      <w:pBdr>
        <w:left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cs="Times New Roman" w:eastAsia="Times New Roman" w:hAnsi="Times" w:ascii="Times"/>
      <w:sz w:val="20"/>
      <w:szCs w:val="20"/>
      <w:lang w:val="en-US"/>
    </w:rPr>
  </w:style>
  <w:style w:customStyle="true" w:styleId="xl67" w:type="paragraph">
    <w:name w:val="xl67"/>
    <w:basedOn w:val="Normal"/>
    <w:uiPriority w:val="99"/>
    <w:rsid w:val="006252DC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  <w:jc w:val="center"/>
    </w:pPr>
    <w:rPr>
      <w:rFonts w:cs="Times New Roman" w:eastAsia="Times New Roman" w:hAnsi="Times" w:ascii="Times"/>
      <w:b/>
      <w:bCs/>
      <w:color w:val="000000"/>
      <w:sz w:val="20"/>
      <w:szCs w:val="20"/>
      <w:lang w:val="en-US"/>
    </w:rPr>
  </w:style>
  <w:style w:customStyle="true" w:styleId="xl68" w:type="paragraph">
    <w:name w:val="xl68"/>
    <w:basedOn w:val="Normal"/>
    <w:uiPriority w:val="99"/>
    <w:rsid w:val="006252DC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  <w:jc w:val="center"/>
    </w:pPr>
    <w:rPr>
      <w:rFonts w:cs="Times New Roman" w:eastAsia="Times New Roman" w:hAnsi="Times" w:ascii="Times"/>
      <w:b/>
      <w:bCs/>
      <w:color w:val="000000"/>
      <w:sz w:val="20"/>
      <w:szCs w:val="20"/>
      <w:lang w:val="en-US"/>
    </w:rPr>
  </w:style>
  <w:style w:customStyle="true" w:styleId="xl69" w:type="paragraph">
    <w:name w:val="xl69"/>
    <w:basedOn w:val="Normal"/>
    <w:uiPriority w:val="99"/>
    <w:rsid w:val="006252DC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  <w:jc w:val="right"/>
    </w:pPr>
    <w:rPr>
      <w:rFonts w:cs="Times New Roman" w:eastAsia="Times New Roman" w:hAnsi="Times" w:ascii="Times"/>
      <w:b/>
      <w:bCs/>
      <w:color w:val="000000"/>
      <w:sz w:val="20"/>
      <w:szCs w:val="20"/>
      <w:lang w:val="en-US"/>
    </w:rPr>
  </w:style>
  <w:style w:customStyle="true" w:styleId="xl70" w:type="paragraph">
    <w:name w:val="xl70"/>
    <w:basedOn w:val="Normal"/>
    <w:uiPriority w:val="99"/>
    <w:rsid w:val="006252DC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  <w:jc w:val="center"/>
    </w:pPr>
    <w:rPr>
      <w:rFonts w:cs="Times New Roman" w:eastAsia="Times New Roman" w:hAnsi="Times" w:ascii="Times"/>
      <w:b/>
      <w:bCs/>
      <w:color w:val="000000"/>
      <w:sz w:val="20"/>
      <w:szCs w:val="20"/>
      <w:lang w:val="en-US"/>
    </w:rPr>
  </w:style>
  <w:style w:customStyle="true" w:styleId="xl71" w:type="paragraph">
    <w:name w:val="xl71"/>
    <w:basedOn w:val="Normal"/>
    <w:uiPriority w:val="99"/>
    <w:rsid w:val="006252DC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</w:pPr>
    <w:rPr>
      <w:rFonts w:cs="Times New Roman" w:eastAsia="Times New Roman" w:hAnsi="Times" w:ascii="Times"/>
      <w:sz w:val="20"/>
      <w:szCs w:val="20"/>
      <w:lang w:val="en-US"/>
    </w:rPr>
  </w:style>
  <w:style w:customStyle="true" w:styleId="xl72" w:type="paragraph">
    <w:name w:val="xl72"/>
    <w:basedOn w:val="Normal"/>
    <w:uiPriority w:val="99"/>
    <w:rsid w:val="006252DC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</w:pPr>
    <w:rPr>
      <w:rFonts w:cs="Times New Roman" w:eastAsia="Times New Roman" w:hAnsi="Times" w:ascii="Times"/>
      <w:sz w:val="20"/>
      <w:szCs w:val="20"/>
      <w:lang w:val="en-US"/>
    </w:rPr>
  </w:style>
  <w:style w:customStyle="true" w:styleId="xl73" w:type="paragraph">
    <w:name w:val="xl73"/>
    <w:basedOn w:val="Normal"/>
    <w:uiPriority w:val="99"/>
    <w:rsid w:val="006252DC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</w:pPr>
    <w:rPr>
      <w:rFonts w:cs="Times New Roman" w:eastAsia="Times New Roman" w:hAnsi="Times" w:ascii="Times"/>
      <w:sz w:val="20"/>
      <w:szCs w:val="20"/>
      <w:lang w:val="en-US"/>
    </w:rPr>
  </w:style>
  <w:style w:customStyle="true" w:styleId="xl74" w:type="paragraph">
    <w:name w:val="xl74"/>
    <w:basedOn w:val="Normal"/>
    <w:uiPriority w:val="99"/>
    <w:rsid w:val="006252DC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</w:pPr>
    <w:rPr>
      <w:rFonts w:cs="Tahoma" w:eastAsia="Times New Roman" w:hAnsi="Tahoma" w:ascii="Tahoma"/>
      <w:color w:val="000000"/>
      <w:sz w:val="16"/>
      <w:szCs w:val="16"/>
      <w:lang w:val="en-US"/>
    </w:rPr>
  </w:style>
  <w:style w:customStyle="true" w:styleId="xl75" w:type="paragraph">
    <w:name w:val="xl75"/>
    <w:basedOn w:val="Normal"/>
    <w:uiPriority w:val="99"/>
    <w:rsid w:val="006252DC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</w:pPr>
    <w:rPr>
      <w:rFonts w:cs="Arial" w:eastAsia="Times New Roman" w:hAnsi="Arial" w:ascii="Arial"/>
      <w:color w:val="333333"/>
      <w:lang w:val="en-US"/>
    </w:rPr>
  </w:style>
  <w:style w:customStyle="true" w:styleId="xl76" w:type="paragraph">
    <w:name w:val="xl76"/>
    <w:basedOn w:val="Normal"/>
    <w:uiPriority w:val="99"/>
    <w:rsid w:val="006252DC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</w:pPr>
    <w:rPr>
      <w:rFonts w:cs="Times New Roman" w:eastAsia="Times New Roman" w:hAnsi="Verdana" w:ascii="Verdana"/>
      <w:color w:val="000080"/>
      <w:sz w:val="16"/>
      <w:szCs w:val="16"/>
      <w:lang w:val="en-US"/>
    </w:rPr>
  </w:style>
  <w:style w:customStyle="true" w:styleId="xl77" w:type="paragraph">
    <w:name w:val="xl77"/>
    <w:basedOn w:val="Normal"/>
    <w:uiPriority w:val="99"/>
    <w:rsid w:val="006252DC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hd w:fill="C5D9F1" w:color="auto" w:val="clear"/>
      <w:spacing w:afterAutospacing="true" w:after="100" w:beforeAutospacing="true" w:before="100"/>
      <w:jc w:val="center"/>
    </w:pPr>
    <w:rPr>
      <w:rFonts w:cs="Times New Roman" w:eastAsia="Times New Roman" w:hAnsi="Times" w:ascii="Times"/>
      <w:b/>
      <w:bCs/>
      <w:color w:val="000000"/>
      <w:sz w:val="20"/>
      <w:szCs w:val="20"/>
      <w:lang w:val="en-US"/>
    </w:rPr>
  </w:style>
  <w:style w:customStyle="true" w:styleId="xl78" w:type="paragraph">
    <w:name w:val="xl78"/>
    <w:basedOn w:val="Normal"/>
    <w:uiPriority w:val="99"/>
    <w:rsid w:val="006252DC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hd w:fill="C5D9F1" w:color="auto" w:val="clear"/>
      <w:spacing w:afterAutospacing="true" w:after="100" w:beforeAutospacing="true" w:before="100"/>
      <w:jc w:val="center"/>
    </w:pPr>
    <w:rPr>
      <w:rFonts w:cs="Times New Roman" w:eastAsia="Times New Roman" w:hAnsi="Times" w:ascii="Times"/>
      <w:b/>
      <w:bCs/>
      <w:color w:val="000000"/>
      <w:sz w:val="20"/>
      <w:szCs w:val="20"/>
      <w:lang w:val="en-US"/>
    </w:rPr>
  </w:style>
  <w:style w:customStyle="true" w:styleId="xl79" w:type="paragraph">
    <w:name w:val="xl79"/>
    <w:basedOn w:val="Normal"/>
    <w:uiPriority w:val="99"/>
    <w:rsid w:val="006252DC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hd w:fill="C5D9F1" w:color="auto" w:val="clear"/>
      <w:spacing w:afterAutospacing="true" w:after="100" w:beforeAutospacing="true" w:before="100"/>
      <w:jc w:val="center"/>
    </w:pPr>
    <w:rPr>
      <w:rFonts w:cs="Times New Roman" w:eastAsia="Times New Roman" w:hAnsi="Times" w:ascii="Times"/>
      <w:b/>
      <w:bCs/>
      <w:color w:val="000000"/>
      <w:sz w:val="20"/>
      <w:szCs w:val="20"/>
      <w:lang w:val="en-US"/>
    </w:rPr>
  </w:style>
  <w:style w:customStyle="true" w:styleId="xl80" w:type="paragraph">
    <w:name w:val="xl80"/>
    <w:basedOn w:val="Normal"/>
    <w:uiPriority w:val="99"/>
    <w:rsid w:val="006252DC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hd w:fill="C5D9F1" w:color="auto" w:val="clear"/>
      <w:spacing w:afterAutospacing="true" w:after="100" w:beforeAutospacing="true" w:before="100"/>
      <w:jc w:val="center"/>
    </w:pPr>
    <w:rPr>
      <w:rFonts w:cs="Times New Roman" w:eastAsia="Times New Roman" w:hAnsi="Times" w:ascii="Times"/>
      <w:b/>
      <w:bCs/>
      <w:color w:val="000000"/>
      <w:sz w:val="20"/>
      <w:szCs w:val="20"/>
      <w:lang w:val="en-US"/>
    </w:rPr>
  </w:style>
  <w:style w:customStyle="true" w:styleId="SubtleEmphasis3" w:type="paragraph">
    <w:name w:val="Subtle Emphasis3"/>
    <w:basedOn w:val="Normal"/>
    <w:uiPriority w:val="72"/>
    <w:qFormat/>
    <w:rsid w:val="006252DC"/>
    <w:pPr>
      <w:spacing w:after="0"/>
      <w:ind w:left="720"/>
      <w:contextualSpacing/>
    </w:pPr>
    <w:rPr>
      <w:rFonts w:cs="Times New Roman" w:eastAsia="Times New Roman"/>
      <w:lang w:eastAsia="hr-HR"/>
    </w:rPr>
  </w:style>
  <w:style w:customStyle="true" w:styleId="xl92" w:type="paragraph">
    <w:name w:val="xl92"/>
    <w:basedOn w:val="Normal"/>
    <w:uiPriority w:val="99"/>
    <w:rsid w:val="006252DC"/>
    <w:pPr>
      <w:spacing w:afterAutospacing="true" w:after="100" w:beforeAutospacing="true" w:before="100"/>
    </w:pPr>
    <w:rPr>
      <w:rFonts w:cs="Times New Roman" w:eastAsia="Times New Roman" w:hAnsi="Times" w:ascii="Times"/>
      <w:b/>
      <w:bCs/>
      <w:sz w:val="20"/>
      <w:szCs w:val="20"/>
      <w:lang w:val="en-US"/>
    </w:rPr>
  </w:style>
  <w:style w:customStyle="true" w:styleId="xl93" w:type="paragraph">
    <w:name w:val="xl93"/>
    <w:basedOn w:val="Normal"/>
    <w:uiPriority w:val="99"/>
    <w:rsid w:val="006252DC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cs="Times New Roman" w:eastAsia="Times New Roman"/>
      <w:sz w:val="20"/>
      <w:szCs w:val="20"/>
      <w:lang w:val="en-US"/>
    </w:rPr>
  </w:style>
  <w:style w:customStyle="true" w:styleId="xl94" w:type="paragraph">
    <w:name w:val="xl94"/>
    <w:basedOn w:val="Normal"/>
    <w:uiPriority w:val="99"/>
    <w:rsid w:val="006252DC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cs="Times New Roman" w:eastAsia="Times New Roman"/>
      <w:sz w:val="20"/>
      <w:szCs w:val="20"/>
      <w:lang w:val="en-US"/>
    </w:rPr>
  </w:style>
  <w:style w:customStyle="true" w:styleId="xl95" w:type="paragraph">
    <w:name w:val="xl95"/>
    <w:basedOn w:val="Normal"/>
    <w:uiPriority w:val="99"/>
    <w:rsid w:val="006252DC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cs="Times New Roman" w:eastAsia="Times New Roman"/>
      <w:sz w:val="20"/>
      <w:szCs w:val="20"/>
      <w:lang w:val="en-US"/>
    </w:rPr>
  </w:style>
  <w:style w:customStyle="true" w:styleId="xl96" w:type="paragraph">
    <w:name w:val="xl96"/>
    <w:basedOn w:val="Normal"/>
    <w:uiPriority w:val="99"/>
    <w:rsid w:val="006252DC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cs="Times New Roman" w:eastAsia="Times New Roman"/>
      <w:sz w:val="20"/>
      <w:szCs w:val="20"/>
      <w:lang w:val="en-US"/>
    </w:rPr>
  </w:style>
  <w:style w:customStyle="true" w:styleId="xl97" w:type="paragraph">
    <w:name w:val="xl97"/>
    <w:basedOn w:val="Normal"/>
    <w:uiPriority w:val="99"/>
    <w:rsid w:val="006252DC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cs="Times New Roman" w:eastAsia="Times New Roman"/>
      <w:sz w:val="20"/>
      <w:szCs w:val="20"/>
      <w:lang w:val="en-US"/>
    </w:rPr>
  </w:style>
  <w:style w:customStyle="true" w:styleId="xl98" w:type="paragraph">
    <w:name w:val="xl98"/>
    <w:basedOn w:val="Normal"/>
    <w:uiPriority w:val="99"/>
    <w:rsid w:val="006252DC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  <w:jc w:val="center"/>
    </w:pPr>
    <w:rPr>
      <w:rFonts w:cs="Times New Roman" w:eastAsia="Times New Roman"/>
      <w:sz w:val="20"/>
      <w:szCs w:val="20"/>
      <w:lang w:val="en-US"/>
    </w:rPr>
  </w:style>
  <w:style w:customStyle="true" w:styleId="xl99" w:type="paragraph">
    <w:name w:val="xl99"/>
    <w:basedOn w:val="Normal"/>
    <w:uiPriority w:val="99"/>
    <w:rsid w:val="006252DC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auto" w:val="clear"/>
      <w:spacing w:afterAutospacing="true" w:after="100" w:beforeAutospacing="true" w:before="100"/>
    </w:pPr>
    <w:rPr>
      <w:rFonts w:cs="Times New Roman" w:eastAsia="Times New Roman"/>
      <w:sz w:val="20"/>
      <w:szCs w:val="20"/>
      <w:lang w:val="en-US"/>
    </w:rPr>
  </w:style>
  <w:style w:customStyle="true" w:styleId="xl100" w:type="paragraph">
    <w:name w:val="xl100"/>
    <w:basedOn w:val="Normal"/>
    <w:uiPriority w:val="99"/>
    <w:rsid w:val="006252DC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auto" w:val="clear"/>
      <w:spacing w:afterAutospacing="true" w:after="100" w:beforeAutospacing="true" w:before="100"/>
    </w:pPr>
    <w:rPr>
      <w:rFonts w:cs="Times New Roman" w:eastAsia="Times New Roman"/>
      <w:sz w:val="20"/>
      <w:szCs w:val="20"/>
      <w:lang w:val="en-US"/>
    </w:rPr>
  </w:style>
  <w:style w:customStyle="true" w:styleId="xl101" w:type="paragraph">
    <w:name w:val="xl101"/>
    <w:basedOn w:val="Normal"/>
    <w:uiPriority w:val="99"/>
    <w:rsid w:val="006252DC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auto" w:val="clear"/>
      <w:spacing w:afterAutospacing="true" w:after="100" w:beforeAutospacing="true" w:before="100"/>
      <w:jc w:val="center"/>
    </w:pPr>
    <w:rPr>
      <w:rFonts w:cs="Times New Roman" w:eastAsia="Times New Roman"/>
      <w:sz w:val="20"/>
      <w:szCs w:val="20"/>
      <w:lang w:val="en-US"/>
    </w:rPr>
  </w:style>
  <w:style w:customStyle="true" w:styleId="xl102" w:type="paragraph">
    <w:name w:val="xl102"/>
    <w:basedOn w:val="Normal"/>
    <w:uiPriority w:val="99"/>
    <w:rsid w:val="006252DC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auto" w:val="clear"/>
      <w:spacing w:afterAutospacing="true" w:after="100" w:beforeAutospacing="true" w:before="100"/>
      <w:jc w:val="center"/>
    </w:pPr>
    <w:rPr>
      <w:rFonts w:cs="Times New Roman" w:eastAsia="Times New Roman"/>
      <w:sz w:val="20"/>
      <w:szCs w:val="20"/>
      <w:lang w:val="en-US"/>
    </w:rPr>
  </w:style>
  <w:style w:customStyle="true" w:styleId="xl103" w:type="paragraph">
    <w:name w:val="xl103"/>
    <w:basedOn w:val="Normal"/>
    <w:uiPriority w:val="99"/>
    <w:rsid w:val="006252DC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auto" w:val="clear"/>
      <w:spacing w:afterAutospacing="true" w:after="100" w:beforeAutospacing="true" w:before="100"/>
    </w:pPr>
    <w:rPr>
      <w:rFonts w:cs="Times New Roman" w:eastAsia="Times New Roman"/>
      <w:b/>
      <w:bCs/>
      <w:sz w:val="20"/>
      <w:szCs w:val="20"/>
      <w:lang w:val="en-US"/>
    </w:rPr>
  </w:style>
  <w:style w:customStyle="true" w:styleId="xl104" w:type="paragraph">
    <w:name w:val="xl104"/>
    <w:basedOn w:val="Normal"/>
    <w:uiPriority w:val="99"/>
    <w:rsid w:val="006252DC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auto" w:val="clear"/>
      <w:spacing w:afterAutospacing="true" w:after="100" w:beforeAutospacing="true" w:before="100"/>
    </w:pPr>
    <w:rPr>
      <w:rFonts w:cs="Times New Roman" w:eastAsia="Times New Roman"/>
      <w:b/>
      <w:bCs/>
      <w:sz w:val="20"/>
      <w:szCs w:val="20"/>
      <w:lang w:val="en-US"/>
    </w:rPr>
  </w:style>
  <w:style w:customStyle="true" w:styleId="xl105" w:type="paragraph">
    <w:name w:val="xl105"/>
    <w:basedOn w:val="Normal"/>
    <w:uiPriority w:val="99"/>
    <w:rsid w:val="006252DC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auto" w:val="clear"/>
      <w:spacing w:afterAutospacing="true" w:after="100" w:beforeAutospacing="true" w:before="100"/>
    </w:pPr>
    <w:rPr>
      <w:rFonts w:cs="Times New Roman" w:eastAsia="Times New Roman"/>
      <w:b/>
      <w:bCs/>
      <w:sz w:val="20"/>
      <w:szCs w:val="20"/>
      <w:lang w:val="en-US"/>
    </w:rPr>
  </w:style>
  <w:style w:customStyle="true" w:styleId="PlainTable31" w:type="paragraph">
    <w:name w:val="Plain Table 31"/>
    <w:basedOn w:val="Normal"/>
    <w:uiPriority w:val="72"/>
    <w:qFormat/>
    <w:rsid w:val="006252DC"/>
    <w:pPr>
      <w:spacing w:after="0"/>
      <w:ind w:left="708"/>
    </w:pPr>
    <w:rPr>
      <w:rFonts w:cs="Times New Roman" w:eastAsia="Times New Roman"/>
      <w:lang w:eastAsia="hr-HR"/>
    </w:rPr>
  </w:style>
  <w:style w:customStyle="true" w:styleId="xl90" w:type="paragraph">
    <w:name w:val="xl90"/>
    <w:basedOn w:val="Normal"/>
    <w:uiPriority w:val="99"/>
    <w:rsid w:val="006252DC"/>
    <w:pPr>
      <w:spacing w:afterAutospacing="true" w:after="100" w:beforeAutospacing="true" w:before="100"/>
    </w:pPr>
    <w:rPr>
      <w:rFonts w:cs="Times New Roman" w:eastAsia="Times New Roman"/>
      <w:sz w:val="20"/>
      <w:szCs w:val="20"/>
      <w:lang w:val="en-US"/>
    </w:rPr>
  </w:style>
  <w:style w:customStyle="true" w:styleId="xl91" w:type="paragraph">
    <w:name w:val="xl91"/>
    <w:basedOn w:val="Normal"/>
    <w:uiPriority w:val="99"/>
    <w:rsid w:val="006252DC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auto" w:val="clear"/>
      <w:spacing w:afterAutospacing="true" w:after="100" w:beforeAutospacing="true" w:before="100"/>
    </w:pPr>
    <w:rPr>
      <w:rFonts w:cs="Times New Roman" w:eastAsia="Times New Roman"/>
      <w:sz w:val="20"/>
      <w:szCs w:val="20"/>
      <w:lang w:val="en-US"/>
    </w:rPr>
  </w:style>
  <w:style w:customStyle="true" w:styleId="xl81" w:type="paragraph">
    <w:name w:val="xl81"/>
    <w:basedOn w:val="Normal"/>
    <w:uiPriority w:val="99"/>
    <w:rsid w:val="006252DC"/>
    <w:pPr>
      <w:pBdr>
        <w:top w:space="0" w:sz="8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auto" w:val="clear"/>
      <w:spacing w:afterAutospacing="true" w:after="100" w:beforeAutospacing="true" w:before="100"/>
      <w:jc w:val="center"/>
    </w:pPr>
    <w:rPr>
      <w:rFonts w:cs="Times New Roman" w:eastAsia="Times New Roman"/>
      <w:lang w:eastAsia="hr-HR"/>
    </w:rPr>
  </w:style>
  <w:style w:customStyle="true" w:styleId="xl82" w:type="paragraph">
    <w:name w:val="xl82"/>
    <w:basedOn w:val="Normal"/>
    <w:uiPriority w:val="99"/>
    <w:rsid w:val="006252DC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cs="Times New Roman" w:eastAsia="Times New Roman"/>
      <w:lang w:eastAsia="hr-HR"/>
    </w:rPr>
  </w:style>
  <w:style w:customStyle="true" w:styleId="xl83" w:type="paragraph">
    <w:name w:val="xl83"/>
    <w:basedOn w:val="Normal"/>
    <w:uiPriority w:val="99"/>
    <w:rsid w:val="006252DC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  <w:jc w:val="center"/>
    </w:pPr>
    <w:rPr>
      <w:rFonts w:cs="Times New Roman" w:eastAsia="Times New Roman"/>
      <w:sz w:val="18"/>
      <w:szCs w:val="18"/>
      <w:lang w:eastAsia="hr-HR"/>
    </w:rPr>
  </w:style>
  <w:style w:customStyle="true" w:styleId="xl84" w:type="paragraph">
    <w:name w:val="xl84"/>
    <w:basedOn w:val="Normal"/>
    <w:uiPriority w:val="99"/>
    <w:rsid w:val="006252DC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  <w:jc w:val="center"/>
    </w:pPr>
    <w:rPr>
      <w:rFonts w:cs="Times New Roman" w:eastAsia="Times New Roman"/>
      <w:sz w:val="18"/>
      <w:szCs w:val="18"/>
      <w:lang w:eastAsia="hr-HR"/>
    </w:rPr>
  </w:style>
  <w:style w:customStyle="true" w:styleId="xl85" w:type="paragraph">
    <w:name w:val="xl85"/>
    <w:basedOn w:val="Normal"/>
    <w:uiPriority w:val="99"/>
    <w:rsid w:val="006252DC"/>
    <w:pPr>
      <w:pBdr>
        <w:top w:space="0" w:sz="8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auto" w:val="clear"/>
      <w:spacing w:afterAutospacing="true" w:after="100" w:beforeAutospacing="true" w:before="100"/>
      <w:jc w:val="center"/>
    </w:pPr>
    <w:rPr>
      <w:rFonts w:cs="Times New Roman" w:eastAsia="Times New Roman"/>
      <w:lang w:eastAsia="hr-HR"/>
    </w:rPr>
  </w:style>
  <w:style w:customStyle="true" w:styleId="xl86" w:type="paragraph">
    <w:name w:val="xl86"/>
    <w:basedOn w:val="Normal"/>
    <w:uiPriority w:val="99"/>
    <w:rsid w:val="006252DC"/>
    <w:pPr>
      <w:pBdr>
        <w:top w:space="0" w:sz="8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  <w:jc w:val="center"/>
    </w:pPr>
    <w:rPr>
      <w:rFonts w:cs="Times New Roman" w:eastAsia="Times New Roman"/>
      <w:lang w:eastAsia="hr-HR"/>
    </w:rPr>
  </w:style>
  <w:style w:customStyle="true" w:styleId="xl87" w:type="paragraph">
    <w:name w:val="xl87"/>
    <w:basedOn w:val="Normal"/>
    <w:uiPriority w:val="99"/>
    <w:rsid w:val="006252DC"/>
    <w:pPr>
      <w:pBdr>
        <w:top w:space="0" w:sz="4" w:color="auto" w:val="single"/>
        <w:left w:space="0" w:sz="4" w:color="auto" w:val="single"/>
        <w:bottom w:space="0" w:sz="4" w:color="auto" w:val="single"/>
        <w:right w:space="0" w:sz="8" w:color="auto" w:val="single"/>
      </w:pBdr>
      <w:spacing w:afterAutospacing="true" w:after="100" w:beforeAutospacing="true" w:before="100"/>
    </w:pPr>
    <w:rPr>
      <w:rFonts w:cs="Times New Roman" w:eastAsia="Times New Roman"/>
      <w:lang w:eastAsia="hr-HR"/>
    </w:rPr>
  </w:style>
  <w:style w:customStyle="true" w:styleId="xl88" w:type="paragraph">
    <w:name w:val="xl88"/>
    <w:basedOn w:val="Normal"/>
    <w:uiPriority w:val="99"/>
    <w:rsid w:val="006252DC"/>
    <w:pPr>
      <w:pBdr>
        <w:top w:space="0" w:sz="4" w:color="auto" w:val="single"/>
        <w:left w:space="0" w:sz="8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cs="Times New Roman" w:eastAsia="Times New Roman"/>
      <w:lang w:eastAsia="hr-HR"/>
    </w:rPr>
  </w:style>
  <w:style w:customStyle="true" w:styleId="xl89" w:type="paragraph">
    <w:name w:val="xl89"/>
    <w:basedOn w:val="Normal"/>
    <w:uiPriority w:val="99"/>
    <w:rsid w:val="006252DC"/>
    <w:pPr>
      <w:pBdr>
        <w:top w:space="0" w:sz="4" w:color="auto" w:val="single"/>
        <w:left w:space="0" w:sz="4" w:color="auto" w:val="single"/>
        <w:bottom w:space="0" w:sz="4" w:color="auto" w:val="single"/>
        <w:right w:space="0" w:sz="8" w:color="auto" w:val="single"/>
      </w:pBdr>
      <w:spacing w:afterAutospacing="true" w:after="100" w:beforeAutospacing="true" w:before="100"/>
    </w:pPr>
    <w:rPr>
      <w:rFonts w:cs="Times New Roman" w:eastAsia="Times New Roman"/>
      <w:sz w:val="18"/>
      <w:szCs w:val="18"/>
      <w:lang w:eastAsia="hr-HR"/>
    </w:rPr>
  </w:style>
  <w:style w:customStyle="true" w:styleId="font5" w:type="paragraph">
    <w:name w:val="font5"/>
    <w:basedOn w:val="Normal"/>
    <w:uiPriority w:val="99"/>
    <w:rsid w:val="006252DC"/>
    <w:pPr>
      <w:spacing w:afterAutospacing="true" w:after="100" w:beforeAutospacing="true" w:before="100"/>
    </w:pPr>
    <w:rPr>
      <w:rFonts w:cs="Times New Roman" w:eastAsia="Times New Roman"/>
      <w:b/>
      <w:bCs/>
      <w:sz w:val="16"/>
      <w:szCs w:val="16"/>
      <w:lang w:eastAsia="hr-HR"/>
    </w:rPr>
  </w:style>
  <w:style w:customStyle="true" w:styleId="msonormal0" w:type="paragraph">
    <w:name w:val="msonormal"/>
    <w:basedOn w:val="Normal"/>
    <w:uiPriority w:val="99"/>
    <w:rsid w:val="006252DC"/>
    <w:pPr>
      <w:spacing w:afterAutospacing="true" w:after="100" w:beforeAutospacing="true" w:before="100"/>
    </w:pPr>
    <w:rPr>
      <w:rFonts w:cs="Times New Roman" w:eastAsia="Times New Roman"/>
      <w:lang w:eastAsia="hr-HR"/>
    </w:rPr>
  </w:style>
  <w:style w:customStyle="true" w:styleId="Heading1Char" w:type="character">
    <w:name w:val="Heading 1 Char"/>
    <w:rsid w:val="006252DC"/>
    <w:rPr>
      <w:rFonts w:cs="Times New Roman" w:eastAsia="Times New Roman" w:hAnsi="Cambria" w:ascii="Cambria" w:hint="default"/>
      <w:b/>
      <w:bCs/>
      <w:color w:val="365F91"/>
      <w:sz w:val="28"/>
      <w:szCs w:val="28"/>
      <w:lang w:eastAsia="hr-HR"/>
    </w:rPr>
  </w:style>
  <w:style w:customStyle="true" w:styleId="Heading2Char" w:type="character">
    <w:name w:val="Heading 2 Char"/>
    <w:rsid w:val="006252DC"/>
    <w:rPr>
      <w:rFonts w:cs="Times New Roman" w:eastAsia="Times New Roman" w:hAnsi="Cambria" w:ascii="Cambria" w:hint="default"/>
      <w:b/>
      <w:bCs/>
      <w:color w:val="4F81BD"/>
      <w:sz w:val="26"/>
      <w:szCs w:val="26"/>
      <w:lang w:eastAsia="hr-HR"/>
    </w:rPr>
  </w:style>
  <w:style w:styleId="z-vrhobrasca" w:type="paragraph">
    <w:name w:val="HTML Top of Form"/>
    <w:basedOn w:val="Normal"/>
    <w:next w:val="Normal"/>
    <w:link w:val="z-vrhobrascaChar"/>
    <w:hidden/>
    <w:semiHidden/>
    <w:unhideWhenUsed/>
    <w:rsid w:val="006252DC"/>
    <w:pPr>
      <w:pBdr>
        <w:bottom w:space="1" w:sz="6" w:color="auto" w:val="single"/>
      </w:pBdr>
      <w:spacing w:after="0"/>
      <w:jc w:val="center"/>
    </w:pPr>
    <w:rPr>
      <w:rFonts w:cs="Arial" w:eastAsia="Calibri" w:hAnsi="Arial" w:ascii="Arial"/>
      <w:vanish/>
      <w:sz w:val="16"/>
      <w:szCs w:val="16"/>
      <w:lang w:eastAsia="en-GB" w:val="en-GB"/>
    </w:rPr>
  </w:style>
  <w:style w:customStyle="true" w:styleId="z-vrhobrascaChar" w:type="character">
    <w:name w:val="z-vrh obrasca Char"/>
    <w:basedOn w:val="Zadanifontodlomka"/>
    <w:link w:val="z-vrhobrasca"/>
    <w:semiHidden/>
    <w:rsid w:val="006252DC"/>
    <w:rPr>
      <w:rFonts w:cs="Arial" w:eastAsia="Calibri" w:hAnsi="Arial" w:ascii="Arial"/>
      <w:vanish/>
      <w:sz w:val="16"/>
      <w:szCs w:val="16"/>
      <w:lang w:eastAsia="en-GB" w:val="en-GB"/>
    </w:rPr>
  </w:style>
  <w:style w:styleId="z-dnoobrasca" w:type="paragraph">
    <w:name w:val="HTML Bottom of Form"/>
    <w:basedOn w:val="Normal"/>
    <w:next w:val="Normal"/>
    <w:link w:val="z-dnoobrascaChar"/>
    <w:hidden/>
    <w:semiHidden/>
    <w:unhideWhenUsed/>
    <w:rsid w:val="006252DC"/>
    <w:pPr>
      <w:pBdr>
        <w:top w:space="1" w:sz="6" w:color="auto" w:val="single"/>
      </w:pBdr>
      <w:spacing w:after="0"/>
      <w:jc w:val="center"/>
    </w:pPr>
    <w:rPr>
      <w:rFonts w:cs="Arial" w:eastAsia="Calibri" w:hAnsi="Arial" w:ascii="Arial"/>
      <w:vanish/>
      <w:sz w:val="16"/>
      <w:szCs w:val="16"/>
      <w:lang w:eastAsia="en-GB" w:val="en-GB"/>
    </w:rPr>
  </w:style>
  <w:style w:customStyle="true" w:styleId="z-dnoobrascaChar" w:type="character">
    <w:name w:val="z-dno obrasca Char"/>
    <w:basedOn w:val="Zadanifontodlomka"/>
    <w:link w:val="z-dnoobrasca"/>
    <w:semiHidden/>
    <w:rsid w:val="006252DC"/>
    <w:rPr>
      <w:rFonts w:cs="Arial" w:eastAsia="Calibri" w:hAnsi="Arial" w:ascii="Arial"/>
      <w:vanish/>
      <w:sz w:val="16"/>
      <w:szCs w:val="16"/>
      <w:lang w:eastAsia="en-GB" w:val="en-GB"/>
    </w:rPr>
  </w:style>
  <w:style w:customStyle="true" w:styleId="tabletextfield" w:type="character">
    <w:name w:val="table_text_field"/>
    <w:basedOn w:val="Zadanifontodlomka"/>
    <w:rsid w:val="006252DC"/>
  </w:style>
  <w:style w:customStyle="true" w:styleId="tabletitle2" w:type="character">
    <w:name w:val="table_title2"/>
    <w:basedOn w:val="Zadanifontodlomka"/>
    <w:rsid w:val="006252DC"/>
  </w:style>
  <w:style w:customStyle="true" w:styleId="mw-headline" w:type="character">
    <w:name w:val="mw-headline"/>
    <w:basedOn w:val="Zadanifontodlomka"/>
    <w:rsid w:val="006252DC"/>
  </w:style>
  <w:style w:customStyle="true" w:styleId="editsectionmoved" w:type="character">
    <w:name w:val="editsectionmoved"/>
    <w:basedOn w:val="Zadanifontodlomka"/>
    <w:rsid w:val="006252DC"/>
  </w:style>
  <w:style w:customStyle="true" w:styleId="imgdescription" w:type="character">
    <w:name w:val="imgdescription"/>
    <w:basedOn w:val="Zadanifontodlomka"/>
    <w:rsid w:val="006252DC"/>
  </w:style>
  <w:style w:customStyle="true" w:styleId="apple-converted-space" w:type="character">
    <w:name w:val="apple-converted-space"/>
    <w:rsid w:val="006252DC"/>
  </w:style>
  <w:style w:customStyle="true" w:styleId="apple-style-span" w:type="character">
    <w:name w:val="apple-style-span"/>
    <w:rsid w:val="006252DC"/>
  </w:style>
  <w:style w:customStyle="true" w:styleId="xclaimempty" w:type="character">
    <w:name w:val="xclaimempty"/>
    <w:rsid w:val="006252DC"/>
  </w:style>
  <w:style w:customStyle="true" w:styleId="xclaimstyle" w:type="character">
    <w:name w:val="xclaimstyle"/>
    <w:rsid w:val="006252DC"/>
  </w:style>
  <w:style w:customStyle="true" w:styleId="style30" w:type="character">
    <w:name w:val="style3"/>
    <w:basedOn w:val="Zadanifontodlomka"/>
    <w:rsid w:val="006252DC"/>
  </w:style>
  <w:style w:customStyle="true" w:styleId="st" w:type="character">
    <w:name w:val="st"/>
    <w:basedOn w:val="Zadanifontodlomka"/>
    <w:rsid w:val="006252DC"/>
  </w:style>
  <w:style w:customStyle="true" w:styleId="Reetkatablice41" w:type="table">
    <w:name w:val="Rešetka tablice 41"/>
    <w:basedOn w:val="Obinatablica"/>
    <w:next w:val="Reetkatablice4"/>
    <w:semiHidden/>
    <w:unhideWhenUsed/>
    <w:rsid w:val="006252DC"/>
    <w:pPr>
      <w:spacing w:lineRule="auto" w:line="240" w:after="0"/>
    </w:pPr>
    <w:rPr>
      <w:rFonts w:cs="Times New Roman" w:eastAsia="Times New Roman" w:hAnsi="Times New Roman" w:ascii="Times New Roman"/>
      <w:sz w:val="20"/>
      <w:szCs w:val="20"/>
    </w:rPr>
    <w:tblPr>
      <w:tblInd w:type="nil" w:w="0"/>
      <w:tblBorders>
        <w:left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blStylePr w:type="firstRow">
      <w:rPr>
        <w:color w:val="auto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customStyle="true" w:styleId="Reetkatablice10" w:type="table">
    <w:name w:val="Rešetka tablice1"/>
    <w:basedOn w:val="Obinatablica"/>
    <w:next w:val="Reetkatablice"/>
    <w:rsid w:val="006252DC"/>
    <w:pPr>
      <w:spacing w:lineRule="auto" w:line="240" w:after="0"/>
    </w:pPr>
    <w:rPr>
      <w:rFonts w:cs="Times New Roman" w:eastAsia="Times New Roman" w:hAnsi="Times New Roman" w:ascii="Times New Roman"/>
      <w:sz w:val="20"/>
      <w:szCs w:val="20"/>
    </w:rPr>
    <w:tblPr>
      <w:tblInd w:type="nil" w:w="0"/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customStyle="true" w:styleId="Obojanosjenanje-Isticanje31" w:type="table">
    <w:name w:val="Obojano sjenčanje - Isticanje 31"/>
    <w:basedOn w:val="Obinatablica"/>
    <w:next w:val="Obojanosjenanje-Isticanje3"/>
    <w:uiPriority w:val="61"/>
    <w:rsid w:val="006252DC"/>
    <w:pPr>
      <w:spacing w:lineRule="auto" w:line="240" w:after="0"/>
    </w:pPr>
    <w:rPr>
      <w:rFonts w:cs="Times New Roman" w:eastAsia="Calibri" w:hAnsi="Calibri" w:ascii="Calibri"/>
      <w:color w:val="000000"/>
      <w:sz w:val="20"/>
      <w:szCs w:val="20"/>
    </w:rPr>
    <w:tblPr>
      <w:tblStyleRowBandSize w:val="1"/>
      <w:tblStyleColBandSize w:val="1"/>
      <w:tblInd w:type="nil" w:w="0"/>
      <w:tblBorders>
        <w:top w:space="0" w:sz="24" w:color="8064A2" w:val="single"/>
        <w:left w:space="0" w:sz="4" w:color="9BBB59" w:val="single"/>
        <w:bottom w:space="0" w:sz="4" w:color="9BBB59" w:val="single"/>
        <w:right w:space="0" w:sz="4" w:color="9BBB59" w:val="single"/>
        <w:insideH w:space="0" w:sz="4" w:color="FFFFFF" w:val="single"/>
        <w:insideV w:space="0" w:sz="4" w:color="FFFFFF" w:val="single"/>
      </w:tblBorders>
    </w:tblPr>
    <w:tcPr>
      <w:shd w:fill="F5F8EE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color="8064A2" w:val="single"/>
          <w:right w:val="nil"/>
          <w:insideH w:val="nil"/>
          <w:insideV w:val="nil"/>
        </w:tcBorders>
        <w:shd w:fill="FFFFFF" w:color="auto" w:val="clear"/>
      </w:tcPr>
    </w:tblStylePr>
    <w:tblStylePr w:type="lastRow">
      <w:rPr>
        <w:b/>
        <w:bCs/>
        <w:color w:val="FFFFFF"/>
      </w:rPr>
      <w:tblPr/>
      <w:tcPr>
        <w:tcBorders>
          <w:top w:space="0" w:sz="6" w:color="FFFFFF" w:val="single"/>
        </w:tcBorders>
        <w:shd w:fill="5E7530" w:color="auto" w:val="clear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space="0" w:sz="4" w:color="5E7530" w:val="single"/>
          <w:insideV w:val="nil"/>
        </w:tcBorders>
        <w:shd w:fill="5E7530" w:color="auto" w:val="clear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fill="5E7530" w:color="auto" w:val="clear"/>
      </w:tcPr>
    </w:tblStylePr>
    <w:tblStylePr w:type="band1Vert">
      <w:tblPr/>
      <w:tcPr>
        <w:shd w:fill="D6E3BC" w:color="auto" w:val="clear"/>
      </w:tcPr>
    </w:tblStylePr>
    <w:tblStylePr w:type="band1Horz">
      <w:tblPr/>
      <w:tcPr>
        <w:shd w:fill="CDDDAC" w:color="auto" w:val="clear"/>
      </w:tcPr>
    </w:tblStylePr>
  </w:style>
  <w:style w:customStyle="true" w:styleId="TableGrid1" w:type="table">
    <w:name w:val="Table Grid1"/>
    <w:basedOn w:val="Obinatablica"/>
    <w:uiPriority w:val="59"/>
    <w:rsid w:val="006252DC"/>
    <w:pPr>
      <w:spacing w:lineRule="auto" w:line="240" w:after="0"/>
    </w:pPr>
    <w:rPr>
      <w:rFonts w:cs="Times New Roman" w:eastAsia="Calibri" w:hAnsi="Calibri" w:ascii="Calibri"/>
      <w:sz w:val="20"/>
      <w:szCs w:val="20"/>
    </w:rPr>
    <w:tblPr>
      <w:tblInd w:type="nil" w:w="0"/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en-US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0" w:unhideWhenUsed="0"/>
    <w:lsdException w:name="heading 2" w:qFormat="1" w:uiPriority="0"/>
    <w:lsdException w:name="heading 3" w:qFormat="1" w:uiPriority="0"/>
    <w:lsdException w:name="heading 4" w:qFormat="1" w:uiPriority="9"/>
    <w:lsdException w:name="heading 5" w:qFormat="1" w:uiPriority="0"/>
    <w:lsdException w:name="heading 6" w:qFormat="1" w:uiPriority="0"/>
    <w:lsdException w:name="heading 7" w:qFormat="1" w:uiPriority="0"/>
    <w:lsdException w:name="heading 8" w:qFormat="1" w:uiPriority="0"/>
    <w:lsdException w:name="heading 9" w:qFormat="1" w:uiPriority="0"/>
    <w:lsdException w:name="toc 1" w:uiPriority="39"/>
    <w:lsdException w:name="toc 2" w:uiPriority="39"/>
    <w:lsdException w:name="toc 3" w:uiPriority="39"/>
    <w:lsdException w:name="caption" w:qFormat="1"/>
    <w:lsdException w:name="footnote reference" w:uiPriority="0"/>
    <w:lsdException w:name="List" w:qFormat="1"/>
    <w:lsdException w:name="List Bullet" w:qFormat="1" w:uiPriority="0"/>
    <w:lsdException w:name="List Number" w:qFormat="1" w:uiPriority="0"/>
    <w:lsdException w:name="List Bullet 2" w:qFormat="1"/>
    <w:lsdException w:name="List Bullet 3" w:uiPriority="0"/>
    <w:lsdException w:name="List Bullet 4" w:uiPriority="0"/>
    <w:lsdException w:name="List Number 2" w:uiPriority="0"/>
    <w:lsdException w:name="List Number 3" w:uiPriority="0"/>
    <w:lsdException w:name="List Number 4" w:uiPriority="0"/>
    <w:lsdException w:name="List Number 5" w:uiPriority="0"/>
    <w:lsdException w:name="Title" w:qFormat="1" w:semiHidden="0" w:uiPriority="10" w:unhideWhenUsed="0"/>
    <w:lsdException w:name="Default Paragraph Font" w:uiPriority="1"/>
    <w:lsdException w:name="List Continue" w:qFormat="1"/>
    <w:lsdException w:name="List Continue 2" w:qFormat="1" w:uiPriority="0"/>
    <w:lsdException w:name="List Continue 3" w:uiPriority="0"/>
    <w:lsdException w:name="List Continue 4" w:uiPriority="0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HTML Top of Form" w:uiPriority="0"/>
    <w:lsdException w:name="HTML Bottom of Form" w:uiPriority="0"/>
    <w:lsdException w:name="Table Grid" w:semiHidden="0" w:uiPriority="59" w:unhideWhenUsed="0"/>
    <w:lsdException w:name="No Spacing" w:qFormat="1" w:uiPriority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qFormat="1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  <w:lsdException w:name="TOC Heading" w:qFormat="1" w:uiPriority="39"/>
  </w:latentStyles>
  <w:style w:default="1" w:styleId="Normal" w:type="paragraph">
    <w:name w:val="Normal"/>
    <w:qFormat/>
    <w:rsid w:val="0007483D"/>
    <w:pPr>
      <w:spacing w:after="240" w:line="240" w:lineRule="auto"/>
    </w:pPr>
    <w:rPr>
      <w:rFonts w:ascii="Times New Roman" w:hAns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nhideWhenUsed/>
    <w:qFormat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nhideWhenUsed/>
    <w:qFormat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nhideWhenUsed/>
    <w:qFormat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qFormat/>
    <w:rsid w:val="004F27AE"/>
    <w:pPr>
      <w:keepNext/>
      <w:keepLines/>
      <w:spacing w:before="200"/>
      <w:ind w:hanging="144" w:left="864"/>
      <w:outlineLvl w:val="3"/>
    </w:pPr>
    <w:rPr>
      <w:rFonts w:asciiTheme="majorHAnsi" w:cstheme="majorBidi" w:eastAsiaTheme="majorEastAsia" w:hAns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qFormat/>
    <w:rsid w:val="00EB0D4C"/>
    <w:pPr>
      <w:spacing w:after="0" w:before="120"/>
      <w:ind w:hanging="432" w:left="1008"/>
      <w:outlineLvl w:val="4"/>
    </w:pPr>
    <w:rPr>
      <w:rFonts w:ascii="Arial" w:eastAsia="Times New Roman" w:hAns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ascii="Arial" w:eastAsia="Times New Roman" w:hAns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ascii="Arial" w:eastAsia="Times New Roman" w:hAns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ascii="Arial" w:eastAsia="Times New Roman" w:hAns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ascii="Arial" w:eastAsia="Times New Roman" w:hAnsi="Arial"/>
      <w:i/>
      <w:noProof/>
      <w:kern w:val="18"/>
      <w:sz w:val="18"/>
      <w:lang w:eastAsia="hr-HR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1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1" w:styleId="Naslov1Char" w:type="character">
    <w:name w:val="Naslov 1 Char"/>
    <w:basedOn w:val="Zadanifontodlomka"/>
    <w:link w:val="Naslov1"/>
    <w:rsid w:val="004F27AE"/>
    <w:rPr>
      <w:rFonts w:ascii="Times New Roman" w:cstheme="majorBidi" w:eastAsiaTheme="majorEastAsia" w:hAnsi="Times New Roman"/>
      <w:b/>
      <w:bCs/>
      <w:sz w:val="28"/>
      <w:szCs w:val="28"/>
      <w:lang w:val="hr-HR"/>
    </w:rPr>
  </w:style>
  <w:style w:customStyle="1" w:styleId="Naslov2Char" w:type="character">
    <w:name w:val="Naslov 2 Char"/>
    <w:basedOn w:val="Zadanifontodlomka"/>
    <w:link w:val="Naslov2"/>
    <w:rsid w:val="004F27AE"/>
    <w:rPr>
      <w:rFonts w:ascii="Times New Roman" w:hAnsi="Times New Roman"/>
      <w:b/>
      <w:sz w:val="28"/>
      <w:szCs w:val="20"/>
      <w:lang w:val="hr-HR"/>
    </w:rPr>
  </w:style>
  <w:style w:customStyle="1" w:styleId="Naslov3Char" w:type="character">
    <w:name w:val="Naslov 3 Char"/>
    <w:basedOn w:val="Zadanifontodlomka"/>
    <w:link w:val="Naslov3"/>
    <w:rsid w:val="004F27AE"/>
    <w:rPr>
      <w:rFonts w:ascii="Times New Roman" w:cstheme="majorBidi" w:eastAsiaTheme="majorEastAsia" w:hAnsi="Times New Roman"/>
      <w:b/>
      <w:bCs/>
      <w:sz w:val="24"/>
      <w:szCs w:val="24"/>
      <w:lang w:val="hr-HR"/>
    </w:rPr>
  </w:style>
  <w:style w:customStyle="1" w:styleId="Naslov4Char" w:type="character">
    <w:name w:val="Naslov 4 Char"/>
    <w:basedOn w:val="Zadanifontodlomka"/>
    <w:link w:val="Naslov4"/>
    <w:uiPriority w:val="9"/>
    <w:rsid w:val="004F27AE"/>
    <w:rPr>
      <w:rFonts w:asciiTheme="majorHAnsi" w:cstheme="majorBidi" w:eastAsiaTheme="majorEastAsia" w:hAns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rsid w:val="00551CB3"/>
    <w:rPr>
      <w:rFonts w:ascii="Tahoma" w:cs="Tahoma" w:hAnsi="Tahoma"/>
      <w:sz w:val="16"/>
      <w:szCs w:val="16"/>
      <w:lang w:val="hr-HR"/>
    </w:rPr>
  </w:style>
  <w:style w:customStyle="1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1" w:styleId="Tijeloteksta3Char" w:type="character">
    <w:name w:val="Tijelo teksta 3 Char"/>
    <w:basedOn w:val="Zadanifontodlomka"/>
    <w:link w:val="Tijeloteksta3"/>
    <w:uiPriority w:val="99"/>
    <w:rsid w:val="00551CB3"/>
    <w:rPr>
      <w:rFonts w:ascii="Times New Roman" w:hAnsi="Times New Roman"/>
      <w:sz w:val="16"/>
      <w:szCs w:val="16"/>
      <w:lang w:val="hr-HR"/>
    </w:rPr>
  </w:style>
  <w:style w:customStyle="1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1" w:styleId="DatumPisanjaChar" w:type="character">
    <w:name w:val="DatumPisanja Char"/>
    <w:basedOn w:val="Zadanifontodlomka"/>
    <w:link w:val="DatumPisanja"/>
    <w:rsid w:val="00EB0D4C"/>
    <w:rPr>
      <w:rFonts w:ascii="Times New Roman" w:hAnsi="Times New Roman"/>
      <w:sz w:val="24"/>
      <w:szCs w:val="24"/>
      <w:lang w:val="hr-HR"/>
    </w:rPr>
  </w:style>
  <w:style w:customStyle="1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1" w:styleId="DostavitiChar" w:type="character">
    <w:name w:val="Dostaviti Char"/>
    <w:basedOn w:val="Zadanifontodlomka"/>
    <w:link w:val="Dostaviti"/>
    <w:rsid w:val="00EB0D4C"/>
    <w:rPr>
      <w:rFonts w:ascii="Times New Roman" w:hAns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="1980" w:hAnchor="page" w:hRule="exact" w:hSpace="180" w:w="7920" w:wrap="auto" w:xAlign="center" w:yAlign="bottom"/>
      <w:ind w:left="2880"/>
    </w:pPr>
    <w:rPr>
      <w:rFonts w:asciiTheme="majorHAnsi" w:cstheme="majorBidi" w:eastAsiaTheme="majorEastAsia" w:hAnsiTheme="majorHAnsi"/>
    </w:rPr>
  </w:style>
  <w:style w:customStyle="1" w:styleId="eSPISCCParagraphDefaultFont" w:type="character">
    <w:name w:val="eSPIS_CC_Paragraph Default Font"/>
    <w:basedOn w:val="NormaleSPISChar"/>
    <w:rsid w:val="00EB0D4C"/>
    <w:rPr>
      <w:rFonts w:ascii="Times New Roman" w:cs="Times New Roman" w:eastAsia="Times New Roman" w:hAnsi="Times New Roman"/>
      <w:noProof/>
      <w:color w:val="auto"/>
      <w:sz w:val="24"/>
      <w:szCs w:val="24"/>
      <w:bdr w:color="auto" w:space="0" w:sz="0" w:val="none"/>
      <w:shd w:color="auto" w:fill="auto" w:val="clear"/>
      <w:lang w:eastAsia="hr-HR" w:val="hr-HR"/>
    </w:rPr>
  </w:style>
  <w:style w:customStyle="1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1" w:styleId="PodnojeChar" w:type="character">
    <w:name w:val="Podnožje Char"/>
    <w:basedOn w:val="Zadanifontodlomka"/>
    <w:link w:val="Podno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GrafListkrui" w:type="numbering">
    <w:name w:val="GrafList_kružić"/>
    <w:uiPriority w:val="99"/>
    <w:rsid w:val="00551CB3"/>
    <w:pPr>
      <w:numPr>
        <w:numId w:val="5"/>
      </w:numPr>
    </w:pPr>
  </w:style>
  <w:style w:customStyle="1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1" w:styleId="GrafListkruiQSChar" w:type="character">
    <w:name w:val="GrafList_kružić_QS Char"/>
    <w:basedOn w:val="Zadanifontodlomka"/>
    <w:link w:val="GrafListkru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afListstar" w:type="numbering">
    <w:name w:val="GrafList_star"/>
    <w:uiPriority w:val="99"/>
    <w:rsid w:val="00551CB3"/>
    <w:pPr>
      <w:numPr>
        <w:numId w:val="6"/>
      </w:numPr>
    </w:pPr>
  </w:style>
  <w:style w:customStyle="1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1" w:styleId="GrafListstarQSChar" w:type="character">
    <w:name w:val="GrafList_star_QS Char"/>
    <w:basedOn w:val="Zadanifontodlomka"/>
    <w:link w:val="GrafListstar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1" w:styleId="ZaglavljeChar" w:type="character">
    <w:name w:val="Zaglavlje Char"/>
    <w:basedOn w:val="Zadanifontodlomka"/>
    <w:link w:val="Zaglavl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color="4F81BD" w:space="4" w:sz="4" w:themeColor="accent1" w:val="single"/>
      </w:pBdr>
      <w:spacing w:after="280" w:before="200"/>
      <w:ind w:left="936" w:right="936"/>
    </w:pPr>
    <w:rPr>
      <w:b/>
      <w:bCs/>
      <w:i/>
      <w:iCs/>
      <w:color w:themeColor="accent1" w:val="4F81BD"/>
    </w:rPr>
  </w:style>
  <w:style w:customStyle="1" w:styleId="NaglaencitatChar" w:type="character">
    <w:name w:val="Naglašen citat Char"/>
    <w:basedOn w:val="Zadanifontodlomka"/>
    <w:link w:val="Naglaencitat"/>
    <w:uiPriority w:val="30"/>
    <w:rsid w:val="00551CB3"/>
    <w:rPr>
      <w:rFonts w:ascii="Times New Roman" w:hAns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uiPriority w:val="99"/>
    <w:rsid w:val="00EB0D4C"/>
    <w:pPr>
      <w:spacing w:after="0" w:before="120"/>
      <w:ind w:left="567"/>
    </w:pPr>
  </w:style>
  <w:style w:styleId="Popis2" w:type="paragraph">
    <w:name w:val="List 2"/>
    <w:basedOn w:val="NormalDefault"/>
    <w:uiPriority w:val="99"/>
    <w:rsid w:val="00EB0D4C"/>
    <w:pPr>
      <w:spacing w:after="0" w:before="120"/>
      <w:ind w:left="851"/>
    </w:pPr>
  </w:style>
  <w:style w:styleId="Popis3" w:type="paragraph">
    <w:name w:val="List 3"/>
    <w:basedOn w:val="NormalDefault"/>
    <w:uiPriority w:val="99"/>
    <w:rsid w:val="00EB0D4C"/>
    <w:pPr>
      <w:spacing w:after="0" w:before="120"/>
      <w:ind w:left="1134"/>
    </w:pPr>
  </w:style>
  <w:style w:styleId="Popis4" w:type="paragraph">
    <w:name w:val="List 4"/>
    <w:basedOn w:val="NormalDefault"/>
    <w:uiPriority w:val="99"/>
    <w:rsid w:val="00EB0D4C"/>
    <w:pPr>
      <w:spacing w:after="0" w:before="120"/>
      <w:ind w:left="1418"/>
    </w:pPr>
  </w:style>
  <w:style w:styleId="Popis5" w:type="paragraph">
    <w:name w:val="List 5"/>
    <w:basedOn w:val="NormalDefault"/>
    <w:uiPriority w:val="99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2"/>
      </w:numPr>
      <w:spacing w:after="0" w:before="120"/>
    </w:pPr>
  </w:style>
  <w:style w:styleId="Grafikeoznake2" w:type="paragraph">
    <w:name w:val="List Bullet 2"/>
    <w:basedOn w:val="NormalDefault"/>
    <w:uiPriority w:val="99"/>
    <w:rsid w:val="00EB0D4C"/>
    <w:pPr>
      <w:numPr>
        <w:numId w:val="23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4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5"/>
      </w:numPr>
      <w:spacing w:after="0" w:before="120"/>
    </w:pPr>
  </w:style>
  <w:style w:styleId="Grafikeoznake5" w:type="paragraph">
    <w:name w:val="List Bullet 5"/>
    <w:basedOn w:val="NormalDefault"/>
    <w:uiPriority w:val="99"/>
    <w:rsid w:val="00EB0D4C"/>
    <w:pPr>
      <w:numPr>
        <w:numId w:val="26"/>
      </w:numPr>
      <w:spacing w:after="0" w:before="120"/>
    </w:pPr>
  </w:style>
  <w:style w:styleId="Nastavakpopisa" w:type="paragraph">
    <w:name w:val="List Continue"/>
    <w:basedOn w:val="NormalDefault"/>
    <w:uiPriority w:val="99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uiPriority w:val="99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7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8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29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0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1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qFormat/>
    <w:rsid w:val="00EB0D4C"/>
    <w:pPr>
      <w:tabs>
        <w:tab w:pos="851" w:val="left"/>
      </w:tabs>
    </w:pPr>
  </w:style>
  <w:style w:customStyle="1" w:styleId="OdlomakpopisaChar" w:type="character">
    <w:name w:val="Odlomak popisa Char"/>
    <w:basedOn w:val="Zadanifontodlomka"/>
    <w:link w:val="Odlomakpopisa"/>
    <w:uiPriority w:val="34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123" w:type="paragraph">
    <w:name w:val="Lista_123"/>
    <w:basedOn w:val="Odlomakpopisa"/>
    <w:link w:val="Lista123Char"/>
    <w:qFormat/>
    <w:rsid w:val="00EB0D4C"/>
    <w:pPr>
      <w:numPr>
        <w:numId w:val="32"/>
      </w:numPr>
      <w:spacing w:after="0" w:before="120"/>
      <w:jc w:val="left"/>
    </w:pPr>
  </w:style>
  <w:style w:customStyle="1" w:styleId="Lista123Char" w:type="character">
    <w:name w:val="Lista_123 Char"/>
    <w:basedOn w:val="OdlomakpopisaChar"/>
    <w:link w:val="Lista123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abc" w:type="paragraph">
    <w:name w:val="Lista_abc"/>
    <w:basedOn w:val="Odlomakpopisa"/>
    <w:link w:val="ListaabcChar"/>
    <w:qFormat/>
    <w:rsid w:val="00EB0D4C"/>
    <w:pPr>
      <w:numPr>
        <w:numId w:val="33"/>
      </w:numPr>
      <w:spacing w:after="0" w:before="120"/>
      <w:jc w:val="left"/>
    </w:pPr>
  </w:style>
  <w:style w:customStyle="1" w:styleId="ListaabcChar" w:type="character">
    <w:name w:val="Lista_abc Char"/>
    <w:basedOn w:val="OdlomakpopisaChar"/>
    <w:link w:val="Listaabc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krui" w:type="paragraph">
    <w:name w:val="Lista_kružić"/>
    <w:basedOn w:val="Odlomakpopisa"/>
    <w:link w:val="ListakruiChar"/>
    <w:qFormat/>
    <w:rsid w:val="00EB0D4C"/>
    <w:pPr>
      <w:numPr>
        <w:numId w:val="35"/>
      </w:numPr>
      <w:spacing w:after="0" w:before="120"/>
      <w:jc w:val="left"/>
    </w:pPr>
  </w:style>
  <w:style w:customStyle="1" w:styleId="ListakruiChar" w:type="character">
    <w:name w:val="Lista_kružić Char"/>
    <w:basedOn w:val="Zadanifontodlomka"/>
    <w:link w:val="Listakrui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" w:type="numbering">
    <w:name w:val="Lista_nastavak"/>
    <w:uiPriority w:val="99"/>
    <w:rsid w:val="00551CB3"/>
    <w:pPr>
      <w:numPr>
        <w:numId w:val="7"/>
      </w:numPr>
    </w:pPr>
  </w:style>
  <w:style w:customStyle="1" w:styleId="ListanastavakQS" w:type="paragraph">
    <w:name w:val="Lista_nastavak_QS"/>
    <w:basedOn w:val="Normal"/>
    <w:link w:val="ListanastavakQSChar"/>
    <w:rsid w:val="00EB0D4C"/>
    <w:pPr>
      <w:numPr>
        <w:numId w:val="36"/>
      </w:numPr>
      <w:spacing w:after="0" w:before="60"/>
    </w:pPr>
    <w:rPr>
      <w:rFonts w:eastAsia="Times New Roman"/>
      <w:lang w:eastAsia="hr-HR"/>
    </w:rPr>
  </w:style>
  <w:style w:customStyle="1" w:styleId="ListanastavakQSChar" w:type="character">
    <w:name w:val="Lista_nastavak_QS Char"/>
    <w:basedOn w:val="Zadanifontodlomka"/>
    <w:link w:val="Listanastavak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QSGraf" w:type="paragraph">
    <w:name w:val="Lista_nastavak_QS_Graf"/>
    <w:basedOn w:val="Odlomakpopisa"/>
    <w:link w:val="ListanastavakQSGrafChar"/>
    <w:rsid w:val="00EB0D4C"/>
    <w:pPr>
      <w:numPr>
        <w:numId w:val="37"/>
      </w:numPr>
      <w:tabs>
        <w:tab w:pos="851" w:val="clear"/>
      </w:tabs>
      <w:jc w:val="left"/>
    </w:pPr>
  </w:style>
  <w:style w:customStyle="1" w:styleId="ListanastavakQSGrafChar" w:type="character">
    <w:name w:val="Lista_nastavak_QS_Graf Char"/>
    <w:basedOn w:val="OdlomakpopisaChar"/>
    <w:link w:val="ListanastavakQSGraf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slijed" w:type="paragraph">
    <w:name w:val="Lista_slijed"/>
    <w:basedOn w:val="Odlomakpopisa"/>
    <w:link w:val="ListaslijedChar"/>
    <w:qFormat/>
    <w:rsid w:val="00EB0D4C"/>
    <w:pPr>
      <w:numPr>
        <w:numId w:val="38"/>
      </w:numPr>
      <w:tabs>
        <w:tab w:pos="851" w:val="clear"/>
      </w:tabs>
      <w:spacing w:after="60"/>
      <w:contextualSpacing/>
      <w:jc w:val="left"/>
    </w:pPr>
  </w:style>
  <w:style w:customStyle="1" w:styleId="ListaslijedChar" w:type="character">
    <w:name w:val="Lista_slijed Char"/>
    <w:basedOn w:val="OdlomakpopisaChar"/>
    <w:link w:val="Listaslijed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XIV" w:type="paragraph">
    <w:name w:val="Lista_XIV"/>
    <w:basedOn w:val="Odlomakpopisa"/>
    <w:link w:val="ListaXIVChar"/>
    <w:qFormat/>
    <w:rsid w:val="00EB0D4C"/>
    <w:pPr>
      <w:numPr>
        <w:numId w:val="39"/>
      </w:numPr>
      <w:spacing w:after="0" w:before="120"/>
      <w:jc w:val="left"/>
    </w:pPr>
  </w:style>
  <w:style w:customStyle="1" w:styleId="ListaXIVChar" w:type="character">
    <w:name w:val="Lista_XIV Char"/>
    <w:basedOn w:val="OdlomakpopisaChar"/>
    <w:link w:val="ListaXIV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Razmak" w:type="paragraph">
    <w:name w:val="ListaRazmak"/>
    <w:basedOn w:val="Normal"/>
    <w:rsid w:val="00551CB3"/>
    <w:pPr>
      <w:spacing w:after="0" w:before="120"/>
    </w:pPr>
  </w:style>
  <w:style w:customStyle="1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after="240" w:line="240" w:lineRule="auto"/>
      <w:contextualSpacing/>
    </w:pPr>
    <w:rPr>
      <w:rFonts w:ascii="Times New Roman" w:cs="Times New Roman" w:eastAsia="Times New Roman" w:hAnsi="Times New Roman"/>
      <w:sz w:val="24"/>
      <w:szCs w:val="24"/>
      <w:lang w:eastAsia="hr-HR" w:val="hr-HR"/>
    </w:rPr>
  </w:style>
  <w:style w:styleId="StandardWeb" w:type="paragraph">
    <w:name w:val="Normal (Web)"/>
    <w:basedOn w:val="Normal"/>
    <w:uiPriority w:val="99"/>
    <w:semiHidden/>
    <w:unhideWhenUsed/>
    <w:rsid w:val="00551CB3"/>
    <w:pPr>
      <w:spacing w:after="100" w:afterAutospacing="1" w:before="100" w:beforeAutospacing="1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1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1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1" w:styleId="Naslov5Char" w:type="character">
    <w:name w:val="Naslov 5 Char"/>
    <w:basedOn w:val="Zadanifontodlomka"/>
    <w:link w:val="Naslov5"/>
    <w:rsid w:val="00EB0D4C"/>
    <w:rPr>
      <w:rFonts w:ascii="Arial" w:eastAsia="Times New Roman" w:hAnsi="Arial"/>
      <w:noProof/>
      <w:kern w:val="22"/>
      <w:szCs w:val="24"/>
      <w:lang w:eastAsia="hr-HR" w:val="hr-HR"/>
    </w:rPr>
  </w:style>
  <w:style w:customStyle="1" w:styleId="Naslov6Char" w:type="character">
    <w:name w:val="Naslov 6 Char"/>
    <w:basedOn w:val="Zadanifontodlomka"/>
    <w:link w:val="Naslov6"/>
    <w:rsid w:val="00EB0D4C"/>
    <w:rPr>
      <w:rFonts w:ascii="Arial" w:eastAsia="Times New Roman" w:hAnsi="Arial"/>
      <w:i/>
      <w:noProof/>
      <w:kern w:val="22"/>
      <w:szCs w:val="24"/>
      <w:lang w:eastAsia="hr-HR" w:val="hr-HR"/>
    </w:rPr>
  </w:style>
  <w:style w:customStyle="1" w:styleId="Naslov7Char" w:type="character">
    <w:name w:val="Naslov 7 Char"/>
    <w:basedOn w:val="Zadanifontodlomka"/>
    <w:link w:val="Naslov7"/>
    <w:rsid w:val="00EB0D4C"/>
    <w:rPr>
      <w:rFonts w:ascii="Arial" w:eastAsia="Times New Roman" w:hAnsi="Arial"/>
      <w:noProof/>
      <w:kern w:val="20"/>
      <w:szCs w:val="24"/>
      <w:lang w:eastAsia="hr-HR" w:val="hr-HR"/>
    </w:rPr>
  </w:style>
  <w:style w:customStyle="1" w:styleId="Naslov8Char" w:type="character">
    <w:name w:val="Naslov 8 Char"/>
    <w:basedOn w:val="Zadanifontodlomka"/>
    <w:link w:val="Naslov8"/>
    <w:rsid w:val="00EB0D4C"/>
    <w:rPr>
      <w:rFonts w:ascii="Arial" w:eastAsia="Times New Roman" w:hAnsi="Arial"/>
      <w:i/>
      <w:noProof/>
      <w:kern w:val="20"/>
      <w:szCs w:val="24"/>
      <w:lang w:eastAsia="hr-HR" w:val="hr-HR"/>
    </w:rPr>
  </w:style>
  <w:style w:customStyle="1" w:styleId="Naslov9Char" w:type="character">
    <w:name w:val="Naslov 9 Char"/>
    <w:basedOn w:val="Zadanifontodlomka"/>
    <w:link w:val="Naslov9"/>
    <w:rsid w:val="00EB0D4C"/>
    <w:rPr>
      <w:rFonts w:ascii="Arial" w:eastAsia="Times New Roman" w:hAnsi="Arial"/>
      <w:i/>
      <w:noProof/>
      <w:kern w:val="18"/>
      <w:sz w:val="18"/>
      <w:szCs w:val="24"/>
      <w:lang w:eastAsia="hr-HR" w:val="hr-HR"/>
    </w:rPr>
  </w:style>
  <w:style w:customStyle="1" w:styleId="NumList1QS" w:type="paragraph">
    <w:name w:val="NumList_1)_QS"/>
    <w:basedOn w:val="Normal"/>
    <w:link w:val="NumList1QSChar"/>
    <w:locked/>
    <w:rsid w:val="00EB0D4C"/>
    <w:pPr>
      <w:numPr>
        <w:numId w:val="40"/>
      </w:numPr>
      <w:spacing w:after="0" w:before="120"/>
    </w:pPr>
    <w:rPr>
      <w:rFonts w:eastAsia="Times New Roman"/>
      <w:lang w:eastAsia="hr-HR"/>
    </w:rPr>
  </w:style>
  <w:style w:customStyle="1" w:styleId="NumList1QSChar" w:type="character">
    <w:name w:val="NumList_1)_QS Char"/>
    <w:basedOn w:val="Zadanifontodlomka"/>
    <w:link w:val="NumList1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" w:type="numbering">
    <w:name w:val="NumList_a"/>
    <w:uiPriority w:val="99"/>
    <w:locked/>
    <w:rsid w:val="00551CB3"/>
    <w:pPr>
      <w:numPr>
        <w:numId w:val="9"/>
      </w:numPr>
    </w:pPr>
  </w:style>
  <w:style w:customStyle="1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1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aQSChar" w:type="character">
    <w:name w:val="NumList_a)_QS Char"/>
    <w:basedOn w:val="Zadanifontodlomka"/>
    <w:link w:val="NumLista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QS" w:type="paragraph">
    <w:name w:val="NumList_A)_QS"/>
    <w:basedOn w:val="Normal"/>
    <w:link w:val="NumListAQSChar0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1" w:styleId="NumListAQSChar0" w:type="character">
    <w:name w:val="NumList_A)_QS Char"/>
    <w:basedOn w:val="Zadanifontodlomka"/>
    <w:link w:val="NumListA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1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1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iQSChar" w:type="character">
    <w:name w:val="NumList_i)_QS Char"/>
    <w:basedOn w:val="Zadanifontodlomka"/>
    <w:link w:val="NumListi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QS" w:type="paragraph">
    <w:name w:val="NumList_I)_QS"/>
    <w:basedOn w:val="Normal"/>
    <w:link w:val="NumListI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1" w:styleId="NumListIQSChar0" w:type="character">
    <w:name w:val="NumList_I)_QS Char"/>
    <w:basedOn w:val="Zadanifontodlomka"/>
    <w:link w:val="NumList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1" w:styleId="NumListOIQS" w:type="paragraph">
    <w:name w:val="NumList_OI_QS"/>
    <w:basedOn w:val="Normal"/>
    <w:link w:val="NumListOIQSChar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1" w:styleId="NumListOIQSChar" w:type="character">
    <w:name w:val="NumList_OI_QS Char"/>
    <w:basedOn w:val="Zadanifontodlomka"/>
    <w:link w:val="NumListO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color="auto" w:space="0" w:sz="0" w:val="none"/>
      <w:shd w:color="auto" w:fill="CCFFFF" w:val="clear"/>
      <w:lang w:val="hr-HR"/>
    </w:rPr>
  </w:style>
  <w:style w:customStyle="1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1" w:styleId="PozadinaSvijetloCrvena" w:type="character">
    <w:name w:val="Pozadina_SvijetloCrvena"/>
    <w:basedOn w:val="Zadanifontodlomka"/>
    <w:uiPriority w:val="3"/>
    <w:rsid w:val="00EB0D4C"/>
    <w:rPr>
      <w:noProof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Zadanifontodlomka"/>
    <w:rsid w:val="00EB0D4C"/>
    <w:rPr>
      <w:noProof/>
      <w:bdr w:color="auto" w:space="0" w:sz="0" w:val="none"/>
      <w:shd w:color="auto" w:fill="CCFFCC" w:val="clear"/>
      <w:lang w:val="hr-HR"/>
    </w:rPr>
  </w:style>
  <w:style w:customStyle="1" w:styleId="PozadinaSvijetloZuta" w:type="character">
    <w:name w:val="Pozadina_SvijetloZuta"/>
    <w:basedOn w:val="Zadanifontodlomka"/>
    <w:uiPriority w:val="3"/>
    <w:rsid w:val="00EB0D4C"/>
    <w:rPr>
      <w:noProof/>
      <w:bdr w:color="auto" w:space="0" w:sz="0" w:val="none"/>
      <w:shd w:color="auto" w:fill="FFFFCC" w:val="clear"/>
      <w:lang w:val="hr-HR"/>
    </w:rPr>
  </w:style>
  <w:style w:customStyle="1" w:styleId="Proir0pt" w:type="character">
    <w:name w:val="Prošir_0pt"/>
    <w:basedOn w:val="Zadanifontodlomka"/>
    <w:qFormat/>
    <w:rsid w:val="00EB0D4C"/>
    <w:rPr>
      <w:spacing w:val="0"/>
    </w:rPr>
  </w:style>
  <w:style w:customStyle="1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1" w:styleId="CitatChar" w:type="character">
    <w:name w:val="Citat Char"/>
    <w:basedOn w:val="Zadanifontodlomka"/>
    <w:link w:val="Citat"/>
    <w:uiPriority w:val="29"/>
    <w:rsid w:val="00551CB3"/>
    <w:rPr>
      <w:rFonts w:ascii="Times New Roman" w:hAnsi="Times New Roman"/>
      <w:i/>
      <w:iCs/>
      <w:color w:themeColor="text1" w:val="000000"/>
      <w:sz w:val="24"/>
      <w:szCs w:val="24"/>
      <w:lang w:val="hr-HR"/>
    </w:rPr>
  </w:style>
  <w:style w:customStyle="1" w:styleId="RedniBrojTablica" w:type="paragraph">
    <w:name w:val="RedniBroj_Tablica"/>
    <w:basedOn w:val="Normal"/>
    <w:rsid w:val="00551CB3"/>
    <w:pPr>
      <w:numPr>
        <w:numId w:val="15"/>
      </w:numPr>
    </w:pPr>
    <w:rPr>
      <w:rFonts w:asciiTheme="minorHAnsi" w:hAnsiTheme="minorHAnsi"/>
      <w:sz w:val="18"/>
      <w:szCs w:val="18"/>
    </w:rPr>
  </w:style>
  <w:style w:customStyle="1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1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0"/>
      <w:spacing w:before="0"/>
    </w:pPr>
    <w:rPr>
      <w:rFonts w:eastAsia="Times New Roman"/>
      <w:i/>
      <w:iCs/>
      <w:szCs w:val="20"/>
      <w:u w:val="single"/>
    </w:rPr>
  </w:style>
  <w:style w:customStyle="1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ascii="Times New Roman" w:cstheme="majorBidi" w:eastAsia="Times New Roman" w:hAnsi="Times New Roman"/>
      <w:b/>
      <w:bCs/>
      <w:i/>
      <w:iCs/>
      <w:color w:themeColor="accent1" w:themeShade="BF" w:val="365F91"/>
      <w:sz w:val="28"/>
      <w:szCs w:val="20"/>
      <w:u w:val="single"/>
      <w:lang w:val="hr-HR"/>
    </w:rPr>
  </w:style>
  <w:style w:customStyle="1" w:styleId="Style1" w:type="numbering">
    <w:name w:val="Style1"/>
    <w:uiPriority w:val="99"/>
    <w:rsid w:val="00551CB3"/>
    <w:pPr>
      <w:numPr>
        <w:numId w:val="16"/>
      </w:numPr>
    </w:pPr>
  </w:style>
  <w:style w:customStyle="1" w:styleId="Style2" w:type="numbering">
    <w:name w:val="Style2"/>
    <w:uiPriority w:val="99"/>
    <w:rsid w:val="00551CB3"/>
    <w:pPr>
      <w:numPr>
        <w:numId w:val="17"/>
      </w:numPr>
    </w:pPr>
  </w:style>
  <w:style w:customStyle="1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Color="text1" w:themeTint="7F" w:val="808080"/>
    </w:rPr>
  </w:style>
  <w:style w:customStyle="1" w:styleId="SudAdresa" w:type="paragraph">
    <w:name w:val="Sud_Adresa"/>
    <w:basedOn w:val="Normal"/>
    <w:rsid w:val="00EB0D4C"/>
    <w:pPr>
      <w:spacing w:after="0"/>
    </w:pPr>
    <w:rPr>
      <w:noProof/>
    </w:rPr>
  </w:style>
  <w:style w:customStyle="1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1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1" w:styleId="SudStalnasluba" w:type="paragraph">
    <w:name w:val="Sud_Stalna služba"/>
    <w:basedOn w:val="SudSjedite"/>
    <w:rsid w:val="00EB0D4C"/>
  </w:style>
  <w:style w:customStyle="1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1" w:styleId="SudacChar" w:type="character">
    <w:name w:val="Sudac Char"/>
    <w:basedOn w:val="Zadanifontodlomka"/>
    <w:link w:val="Sudac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1" w:styleId="SudacPotpisChar" w:type="character">
    <w:name w:val="SudacPotpis Char"/>
    <w:basedOn w:val="DostavitiChar"/>
    <w:link w:val="SudacPotpis"/>
    <w:uiPriority w:val="2"/>
    <w:rsid w:val="00551CB3"/>
    <w:rPr>
      <w:rFonts w:ascii="Times New Roman" w:hAns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after="0" w:line="240" w:lineRule="auto"/>
    </w:pPr>
    <w:rPr>
      <w:rFonts w:ascii="Times New Roman" w:hAnsi="Times New Roman"/>
      <w:sz w:val="24"/>
      <w:szCs w:val="24"/>
      <w:lang w:val="hr-HR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customStyle="1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1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1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1" w:styleId="ABCNaslovChar" w:type="character">
    <w:name w:val="ABC_Naslov Char"/>
    <w:basedOn w:val="Zadanifontodlomka"/>
    <w:link w:val="ABCNaslov"/>
    <w:rsid w:val="00EB0D4C"/>
    <w:rPr>
      <w:rFonts w:ascii="Times New Roman" w:hAnsi="Times New Roman"/>
      <w:caps/>
      <w:spacing w:val="100"/>
      <w:sz w:val="24"/>
      <w:szCs w:val="24"/>
      <w:lang w:val="hr-HR"/>
    </w:rPr>
  </w:style>
  <w:style w:customStyle="1" w:styleId="abcNaslovChar0" w:type="character">
    <w:name w:val="abc_Naslov Char"/>
    <w:basedOn w:val="Zadanifontodlomka"/>
    <w:link w:val="abcNaslov0"/>
    <w:rsid w:val="00EB0D4C"/>
    <w:rPr>
      <w:rFonts w:ascii="Times New Roman" w:hAnsi="Times New Roman"/>
      <w:spacing w:val="100"/>
      <w:sz w:val="24"/>
      <w:szCs w:val="24"/>
      <w:lang w:val="hr-HR"/>
    </w:rPr>
  </w:style>
  <w:style w:customStyle="1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1" w:styleId="abc2NaslovChar" w:type="character">
    <w:name w:val="abc2_Naslov Char"/>
    <w:basedOn w:val="Zadanifontodlomka"/>
    <w:link w:val="abc2Naslov"/>
    <w:rsid w:val="00EB0D4C"/>
    <w:rPr>
      <w:rFonts w:ascii="Times New Roman" w:hAns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1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1" w:styleId="NaslovdokumentaChar" w:type="character">
    <w:name w:val="Naslov_dokumenta Char"/>
    <w:basedOn w:val="Zadanifontodlomka"/>
    <w:link w:val="Naslovdokumenta"/>
    <w:rsid w:val="00EB0D4C"/>
    <w:rPr>
      <w:rFonts w:ascii="Times New Roman" w:hAnsi="Times New Roman"/>
      <w:b/>
      <w:caps/>
      <w:spacing w:val="100"/>
      <w:sz w:val="24"/>
      <w:szCs w:val="24"/>
      <w:lang w:val="hr-HR"/>
    </w:rPr>
  </w:style>
  <w:style w:customStyle="1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1" w:styleId="NormaleSPISChar" w:type="character">
    <w:name w:val="Normal_eSPIS Char"/>
    <w:basedOn w:val="Zadanifontodlomka"/>
    <w:link w:val="Normal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asciiTheme="majorHAnsi" w:cstheme="majorBidi" w:eastAsiaTheme="majorEastAsia" w:hAnsiTheme="majorHAnsi"/>
      <w:i/>
      <w:iCs/>
      <w:color w:themeColor="accent1" w:val="4F81BD"/>
      <w:spacing w:val="15"/>
    </w:rPr>
  </w:style>
  <w:style w:customStyle="1" w:styleId="PodnaslovChar" w:type="character">
    <w:name w:val="Podnaslov Char"/>
    <w:basedOn w:val="Zadanifontodlomka"/>
    <w:link w:val="Podnaslov"/>
    <w:uiPriority w:val="11"/>
    <w:rsid w:val="00551CB3"/>
    <w:rPr>
      <w:rFonts w:asciiTheme="majorHAnsi" w:cstheme="majorBidi" w:eastAsiaTheme="majorEastAsia" w:hAnsiTheme="majorHAnsi"/>
      <w:i/>
      <w:iCs/>
      <w:color w:themeColor="accent1" w:val="4F81BD"/>
      <w:spacing w:val="15"/>
      <w:sz w:val="24"/>
      <w:szCs w:val="24"/>
      <w:lang w:val="hr-HR"/>
    </w:rPr>
  </w:style>
  <w:style w:customStyle="1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1" w:styleId="SudacPotpisIzvornikChar" w:type="character">
    <w:name w:val="SudacPotpis_Izvornik Char"/>
    <w:basedOn w:val="DostavitiChar"/>
    <w:link w:val="SudacPotpisIzvornik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1" w:styleId="SudacPotpisOtpravakChar" w:type="character">
    <w:name w:val="SudacPotpis_Otpravak Char"/>
    <w:basedOn w:val="SudacPotpisIzvornikChar"/>
    <w:link w:val="SudacPotpisOtpravak"/>
    <w:rsid w:val="00EB0D4C"/>
    <w:rPr>
      <w:rFonts w:ascii="Times New Roman" w:hAns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color="4F81BD" w:space="4" w:sz="8" w:themeColor="accent1" w:val="single"/>
      </w:pBdr>
      <w:spacing w:after="300"/>
      <w:contextualSpacing/>
    </w:pPr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</w:rPr>
  </w:style>
  <w:style w:customStyle="1" w:styleId="NaslovChar" w:type="character">
    <w:name w:val="Naslov Char"/>
    <w:basedOn w:val="Zadanifontodlomka"/>
    <w:link w:val="Naslov"/>
    <w:uiPriority w:val="10"/>
    <w:rsid w:val="00551CB3"/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color="4F81BD" w:shadow="1" w:space="10" w:sz="2" w:themeColor="accent1" w:val="single"/>
        <w:left w:color="4F81BD" w:shadow="1" w:space="10" w:sz="2" w:themeColor="accent1" w:val="single"/>
        <w:bottom w:color="4F81BD" w:shadow="1" w:space="10" w:sz="2" w:themeColor="accent1" w:val="single"/>
        <w:right w:color="4F81BD" w:shadow="1" w:space="10" w:sz="2" w:themeColor="accent1" w:val="single"/>
      </w:pBdr>
      <w:ind w:left="1152" w:right="1152"/>
    </w:pPr>
    <w:rPr>
      <w:rFonts w:asciiTheme="minorHAnsi" w:eastAsiaTheme="minorEastAsia" w:hAns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1" w:styleId="TijelotekstaChar" w:type="character">
    <w:name w:val="Tijelo teksta Char"/>
    <w:basedOn w:val="Zadanifontodlomka"/>
    <w:link w:val="Tijeloteksta"/>
    <w:uiPriority w:val="99"/>
    <w:rsid w:val="00551CB3"/>
    <w:rPr>
      <w:rFonts w:ascii="Times New Roman" w:hAns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after="120" w:line="480" w:lineRule="auto"/>
    </w:pPr>
  </w:style>
  <w:style w:customStyle="1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1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1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1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after="120" w:line="480" w:lineRule="auto"/>
      <w:ind w:left="283"/>
    </w:pPr>
  </w:style>
  <w:style w:customStyle="1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1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ascii="Times New Roman" w:hAns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qFormat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1" w:styleId="ZavretakChar" w:type="character">
    <w:name w:val="Završetak Char"/>
    <w:basedOn w:val="Zadanifontodlomka"/>
    <w:link w:val="Zavretak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CCCCCC" w:themeFill="text1" w:themeFillTint="33" w:val="clear"/>
    </w:tcPr>
    <w:tblStylePr w:type="firstRow">
      <w:rPr>
        <w:b/>
        <w:bCs/>
      </w:rPr>
      <w:tblPr/>
      <w:tcPr>
        <w:shd w:color="auto" w:fill="999999" w:themeFill="tex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999999" w:themeFill="text1" w:themeFillTint="66" w:val="clear"/>
      </w:tcPr>
    </w:tblStylePr>
    <w:tblStylePr w:type="fir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la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BE5F1" w:themeFill="accent1" w:themeFillTint="33" w:val="clear"/>
    </w:tcPr>
    <w:tblStylePr w:type="firstRow">
      <w:rPr>
        <w:b/>
        <w:bCs/>
      </w:rPr>
      <w:tblPr/>
      <w:tcPr>
        <w:shd w:color="auto" w:fill="B8CCE4" w:themeFill="accen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8CCE4" w:themeFill="accent1" w:themeFillTint="66" w:val="clear"/>
      </w:tcPr>
    </w:tblStylePr>
    <w:tblStylePr w:type="fir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la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2DBDB" w:themeFill="accent2" w:themeFillTint="33" w:val="clear"/>
    </w:tcPr>
    <w:tblStylePr w:type="firstRow">
      <w:rPr>
        <w:b/>
        <w:bCs/>
      </w:rPr>
      <w:tblPr/>
      <w:tcPr>
        <w:shd w:color="auto" w:fill="E5B8B7" w:themeFill="accent2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E5B8B7" w:themeFill="accent2" w:themeFillTint="66" w:val="clear"/>
      </w:tcPr>
    </w:tblStylePr>
    <w:tblStylePr w:type="fir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la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AF1DD" w:themeFill="accent3" w:themeFillTint="33" w:val="clear"/>
    </w:tcPr>
    <w:tblStylePr w:type="firstRow">
      <w:rPr>
        <w:b/>
        <w:bCs/>
      </w:rPr>
      <w:tblPr/>
      <w:tcPr>
        <w:shd w:color="auto" w:fill="D6E3BC" w:themeFill="accent3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D6E3BC" w:themeFill="accent3" w:themeFillTint="66" w:val="clear"/>
      </w:tcPr>
    </w:tblStylePr>
    <w:tblStylePr w:type="fir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la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5DFEC" w:themeFill="accent4" w:themeFillTint="33" w:val="clear"/>
    </w:tcPr>
    <w:tblStylePr w:type="firstRow">
      <w:rPr>
        <w:b/>
        <w:bCs/>
      </w:rPr>
      <w:tblPr/>
      <w:tcPr>
        <w:shd w:color="auto" w:fill="CCC0D9" w:themeFill="accent4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CCC0D9" w:themeFill="accent4" w:themeFillTint="66" w:val="clear"/>
      </w:tcPr>
    </w:tblStylePr>
    <w:tblStylePr w:type="fir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la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AEEF3" w:themeFill="accent5" w:themeFillTint="33" w:val="clear"/>
    </w:tcPr>
    <w:tblStylePr w:type="firstRow">
      <w:rPr>
        <w:b/>
        <w:bCs/>
      </w:rPr>
      <w:tblPr/>
      <w:tcPr>
        <w:shd w:color="auto" w:fill="B6DDE8" w:themeFill="accent5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6DDE8" w:themeFill="accent5" w:themeFillTint="66" w:val="clear"/>
      </w:tcPr>
    </w:tblStylePr>
    <w:tblStylePr w:type="fir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la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DE9D9" w:themeFill="accent6" w:themeFillTint="33" w:val="clear"/>
    </w:tcPr>
    <w:tblStylePr w:type="firstRow">
      <w:rPr>
        <w:b/>
        <w:bCs/>
      </w:rPr>
      <w:tblPr/>
      <w:tcPr>
        <w:shd w:color="auto" w:fill="FBD4B4" w:themeFill="accent6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FBD4B4" w:themeFill="accent6" w:themeFillTint="66" w:val="clear"/>
      </w:tcPr>
    </w:tblStylePr>
    <w:tblStylePr w:type="fir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la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6E6E6" w:themeFill="tex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shd w:color="auto" w:fill="CCCCCC" w:themeFill="text1" w:themeFillTint="33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2F8" w:themeFill="accen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shd w:color="auto" w:fill="DBE5F1" w:themeFill="accent1" w:themeFillTint="33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8EDED" w:themeFill="accent2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shd w:color="auto" w:fill="F2DBDB" w:themeFill="accent2" w:themeFillTint="33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5F8EE" w:themeFill="accent3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664E82" w:themeFill="accent4" w:themeFillShade="CC" w:val="clear"/>
      </w:tcPr>
    </w:tblStylePr>
    <w:tblStylePr w:type="lastRow">
      <w:rPr>
        <w:b/>
        <w:bCs/>
        <w:color w:themeColor="accent4" w:themeShade="CC" w:val="664E82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shd w:color="auto" w:fill="EAF1DD" w:themeFill="accent3" w:themeFillTint="33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2EFF6" w:themeFill="accent4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7E9C40" w:themeFill="accent3" w:themeFillShade="CC" w:val="clear"/>
      </w:tcPr>
    </w:tblStylePr>
    <w:tblStylePr w:type="lastRow">
      <w:rPr>
        <w:b/>
        <w:bCs/>
        <w:color w:themeColor="accent3" w:themeShade="CC" w:val="7E9C40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shd w:color="auto" w:fill="E5DFEC" w:themeFill="accent4" w:themeFillTint="33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6F9" w:themeFill="accent5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F2730A" w:themeFill="accent6" w:themeFillShade="CC" w:val="clear"/>
      </w:tcPr>
    </w:tblStylePr>
    <w:tblStylePr w:type="lastRow">
      <w:rPr>
        <w:b/>
        <w:bCs/>
        <w:color w:themeColor="accent6" w:themeShade="CC" w:val="F2730A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shd w:color="auto" w:fill="DAEEF3" w:themeFill="accent5" w:themeFillTint="33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EF4EC" w:themeFill="accent6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348DA5" w:themeFill="accent5" w:themeFillShade="CC" w:val="clear"/>
      </w:tcPr>
    </w:tblStylePr>
    <w:tblStylePr w:type="lastRow">
      <w:rPr>
        <w:b/>
        <w:bCs/>
        <w:color w:themeColor="accent5" w:themeShade="CC" w:val="348DA5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shd w:color="auto" w:fill="FDE9D9" w:themeFill="accent6" w:themeFillTint="33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6E6E6" w:themeFill="tex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000000" w:themeFill="tex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000000" w:space="0" w:sz="4" w:themeColor="text1" w:themeShade="99" w:val="single"/>
          <w:insideV w:val="nil"/>
        </w:tcBorders>
        <w:shd w:color="auto" w:fill="000000" w:themeFill="tex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shd w:color="auto" w:fill="999999" w:themeFill="text1" w:themeFillTint="66" w:val="clear"/>
      </w:tcPr>
    </w:tblStylePr>
    <w:tblStylePr w:type="band1Horz">
      <w:tblPr/>
      <w:tcPr>
        <w:shd w:color="auto" w:fill="808080" w:themeFill="tex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4F81BD" w:space="0" w:sz="4" w:themeColor="accent1" w:val="single"/>
        <w:bottom w:color="4F81BD" w:space="0" w:sz="4" w:themeColor="accent1" w:val="single"/>
        <w:right w:color="4F81BD" w:space="0" w:sz="4" w:themeColor="accen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2F8" w:themeFill="accen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C4C74" w:themeFill="accen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C4C74" w:space="0" w:sz="4" w:themeColor="accent1" w:themeShade="99" w:val="single"/>
          <w:insideV w:val="nil"/>
        </w:tcBorders>
        <w:shd w:color="auto" w:fill="2C4C74" w:themeFill="accen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C4C74" w:themeFill="accent1" w:themeFillShade="99" w:val="clear"/>
      </w:tcPr>
    </w:tblStylePr>
    <w:tblStylePr w:type="band1Vert">
      <w:tblPr/>
      <w:tcPr>
        <w:shd w:color="auto" w:fill="B8CCE4" w:themeFill="accent1" w:themeFillTint="66" w:val="clear"/>
      </w:tcPr>
    </w:tblStylePr>
    <w:tblStylePr w:type="band1Horz">
      <w:tblPr/>
      <w:tcPr>
        <w:shd w:color="auto" w:fill="A7BFDE" w:themeFill="accen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C0504D" w:space="0" w:sz="4" w:themeColor="accent2" w:val="single"/>
        <w:bottom w:color="C0504D" w:space="0" w:sz="4" w:themeColor="accent2" w:val="single"/>
        <w:right w:color="C0504D" w:space="0" w:sz="4" w:themeColor="accent2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8EDED" w:themeFill="accent2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772C2A" w:themeFill="accent2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772C2A" w:space="0" w:sz="4" w:themeColor="accent2" w:themeShade="99" w:val="single"/>
          <w:insideV w:val="nil"/>
        </w:tcBorders>
        <w:shd w:color="auto" w:fill="772C2A" w:themeFill="accent2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72C2A" w:themeFill="accent2" w:themeFillShade="99" w:val="clear"/>
      </w:tcPr>
    </w:tblStylePr>
    <w:tblStylePr w:type="band1Vert">
      <w:tblPr/>
      <w:tcPr>
        <w:shd w:color="auto" w:fill="E5B8B7" w:themeFill="accent2" w:themeFillTint="66" w:val="clear"/>
      </w:tcPr>
    </w:tblStylePr>
    <w:tblStylePr w:type="band1Horz">
      <w:tblPr/>
      <w:tcPr>
        <w:shd w:color="auto" w:fill="DFA7A6" w:themeFill="accent2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24" w:themeColor="accent4" w:val="single"/>
        <w:left w:color="9BBB59" w:space="0" w:sz="4" w:themeColor="accent3" w:val="single"/>
        <w:bottom w:color="9BBB59" w:space="0" w:sz="4" w:themeColor="accent3" w:val="single"/>
        <w:right w:color="9BBB59" w:space="0" w:sz="4" w:themeColor="accent3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5F8EE" w:themeFill="accent3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5E7530" w:themeFill="accent3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5E7530" w:space="0" w:sz="4" w:themeColor="accent3" w:themeShade="99" w:val="single"/>
          <w:insideV w:val="nil"/>
        </w:tcBorders>
        <w:shd w:color="auto" w:fill="5E7530" w:themeFill="accent3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E7530" w:themeFill="accent3" w:themeFillShade="99" w:val="clear"/>
      </w:tcPr>
    </w:tblStylePr>
    <w:tblStylePr w:type="band1Vert">
      <w:tblPr/>
      <w:tcPr>
        <w:shd w:color="auto" w:fill="D6E3BC" w:themeFill="accent3" w:themeFillTint="66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24" w:themeColor="accent3" w:val="single"/>
        <w:left w:color="8064A2" w:space="0" w:sz="4" w:themeColor="accent4" w:val="single"/>
        <w:bottom w:color="8064A2" w:space="0" w:sz="4" w:themeColor="accent4" w:val="single"/>
        <w:right w:color="8064A2" w:space="0" w:sz="4" w:themeColor="accent4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2EFF6" w:themeFill="accent4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4C3B62" w:themeFill="accent4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4C3B62" w:space="0" w:sz="4" w:themeColor="accent4" w:themeShade="99" w:val="single"/>
          <w:insideV w:val="nil"/>
        </w:tcBorders>
        <w:shd w:color="auto" w:fill="4C3B62" w:themeFill="accent4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4C3B62" w:themeFill="accent4" w:themeFillShade="99" w:val="clear"/>
      </w:tcPr>
    </w:tblStylePr>
    <w:tblStylePr w:type="band1Vert">
      <w:tblPr/>
      <w:tcPr>
        <w:shd w:color="auto" w:fill="CCC0D9" w:themeFill="accent4" w:themeFillTint="66" w:val="clear"/>
      </w:tcPr>
    </w:tblStylePr>
    <w:tblStylePr w:type="band1Horz">
      <w:tblPr/>
      <w:tcPr>
        <w:shd w:color="auto" w:fill="BFB1D0" w:themeFill="accent4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24" w:themeColor="accent6" w:val="single"/>
        <w:left w:color="4BACC6" w:space="0" w:sz="4" w:themeColor="accent5" w:val="single"/>
        <w:bottom w:color="4BACC6" w:space="0" w:sz="4" w:themeColor="accent5" w:val="single"/>
        <w:right w:color="4BACC6" w:space="0" w:sz="4" w:themeColor="accent5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6F9" w:themeFill="accent5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76A7C" w:themeFill="accent5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76A7C" w:space="0" w:sz="4" w:themeColor="accent5" w:themeShade="99" w:val="single"/>
          <w:insideV w:val="nil"/>
        </w:tcBorders>
        <w:shd w:color="auto" w:fill="276A7C" w:themeFill="accent5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76A7C" w:themeFill="accent5" w:themeFillShade="99" w:val="clear"/>
      </w:tcPr>
    </w:tblStylePr>
    <w:tblStylePr w:type="band1Vert">
      <w:tblPr/>
      <w:tcPr>
        <w:shd w:color="auto" w:fill="B6DDE8" w:themeFill="accent5" w:themeFillTint="66" w:val="clear"/>
      </w:tcPr>
    </w:tblStylePr>
    <w:tblStylePr w:type="band1Horz">
      <w:tblPr/>
      <w:tcPr>
        <w:shd w:color="auto" w:fill="A5D5E2" w:themeFill="accent5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24" w:themeColor="accent5" w:val="single"/>
        <w:left w:color="F79646" w:space="0" w:sz="4" w:themeColor="accent6" w:val="single"/>
        <w:bottom w:color="F79646" w:space="0" w:sz="4" w:themeColor="accent6" w:val="single"/>
        <w:right w:color="F79646" w:space="0" w:sz="4" w:themeColor="accent6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EF4EC" w:themeFill="accent6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B65608" w:themeFill="accent6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B65608" w:space="0" w:sz="4" w:themeColor="accent6" w:themeShade="99" w:val="single"/>
          <w:insideV w:val="nil"/>
        </w:tcBorders>
        <w:shd w:color="auto" w:fill="B65608" w:themeFill="accent6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B65608" w:themeFill="accent6" w:themeFillShade="99" w:val="clear"/>
      </w:tcPr>
    </w:tblStylePr>
    <w:tblStylePr w:type="band1Vert">
      <w:tblPr/>
      <w:tcPr>
        <w:shd w:color="auto" w:fill="FBD4B4" w:themeFill="accent6" w:themeFillTint="66" w:val="clear"/>
      </w:tcPr>
    </w:tblStylePr>
    <w:tblStylePr w:type="band1Horz">
      <w:tblPr/>
      <w:tcPr>
        <w:shd w:color="auto" w:fill="FBCAA2" w:themeFill="accent6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1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1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ascii="Times New Roman" w:hAns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000000" w:themeFill="tex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000000" w:themeFill="tex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F81BD" w:themeFill="accen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43F60" w:themeFill="accen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65F91" w:themeFill="accen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C0504D" w:themeFill="accent2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622423" w:themeFill="accent2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943634" w:themeFill="accent2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9BBB59" w:themeFill="accent3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4E6128" w:themeFill="accent3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76923C" w:themeFill="accent3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8064A2" w:themeFill="accent4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3F3151" w:themeFill="accent4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5F497A" w:themeFill="accent4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BACC6" w:themeFill="accent5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05867" w:themeFill="accent5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1849B" w:themeFill="accent5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F79646" w:themeFill="accent6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974706" w:themeFill="accent6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E36C0A" w:themeFill="accent6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1" w:styleId="DatumChar" w:type="character">
    <w:name w:val="Datum Char"/>
    <w:basedOn w:val="Zadanifontodlomka"/>
    <w:link w:val="Datum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ascii="Tahoma" w:cs="Tahoma" w:hAnsi="Tahoma"/>
      <w:sz w:val="16"/>
      <w:szCs w:val="16"/>
    </w:rPr>
  </w:style>
  <w:style w:customStyle="1" w:styleId="KartadokumentaChar" w:type="character">
    <w:name w:val="Karta dokumenta Char"/>
    <w:basedOn w:val="Zadanifontodlomka"/>
    <w:link w:val="Kartadokumenta"/>
    <w:uiPriority w:val="99"/>
    <w:rsid w:val="00551CB3"/>
    <w:rPr>
      <w:rFonts w:ascii="Tahoma" w:cs="Tahoma" w:hAns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1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asciiTheme="majorHAnsi" w:cstheme="majorBidi" w:eastAsiaTheme="majorEastAsia" w:hAns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1" w:styleId="HTML-adresaChar" w:type="character">
    <w:name w:val="HTML-adresa Char"/>
    <w:basedOn w:val="Zadanifontodlomka"/>
    <w:link w:val="HTML-adresa"/>
    <w:uiPriority w:val="99"/>
    <w:semiHidden/>
    <w:rsid w:val="00551CB3"/>
    <w:rPr>
      <w:rFonts w:ascii="Times New Roman" w:hAns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ascii="Consolas" w:cs="Consolas" w:hAnsi="Consolas"/>
      <w:sz w:val="20"/>
      <w:szCs w:val="20"/>
    </w:rPr>
  </w:style>
  <w:style w:customStyle="1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ascii="Consolas" w:cs="Consolas" w:hAns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ascii="Consolas" w:cs="Consolas" w:hAns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asciiTheme="majorHAnsi" w:cstheme="majorBidi" w:eastAsiaTheme="majorEastAsia" w:hAns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1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  <w:shd w:color="auto" w:fill="C0C0C0" w:themeFill="text1" w:themeFillTint="3F" w:val="clear"/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  <w:shd w:color="auto" w:fill="C0C0C0" w:themeFill="text1" w:themeFillTint="3F" w:val="clear"/>
      </w:tcPr>
    </w:tblStylePr>
    <w:tblStylePr w:type="band2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1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  <w:shd w:color="auto" w:fill="D3DFEE" w:themeFill="accent1" w:themeFillTint="3F" w:val="clear"/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  <w:shd w:color="auto" w:fill="D3DFEE" w:themeFill="accent1" w:themeFillTint="3F" w:val="clear"/>
      </w:tcPr>
    </w:tblStylePr>
    <w:tblStylePr w:type="band2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1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  <w:shd w:color="auto" w:fill="EFD3D2" w:themeFill="accent2" w:themeFillTint="3F" w:val="clear"/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  <w:shd w:color="auto" w:fill="EFD3D2" w:themeFill="accent2" w:themeFillTint="3F" w:val="clear"/>
      </w:tcPr>
    </w:tblStylePr>
    <w:tblStylePr w:type="band2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1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  <w:shd w:color="auto" w:fill="E6EED5" w:themeFill="accent3" w:themeFillTint="3F" w:val="clear"/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  <w:shd w:color="auto" w:fill="E6EED5" w:themeFill="accent3" w:themeFillTint="3F" w:val="clear"/>
      </w:tcPr>
    </w:tblStylePr>
    <w:tblStylePr w:type="band2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1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  <w:shd w:color="auto" w:fill="DFD8E8" w:themeFill="accent4" w:themeFillTint="3F" w:val="clear"/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  <w:shd w:color="auto" w:fill="DFD8E8" w:themeFill="accent4" w:themeFillTint="3F" w:val="clear"/>
      </w:tcPr>
    </w:tblStylePr>
    <w:tblStylePr w:type="band2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1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  <w:shd w:color="auto" w:fill="D2EAF1" w:themeFill="accent5" w:themeFillTint="3F" w:val="clear"/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  <w:shd w:color="auto" w:fill="D2EAF1" w:themeFill="accent5" w:themeFillTint="3F" w:val="clear"/>
      </w:tcPr>
    </w:tblStylePr>
    <w:tblStylePr w:type="band2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1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  <w:shd w:color="auto" w:fill="FDE4D0" w:themeFill="accent6" w:themeFillTint="3F" w:val="clear"/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  <w:shd w:color="auto" w:fill="FDE4D0" w:themeFill="accent6" w:themeFillTint="3F" w:val="clear"/>
      </w:tcPr>
    </w:tblStylePr>
    <w:tblStylePr w:type="band2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themeShade="BF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1" w:themeShade="BF" w:val="365F91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2" w:themeShade="BF" w:val="943634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3" w:themeShade="BF" w:val="76923C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4" w:themeShade="BF" w:val="5F497A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5" w:themeShade="BF" w:val="31849B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6" w:themeShade="BF" w:val="E36C0A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after="0" w:line="240" w:lineRule="auto"/>
    </w:pPr>
    <w:rPr>
      <w:rFonts w:ascii="Consolas" w:cs="Consolas" w:hAnsi="Consolas"/>
      <w:sz w:val="20"/>
      <w:szCs w:val="20"/>
    </w:rPr>
  </w:style>
  <w:style w:customStyle="1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ascii="Consolas" w:cs="Consolas" w:hAns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  <w:insideV w:color="404040" w:space="0" w:sz="8" w:themeColor="text1" w:themeTint="BF" w:val="single"/>
      </w:tblBorders>
    </w:tblPr>
    <w:tcPr>
      <w:shd w:color="auto" w:fill="C0C0C0" w:themeFill="tex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404040" w:space="0" w:sz="18" w:themeColor="tex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  <w:insideV w:color="7BA0CD" w:space="0" w:sz="8" w:themeColor="accent1" w:themeTint="BF" w:val="single"/>
      </w:tblBorders>
    </w:tblPr>
    <w:tcPr>
      <w:shd w:color="auto" w:fill="D3DFEE" w:themeFill="accen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BA0CD" w:space="0" w:sz="18" w:themeColor="accen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  <w:insideV w:color="CF7B79" w:space="0" w:sz="8" w:themeColor="accent2" w:themeTint="BF" w:val="single"/>
      </w:tblBorders>
    </w:tblPr>
    <w:tcPr>
      <w:shd w:color="auto" w:fill="EFD3D2" w:themeFill="accent2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CF7B79" w:space="0" w:sz="18" w:themeColor="accent2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  <w:insideV w:color="B3CC82" w:space="0" w:sz="8" w:themeColor="accent3" w:themeTint="BF" w:val="single"/>
      </w:tblBorders>
    </w:tblPr>
    <w:tcPr>
      <w:shd w:color="auto" w:fill="E6EED5" w:themeFill="accent3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3CC82" w:space="0" w:sz="18" w:themeColor="accent3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  <w:insideV w:color="9F8AB9" w:space="0" w:sz="8" w:themeColor="accent4" w:themeTint="BF" w:val="single"/>
      </w:tblBorders>
    </w:tblPr>
    <w:tcPr>
      <w:shd w:color="auto" w:fill="DFD8E8" w:themeFill="accent4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9F8AB9" w:space="0" w:sz="18" w:themeColor="accent4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  <w:insideV w:color="78C0D4" w:space="0" w:sz="8" w:themeColor="accent5" w:themeTint="BF" w:val="single"/>
      </w:tblBorders>
    </w:tblPr>
    <w:tcPr>
      <w:shd w:color="auto" w:fill="D2EAF1" w:themeFill="accent5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8C0D4" w:space="0" w:sz="18" w:themeColor="accent5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  <w:insideV w:color="F9B074" w:space="0" w:sz="8" w:themeColor="accent6" w:themeTint="BF" w:val="single"/>
      </w:tblBorders>
    </w:tblPr>
    <w:tcPr>
      <w:shd w:color="auto" w:fill="FDE4D0" w:themeFill="accent6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F9B074" w:space="0" w:sz="18" w:themeColor="accent6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cPr>
      <w:shd w:color="auto" w:fill="C0C0C0" w:themeFill="text1" w:themeFillTint="3F" w:val="clear"/>
    </w:tcPr>
    <w:tblStylePr w:type="firstRow">
      <w:rPr>
        <w:b/>
        <w:bCs/>
        <w:color w:themeColor="text1" w:val="000000"/>
      </w:rPr>
      <w:tblPr/>
      <w:tcPr>
        <w:shd w:color="auto" w:fill="E6E6E6" w:themeFill="tex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CCCCC" w:themeFill="text1" w:themeFillTint="33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tcBorders>
          <w:insideH w:color="000000" w:space="0" w:sz="6" w:themeColor="text1" w:val="single"/>
          <w:insideV w:color="000000" w:space="0" w:sz="6" w:themeColor="text1" w:val="single"/>
        </w:tcBorders>
        <w:shd w:color="auto" w:fill="808080" w:themeFill="tex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color w:themeColor="text1" w:val="000000"/>
      </w:rPr>
      <w:tblPr/>
      <w:tcPr>
        <w:shd w:color="auto" w:fill="EDF2F8" w:themeFill="accen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BE5F1" w:themeFill="accent1" w:themeFillTint="33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tcBorders>
          <w:insideH w:color="4F81BD" w:space="0" w:sz="6" w:themeColor="accent1" w:val="single"/>
          <w:insideV w:color="4F81BD" w:space="0" w:sz="6" w:themeColor="accent1" w:val="single"/>
        </w:tcBorders>
        <w:shd w:color="auto" w:fill="A7BFDE" w:themeFill="accen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color w:themeColor="text1" w:val="000000"/>
      </w:rPr>
      <w:tblPr/>
      <w:tcPr>
        <w:shd w:color="auto" w:fill="F8EDED" w:themeFill="accent2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2DBDB" w:themeFill="accent2" w:themeFillTint="33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tcBorders>
          <w:insideH w:color="C0504D" w:space="0" w:sz="6" w:themeColor="accent2" w:val="single"/>
          <w:insideV w:color="C0504D" w:space="0" w:sz="6" w:themeColor="accent2" w:val="single"/>
        </w:tcBorders>
        <w:shd w:color="auto" w:fill="DFA7A6" w:themeFill="accent2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color w:themeColor="text1" w:val="000000"/>
      </w:rPr>
      <w:tblPr/>
      <w:tcPr>
        <w:shd w:color="auto" w:fill="F5F8EE" w:themeFill="accent3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AF1DD" w:themeFill="accent3" w:themeFillTint="33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tcBorders>
          <w:insideH w:color="9BBB59" w:space="0" w:sz="6" w:themeColor="accent3" w:val="single"/>
          <w:insideV w:color="9BBB59" w:space="0" w:sz="6" w:themeColor="accent3" w:val="single"/>
        </w:tcBorders>
        <w:shd w:color="auto" w:fill="CDDDAC" w:themeFill="accent3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color w:themeColor="text1" w:val="000000"/>
      </w:rPr>
      <w:tblPr/>
      <w:tcPr>
        <w:shd w:color="auto" w:fill="F2EFF6" w:themeFill="accent4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5DFEC" w:themeFill="accent4" w:themeFillTint="33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tcBorders>
          <w:insideH w:color="8064A2" w:space="0" w:sz="6" w:themeColor="accent4" w:val="single"/>
          <w:insideV w:color="8064A2" w:space="0" w:sz="6" w:themeColor="accent4" w:val="single"/>
        </w:tcBorders>
        <w:shd w:color="auto" w:fill="BFB1D0" w:themeFill="accent4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color w:themeColor="text1" w:val="000000"/>
      </w:rPr>
      <w:tblPr/>
      <w:tcPr>
        <w:shd w:color="auto" w:fill="EDF6F9" w:themeFill="accent5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AEEF3" w:themeFill="accent5" w:themeFillTint="33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tcBorders>
          <w:insideH w:color="4BACC6" w:space="0" w:sz="6" w:themeColor="accent5" w:val="single"/>
          <w:insideV w:color="4BACC6" w:space="0" w:sz="6" w:themeColor="accent5" w:val="single"/>
        </w:tcBorders>
        <w:shd w:color="auto" w:fill="A5D5E2" w:themeFill="accent5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color w:themeColor="text1" w:val="000000"/>
      </w:rPr>
      <w:tblPr/>
      <w:tcPr>
        <w:shd w:color="auto" w:fill="FEF4EC" w:themeFill="accent6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9D9" w:themeFill="accent6" w:themeFillTint="33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tcBorders>
          <w:insideH w:color="F79646" w:space="0" w:sz="6" w:themeColor="accent6" w:val="single"/>
          <w:insideV w:color="F79646" w:space="0" w:sz="6" w:themeColor="accent6" w:val="single"/>
        </w:tcBorders>
        <w:shd w:color="auto" w:fill="FBCAA2" w:themeFill="accent6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C0C0C0" w:themeFill="tex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808080" w:themeFill="tex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808080" w:themeFill="text1" w:themeFillTint="7F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7BFDE" w:themeFill="accen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7BFDE" w:themeFill="accent1" w:themeFillTint="7F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DFA7A6" w:themeFill="accent2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DFA7A6" w:themeFill="accent2" w:themeFillTint="7F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CDDDAC" w:themeFill="accent3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CDDDAC" w:themeFill="accent3" w:themeFillTint="7F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BFB1D0" w:themeFill="accent4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BFB1D0" w:themeFill="accent4" w:themeFillTint="7F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5D5E2" w:themeFill="accent5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5D5E2" w:themeFill="accent5" w:themeFillTint="7F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FBCAA2" w:themeFill="accent6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FBCAA2" w:themeFill="accent6" w:themeFillTint="7F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000000" w:space="0" w:sz="8" w:themeColor="tex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shd w:color="auto" w:fill="C0C0C0" w:themeFill="text1" w:themeFillTint="3F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F81BD" w:space="0" w:sz="8" w:themeColor="accen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shd w:color="auto" w:fill="D3DFEE" w:themeFill="accent1" w:themeFillTint="3F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C0504D" w:space="0" w:sz="8" w:themeColor="accent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shd w:color="auto" w:fill="EFD3D2" w:themeFill="accent2" w:themeFillTint="3F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9BBB59" w:space="0" w:sz="8" w:themeColor="accent3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shd w:color="auto" w:fill="E6EED5" w:themeFill="accent3" w:themeFillTint="3F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8064A2" w:space="0" w:sz="8" w:themeColor="accent4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shd w:color="auto" w:fill="DFD8E8" w:themeFill="accent4" w:themeFillTint="3F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BACC6" w:space="0" w:sz="8" w:themeColor="accent5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shd w:color="auto" w:fill="D2EAF1" w:themeFill="accent5" w:themeFillTint="3F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F79646" w:space="0" w:sz="8" w:themeColor="accent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shd w:color="auto" w:fill="FDE4D0" w:themeFill="accent6" w:themeFillTint="3F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000000" w:space="0" w:sz="24" w:themeColor="tex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000000" w:space="0" w:sz="8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000000" w:space="0" w:sz="8" w:themeColor="tex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000000" w:space="0" w:sz="8" w:themeColor="tex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C0C0C0" w:themeFill="tex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F81BD" w:space="0" w:sz="24" w:themeColor="accen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F81BD" w:space="0" w:sz="8" w:themeColor="accen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F81BD" w:space="0" w:sz="8" w:themeColor="accen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F81BD" w:space="0" w:sz="8" w:themeColor="accen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3DFEE" w:themeFill="accen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C0504D" w:space="0" w:sz="8" w:themeColor="accent2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C0504D" w:space="0" w:sz="8" w:themeColor="accent2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C0504D" w:space="0" w:sz="8" w:themeColor="accent2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FD3D2" w:themeFill="accent2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9BBB59" w:space="0" w:sz="8" w:themeColor="accent3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9BBB59" w:space="0" w:sz="8" w:themeColor="accent3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9BBB59" w:space="0" w:sz="8" w:themeColor="accent3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6EED5" w:themeFill="accent3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8064A2" w:space="0" w:sz="8" w:themeColor="accent4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8064A2" w:space="0" w:sz="8" w:themeColor="accent4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8064A2" w:space="0" w:sz="8" w:themeColor="accent4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FD8E8" w:themeFill="accent4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BACC6" w:space="0" w:sz="8" w:themeColor="accent5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BACC6" w:space="0" w:sz="8" w:themeColor="accent5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BACC6" w:space="0" w:sz="8" w:themeColor="accent5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2EAF1" w:themeFill="accent5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F79646" w:space="0" w:sz="8" w:themeColor="accent6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F79646" w:space="0" w:sz="8" w:themeColor="accent6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F79646" w:space="0" w:sz="8" w:themeColor="accent6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FDE4D0" w:themeFill="accent6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404040" w:space="0" w:sz="8" w:themeColor="text1" w:themeTint="BF" w:val="sing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04040" w:space="0" w:sz="6" w:themeColor="text1" w:themeTint="BF" w:val="doub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C0C0C0" w:themeFill="tex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BA0CD" w:space="0" w:sz="8" w:themeColor="accent1" w:themeTint="BF" w:val="sing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BA0CD" w:space="0" w:sz="6" w:themeColor="accent1" w:themeTint="BF" w:val="doub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3DFEE" w:themeFill="accen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CF7B79" w:space="0" w:sz="8" w:themeColor="accent2" w:themeTint="BF" w:val="sing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F7B79" w:space="0" w:sz="6" w:themeColor="accent2" w:themeTint="BF" w:val="doub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FD3D2" w:themeFill="accent2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B3CC82" w:space="0" w:sz="8" w:themeColor="accent3" w:themeTint="BF" w:val="sing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B3CC82" w:space="0" w:sz="6" w:themeColor="accent3" w:themeTint="BF" w:val="doub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6EED5" w:themeFill="accent3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9F8AB9" w:space="0" w:sz="8" w:themeColor="accent4" w:themeTint="BF" w:val="sing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F8AB9" w:space="0" w:sz="6" w:themeColor="accent4" w:themeTint="BF" w:val="doub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FD8E8" w:themeFill="accent4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8C0D4" w:space="0" w:sz="8" w:themeColor="accent5" w:themeTint="BF" w:val="sing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8C0D4" w:space="0" w:sz="6" w:themeColor="accent5" w:themeTint="BF" w:val="doub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2EAF1" w:themeFill="accent5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F9B074" w:space="0" w:sz="8" w:themeColor="accent6" w:themeTint="BF" w:val="sing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9B074" w:space="0" w:sz="6" w:themeColor="accent6" w:themeTint="BF" w:val="doub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FDE4D0" w:themeFill="accent6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color="auto" w:space="1" w:sz="6" w:val="single"/>
        <w:left w:color="auto" w:space="1" w:sz="6" w:val="single"/>
        <w:bottom w:color="auto" w:space="1" w:sz="6" w:val="single"/>
        <w:right w:color="auto" w:space="1" w:sz="6" w:val="single"/>
      </w:pBdr>
      <w:shd w:color="auto" w:fill="auto" w:val="pct20"/>
      <w:spacing w:after="0"/>
      <w:ind w:hanging="1134" w:left="1134"/>
    </w:pPr>
    <w:rPr>
      <w:rFonts w:asciiTheme="majorHAnsi" w:cstheme="majorBidi" w:eastAsiaTheme="majorEastAsia" w:hAnsiTheme="majorHAnsi"/>
    </w:rPr>
  </w:style>
  <w:style w:customStyle="1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asciiTheme="majorHAnsi" w:cstheme="majorBidi" w:eastAsiaTheme="majorEastAsia" w:hAnsiTheme="majorHAnsi"/>
      <w:sz w:val="24"/>
      <w:szCs w:val="24"/>
      <w:shd w:color="auto" w:fill="auto" w:val="pct20"/>
      <w:lang w:val="hr-HR"/>
    </w:rPr>
  </w:style>
  <w:style w:customStyle="1" w:styleId="NormalDefault" w:type="paragraph">
    <w:name w:val="Normal_Default"/>
    <w:basedOn w:val="Normal"/>
    <w:link w:val="NormalDefaultChar"/>
    <w:rsid w:val="00EB0D4C"/>
  </w:style>
  <w:style w:customStyle="1" w:styleId="NormalDefaultChar" w:type="character">
    <w:name w:val="Normal_Default Char"/>
    <w:basedOn w:val="Zadanifontodlomka"/>
    <w:link w:val="NormalDefault"/>
    <w:rsid w:val="00EB0D4C"/>
    <w:rPr>
      <w:rFonts w:ascii="Times New Roman" w:hAns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1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ascii="Consolas" w:cs="Consolas" w:hAnsi="Consolas"/>
      <w:sz w:val="21"/>
      <w:szCs w:val="21"/>
    </w:rPr>
  </w:style>
  <w:style w:customStyle="1" w:styleId="ObinitekstChar" w:type="character">
    <w:name w:val="Obični tekst Char"/>
    <w:basedOn w:val="Zadanifontodlomka"/>
    <w:link w:val="Obinitekst"/>
    <w:uiPriority w:val="99"/>
    <w:semiHidden/>
    <w:rsid w:val="00551CB3"/>
    <w:rPr>
      <w:rFonts w:ascii="Consolas" w:cs="Consolas" w:hAns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1" w:styleId="PozdravChar" w:type="character">
    <w:name w:val="Pozdrav Char"/>
    <w:basedOn w:val="Zadanifontodlomka"/>
    <w:link w:val="Pozdrav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1" w:styleId="PotpisChar" w:type="character">
    <w:name w:val="Potpis Char"/>
    <w:basedOn w:val="Zadanifontodlomka"/>
    <w:link w:val="Potpis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cPr>
      <w:shd w:color="C0C0C0" w:fill="FFFFFF" w:val="solid"/>
    </w:tcPr>
    <w:tblStylePr w:type="firstRow">
      <w:rPr>
        <w:b/>
        <w:bCs/>
        <w:color w:val="800080"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tblPr/>
      <w:tcPr>
        <w:tcBorders>
          <w:left w:color="auto" w:space="0" w:sz="0" w:val="none"/>
          <w:bottom w:color="auto" w:space="0" w:sz="0" w:val="none"/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bottom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  <w:tblStylePr w:type="seCell">
      <w:tblPr/>
      <w:tcPr>
        <w:tcBorders>
          <w:top w:color="auto" w:space="0" w:sz="0" w:val="none"/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op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cPr>
      <w:shd w:color="C0C0C0" w:fill="FFFFFF" w:val="solid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C0C0C0" w:fill="FFFFFF" w:val="pct50"/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000080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C0C0C0" w:fill="FFFFFF" w:val="solid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color w:val="000080"/>
      </w:rPr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FFFFFF" w:fill="FFFFFF" w:val="solid"/>
      </w:tcPr>
    </w:tblStylePr>
    <w:tblStylePr w:type="firstCol">
      <w:rPr>
        <w:b/>
        <w:bCs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6" w:val="single"/>
        <w:bottom w:color="000000" w:space="0" w:sz="12" w:val="single"/>
        <w:right w:color="000000" w:space="0" w:sz="6" w:val="single"/>
      </w:tblBorders>
    </w:tblPr>
    <w:tcPr>
      <w:shd w:color="auto" w:fill="auto" w:val="clear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pct50"/>
      </w:tcPr>
    </w:tblStylePr>
    <w:tblStylePr w:type="lastRow">
      <w:rPr>
        <w:color w:val="00008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00" w:fill="FFFFFF" w:val="pct50"/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FFFFFF"/>
      <w:sz w:val="24"/>
      <w:szCs w:val="24"/>
    </w:rPr>
    <w:tblPr>
      <w:tblBorders>
        <w:top w:color="008080" w:space="0" w:sz="12" w:val="single"/>
        <w:left w:color="008080" w:space="0" w:sz="12" w:val="single"/>
        <w:bottom w:color="008080" w:space="0" w:sz="12" w:val="single"/>
        <w:right w:color="008080" w:space="0" w:sz="12" w:val="single"/>
        <w:insideH w:color="00FFFF" w:space="0" w:sz="6" w:val="single"/>
      </w:tblBorders>
    </w:tblPr>
    <w:tcPr>
      <w:shd w:color="008080" w:fill="FFFFFF" w:val="solid"/>
    </w:tcPr>
    <w:tblStylePr w:type="firstRow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bottom w:color="000000" w:space="0" w:sz="12" w:val="single"/>
      </w:tblBorders>
    </w:tblPr>
    <w:tcPr>
      <w:shd w:color="FFFF00" w:fill="FFFFFF" w:val="pct20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8" w:val="single"/>
        <w:left w:color="000000" w:space="0" w:sz="18" w:val="single"/>
        <w:bottom w:color="000000" w:space="0" w:sz="18" w:val="single"/>
        <w:right w:color="000000" w:space="0" w:sz="18" w:val="single"/>
        <w:insideH w:color="C0C0C0" w:space="0" w:sz="6" w:val="single"/>
      </w:tblBorders>
    </w:tblPr>
    <w:tcPr>
      <w:shd w:color="008080" w:fill="FFFFFF" w:val="pct25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firstCol">
      <w:tblPr/>
      <w:tcPr>
        <w:tcBorders>
          <w:left w:color="000000" w:space="0" w:sz="36" w:val="single"/>
          <w:right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nwCell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blStylePr w:type="firstRow">
      <w:rPr>
        <w:b w:val="0"/>
        <w:bCs w:val="0"/>
      </w:rPr>
      <w:tblPr/>
      <w:tcPr>
        <w:tcBorders>
          <w:bottom w:color="000000" w:space="0" w:sz="6" w:val="doub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25"/>
      </w:tcPr>
    </w:tblStylePr>
    <w:tblStylePr w:type="band2Vert">
      <w:rPr>
        <w:color w:val="auto"/>
      </w:rPr>
      <w:tblPr/>
      <w:tcPr>
        <w:shd w:color="FF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30"/>
      </w:tcPr>
    </w:tblStylePr>
    <w:tblStylePr w:type="band2Vert">
      <w:rPr>
        <w:color w:val="auto"/>
      </w:rPr>
      <w:tblPr/>
      <w:tcPr>
        <w:shd w:color="00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V w:color="000080" w:space="0" w:sz="6" w:val="single"/>
      </w:tblBorders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op w:color="000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000000" w:fill="FFFFFF" w:val="pct10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8080" w:fill="FFFFFF" w:val="pct50"/>
      </w:tcPr>
    </w:tblStylePr>
    <w:tblStylePr w:type="band2Vert">
      <w:rPr>
        <w:color w:val="auto"/>
      </w:rPr>
      <w:tblPr/>
      <w:tcPr>
        <w:shd w:color="000000" w:fill="FFFFFF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  <w:tblBorders>
        <w:top w:color="808080" w:space="0" w:sz="12" w:val="single"/>
        <w:left w:color="808080" w:space="0" w:sz="12" w:val="single"/>
        <w:bottom w:color="808080" w:space="0" w:sz="12" w:val="single"/>
        <w:right w:color="808080" w:space="0" w:sz="12" w:val="single"/>
        <w:insideV w:color="C0C0C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insideH w:color="FFFFFF" w:space="0" w:sz="18" w:val="single"/>
        <w:insideV w:color="FFFFFF" w:space="0" w:sz="18" w:val="single"/>
      </w:tblBorders>
    </w:tbl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5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double"/>
        <w:left w:color="000000" w:space="0" w:sz="6" w:val="double"/>
        <w:bottom w:color="000000" w:space="0" w:sz="6" w:val="double"/>
        <w:right w:color="000000" w:space="0" w:sz="6" w:val="doub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ap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lastRow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12" w:val="single"/>
        <w:bottom w:color="000000" w:space="0" w:sz="6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olor w:val="auto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 w:val="0"/>
        <w:bCs w:val="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H w:color="000080" w:space="0" w:sz="6" w:val="single"/>
        <w:insideV w:color="00008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80" w:space="0" w:sz="12" w:val="single"/>
        <w:left w:color="008080" w:space="0" w:sz="6" w:val="single"/>
        <w:bottom w:color="008080" w:space="0" w:sz="12" w:val="single"/>
        <w:right w:color="008080" w:space="0" w:sz="6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2"/>
      <w:tblBorders>
        <w:bottom w:color="808080" w:space="0" w:sz="12" w:val="single"/>
      </w:tblBorders>
    </w:tblPr>
    <w:tblStylePr w:type="firstRow">
      <w:rPr>
        <w:b/>
        <w:b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008000" w:val="pct75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FF00" w:fill="FFFFFF" w:val="pct20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00008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8080" w:fill="FFFFFF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</w:tblBorders>
    </w:tblPr>
    <w:tcPr>
      <w:shd w:color="000000" w:fill="FFFFFF" w:val="pct50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l2br w:color="auto" w:space="0" w:sz="0" w:val="none"/>
          <w:tr2bl w:color="auto" w:space="0" w:sz="0" w:val="none"/>
        </w:tcBorders>
        <w:shd w:color="000000" w:fill="FFFFFF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00" w:space="0" w:sz="12" w:val="single"/>
        <w:left w:color="008000" w:space="0" w:sz="6" w:val="single"/>
        <w:bottom w:color="008000" w:space="0" w:sz="12" w:val="single"/>
        <w:right w:color="008000" w:space="0" w:sz="6" w:val="single"/>
        <w:insideH w:color="000000" w:space="0" w:sz="6" w:val="single"/>
      </w:tblBorders>
    </w:tblPr>
    <w:tblStylePr w:type="firstRow">
      <w:rPr>
        <w:b/>
        <w:bCs/>
      </w:rPr>
      <w:tblPr/>
      <w:tcPr>
        <w:tcBorders>
          <w:bottom w:color="008000" w:space="0" w:sz="12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rPr>
        <w:b/>
        <w:bCs/>
      </w:rPr>
      <w:tblPr/>
      <w:tcPr>
        <w:tcBorders>
          <w:top w:color="008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V w:color="00000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solid"/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0000" w:fill="FFFFFF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8000" w:space="0" w:sz="12" w:val="single"/>
        <w:bottom w:color="008000" w:space="0" w:sz="12" w:val="single"/>
      </w:tblBorders>
    </w:tblPr>
    <w:tcPr>
      <w:shd w:color="auto" w:fill="auto" w:val="clear"/>
    </w:tcPr>
    <w:tblStylePr w:type="firstRow">
      <w:tblPr/>
      <w:tcPr>
        <w:tcBorders>
          <w:bottom w:color="008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8000" w:space="0" w:sz="6" w:val="single"/>
          <w:tl2br w:color="auto" w:space="0" w:sz="0" w:val="none"/>
          <w:tr2bl w:color="auto" w:space="0" w:sz="0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lef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</w:rPr>
      <w:tblPr/>
      <w:tcPr>
        <w:tcBorders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op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blStylePr w:type="firstRow">
      <w:tblPr/>
      <w:tcPr>
        <w:tcBorders>
          <w:top w:color="000000" w:space="0" w:sz="6" w:val="single"/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800080" w:fill="FFFFFF" w:val="pct25"/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6" w:val="single"/>
        <w:right w:color="000000" w:space="0" w:sz="6" w:val="single"/>
      </w:tblBorders>
    </w:tbl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  <w:shd w:color="008000" w:fill="FFFFFF" w:val="pct25"/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outset"/>
        <w:left w:color="auto" w:space="0" w:sz="6" w:val="outset"/>
        <w:bottom w:color="auto" w:space="0" w:sz="6" w:val="outset"/>
        <w:right w:color="auto" w:space="0" w:sz="6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inset"/>
        <w:left w:color="auto" w:space="0" w:sz="6" w:val="inset"/>
        <w:bottom w:color="auto" w:space="0" w:sz="6" w:val="inset"/>
        <w:right w:color="auto" w:space="0" w:sz="6" w:val="inset"/>
        <w:insideH w:color="auto" w:space="0" w:sz="6" w:val="inset"/>
        <w:insideV w:color="auto" w:space="0" w:sz="6" w:val="in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24" w:val="outset"/>
        <w:left w:color="auto" w:space="0" w:sz="24" w:val="outset"/>
        <w:bottom w:color="auto" w:space="0" w:sz="24" w:val="outset"/>
        <w:right w:color="auto" w:space="0" w:sz="24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asciiTheme="majorHAnsi" w:cstheme="majorBidi" w:eastAsiaTheme="majorEastAsia" w:hAnsiTheme="majorHAnsi"/>
      <w:b/>
      <w:bCs/>
    </w:rPr>
  </w:style>
  <w:style w:styleId="Sadraj1" w:type="paragraph">
    <w:name w:val="toc 1"/>
    <w:basedOn w:val="Normal"/>
    <w:next w:val="Normal"/>
    <w:autoRedefine/>
    <w:uiPriority w:val="3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3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3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39"/>
    <w:semiHidden/>
    <w:unhideWhenUsed/>
    <w:qFormat/>
    <w:rsid w:val="00551CB3"/>
    <w:pPr>
      <w:spacing w:after="0"/>
      <w:outlineLvl w:val="9"/>
    </w:pPr>
    <w:rPr>
      <w:rFonts w:asciiTheme="majorHAnsi" w:hAnsiTheme="majorHAnsi"/>
    </w:rPr>
  </w:style>
  <w:style w:customStyle="1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1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NacrtChar" w:type="character">
    <w:name w:val="Izvornik_Nacrt Char"/>
    <w:basedOn w:val="Zadanifontodlomka"/>
    <w:link w:val="IzvornikNacrt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1" w:styleId="IzvornikObradaChar" w:type="character">
    <w:name w:val="Izvornik_Obrada Char"/>
    <w:basedOn w:val="Zadanifontodlomka"/>
    <w:link w:val="IzvornikObrada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SavjetnikChar" w:type="character">
    <w:name w:val="Izvornik_Savjetnik Char"/>
    <w:basedOn w:val="Zadanifontodlomka"/>
    <w:link w:val="IzvornikSavjetnik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1" w:styleId="IzvornikSavjetnikPotpisChar" w:type="character">
    <w:name w:val="Izvornik_SavjetnikPotpis Char"/>
    <w:basedOn w:val="Zadanifontodlomka"/>
    <w:link w:val="IzvornikSavjetnikPotpis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1" w:styleId="IzvornikZapisniarChar" w:type="character">
    <w:name w:val="Izvornik_Zapisničar Char"/>
    <w:basedOn w:val="Zadanifontodlomka"/>
    <w:link w:val="IzvornikZapisniar"/>
    <w:rsid w:val="00EB0D4C"/>
    <w:rPr>
      <w:rFonts w:ascii="Times New Roman" w:cs="Times New Roman" w:eastAsia="Calibri" w:hAnsi="Times New Roman"/>
      <w:color w:val="000000"/>
      <w:sz w:val="24"/>
      <w:szCs w:val="24"/>
      <w:lang w:eastAsia="hr-HR" w:val="hr-HR"/>
    </w:rPr>
  </w:style>
  <w:style w:customStyle="1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1" w:styleId="IzvornikZapisniarPotpisChar" w:type="character">
    <w:name w:val="Izvornik_ZapisničarPotpis Char"/>
    <w:basedOn w:val="Zadanifontodlomka"/>
    <w:link w:val="IzvornikZapisniarPotpis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ListaeSPIS" w:type="paragraph">
    <w:name w:val="Lista_eSPIS"/>
    <w:basedOn w:val="NormaleSPIS"/>
    <w:link w:val="ListaeSPISChar"/>
    <w:qFormat/>
    <w:rsid w:val="00EB0D4C"/>
    <w:pPr>
      <w:numPr>
        <w:numId w:val="34"/>
      </w:numPr>
    </w:pPr>
  </w:style>
  <w:style w:customStyle="1" w:styleId="ListaeSPISChar" w:type="character">
    <w:name w:val="Lista_eSPIS Char"/>
    <w:basedOn w:val="NormaleSPISChar"/>
    <w:link w:val="Lista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1" w:styleId="NormalJustifiedChar" w:type="character">
    <w:name w:val="Normal_Justified Char"/>
    <w:basedOn w:val="Zadanifontodlomka"/>
    <w:link w:val="NormalJustified"/>
    <w:rsid w:val="00EB0D4C"/>
    <w:rPr>
      <w:rFonts w:ascii="Times New Roman" w:hAnsi="Times New Roman"/>
      <w:sz w:val="24"/>
      <w:szCs w:val="24"/>
      <w:lang w:val="hr-HR"/>
    </w:rPr>
  </w:style>
  <w:style w:customStyle="1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1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1" w:styleId="UputatekstChar" w:type="character">
    <w:name w:val="Uputa_tekst Char"/>
    <w:basedOn w:val="NormalJustifiedChar"/>
    <w:link w:val="Uputatekst"/>
    <w:rsid w:val="00EB0D4C"/>
    <w:rPr>
      <w:rFonts w:ascii="Times New Roman" w:hAnsi="Times New Roman"/>
      <w:sz w:val="24"/>
      <w:szCs w:val="24"/>
      <w:lang w:val="hr-HR"/>
    </w:rPr>
  </w:style>
  <w:style w:customStyle="1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1" w:styleId="Pravnastvar1Char" w:type="character">
    <w:name w:val="Pravna stvar1 Char"/>
    <w:basedOn w:val="Zadanifontodlomka"/>
    <w:link w:val="Pravnastvar1"/>
    <w:rsid w:val="00EB0D4C"/>
    <w:rPr>
      <w:rFonts w:ascii="Times New Roman" w:hAnsi="Times New Roman"/>
      <w:sz w:val="24"/>
      <w:szCs w:val="24"/>
      <w:lang w:val="hr-HR"/>
    </w:rPr>
  </w:style>
  <w:style w:customStyle="1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1" w:styleId="Pravnastvar2Char" w:type="character">
    <w:name w:val="Pravna stvar2 Char"/>
    <w:basedOn w:val="Pravnastvar1Char"/>
    <w:link w:val="Pravnastvar2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  <w:style w:customStyle="1" w:styleId="Bezpopisa1" w:type="numbering">
    <w:name w:val="Bez popisa1"/>
    <w:next w:val="Bezpopisa"/>
    <w:uiPriority w:val="99"/>
    <w:semiHidden/>
    <w:unhideWhenUsed/>
    <w:rsid w:val="006252DC"/>
  </w:style>
  <w:style w:customStyle="1" w:styleId="kontakt" w:type="paragraph">
    <w:name w:val="kontakt"/>
    <w:basedOn w:val="Normal"/>
    <w:uiPriority w:val="99"/>
    <w:rsid w:val="006252DC"/>
    <w:pPr>
      <w:spacing w:after="100" w:afterAutospacing="1" w:before="100" w:beforeAutospacing="1"/>
    </w:pPr>
    <w:rPr>
      <w:rFonts w:cs="Times New Roman" w:eastAsia="Times New Roman"/>
      <w:lang w:eastAsia="hr-HR"/>
    </w:rPr>
  </w:style>
  <w:style w:customStyle="1" w:styleId="contenttext" w:type="paragraph">
    <w:name w:val="contenttext"/>
    <w:basedOn w:val="Normal"/>
    <w:uiPriority w:val="99"/>
    <w:rsid w:val="006252DC"/>
    <w:pPr>
      <w:spacing w:after="100" w:afterAutospacing="1" w:before="100" w:beforeAutospacing="1"/>
      <w:jc w:val="both"/>
    </w:pPr>
    <w:rPr>
      <w:rFonts w:ascii="Arial" w:cs="Arial" w:eastAsia="Times New Roman" w:hAnsi="Arial"/>
      <w:color w:val="666666"/>
      <w:sz w:val="15"/>
      <w:szCs w:val="15"/>
      <w:lang w:eastAsia="hr-HR"/>
    </w:rPr>
  </w:style>
  <w:style w:customStyle="1" w:styleId="datum0" w:type="paragraph">
    <w:name w:val="datum"/>
    <w:basedOn w:val="Normal"/>
    <w:uiPriority w:val="99"/>
    <w:rsid w:val="006252DC"/>
    <w:pPr>
      <w:spacing w:after="100" w:afterAutospacing="1" w:before="100" w:beforeAutospacing="1"/>
    </w:pPr>
    <w:rPr>
      <w:rFonts w:ascii="Arial" w:cs="Arial" w:eastAsia="Times New Roman" w:hAnsi="Arial"/>
      <w:color w:val="800000"/>
      <w:sz w:val="20"/>
      <w:szCs w:val="20"/>
      <w:lang w:eastAsia="hr-HR"/>
    </w:rPr>
  </w:style>
  <w:style w:customStyle="1" w:styleId="c5" w:type="paragraph">
    <w:name w:val="c5"/>
    <w:basedOn w:val="Normal"/>
    <w:uiPriority w:val="99"/>
    <w:rsid w:val="006252DC"/>
    <w:pPr>
      <w:spacing w:after="270" w:before="100" w:beforeAutospacing="1" w:line="330" w:lineRule="atLeast"/>
      <w:jc w:val="both"/>
    </w:pPr>
    <w:rPr>
      <w:rFonts w:ascii="Georgia" w:cs="Times New Roman" w:eastAsia="Times New Roman" w:hAnsi="Georgia"/>
      <w:color w:val="000000"/>
      <w:sz w:val="21"/>
      <w:szCs w:val="21"/>
      <w:lang w:eastAsia="hr-HR"/>
    </w:rPr>
  </w:style>
  <w:style w:customStyle="1" w:styleId="ap1" w:type="paragraph">
    <w:name w:val="ap1"/>
    <w:basedOn w:val="Normal"/>
    <w:uiPriority w:val="99"/>
    <w:rsid w:val="006252DC"/>
    <w:pPr>
      <w:spacing w:after="0" w:line="217" w:lineRule="atLeast"/>
      <w:ind w:left="149" w:right="149"/>
    </w:pPr>
    <w:rPr>
      <w:rFonts w:cs="Times New Roman" w:eastAsia="Times New Roman"/>
      <w:color w:val="1D1C1C"/>
      <w:lang w:eastAsia="hr-HR"/>
    </w:rPr>
  </w:style>
  <w:style w:customStyle="1" w:styleId="itemhead" w:type="paragraph">
    <w:name w:val="itemhead"/>
    <w:basedOn w:val="Normal"/>
    <w:uiPriority w:val="99"/>
    <w:rsid w:val="006252DC"/>
    <w:pPr>
      <w:spacing w:after="100" w:afterAutospacing="1" w:before="100" w:beforeAutospacing="1"/>
    </w:pPr>
    <w:rPr>
      <w:rFonts w:cs="Times New Roman" w:eastAsia="Times New Roman"/>
      <w:lang w:eastAsia="hr-HR"/>
    </w:rPr>
  </w:style>
  <w:style w:customStyle="1" w:styleId="SubtleEmphasis2" w:type="paragraph">
    <w:name w:val="Subtle Emphasis2"/>
    <w:basedOn w:val="Normal"/>
    <w:uiPriority w:val="34"/>
    <w:qFormat/>
    <w:rsid w:val="006252DC"/>
    <w:pPr>
      <w:spacing w:after="0"/>
      <w:ind w:left="720"/>
      <w:contextualSpacing/>
    </w:pPr>
    <w:rPr>
      <w:rFonts w:cs="Times New Roman" w:eastAsia="Times New Roman"/>
      <w:lang w:eastAsia="hr-HR"/>
    </w:rPr>
  </w:style>
  <w:style w:customStyle="1" w:styleId="c11" w:type="paragraph">
    <w:name w:val="c11"/>
    <w:basedOn w:val="Normal"/>
    <w:uiPriority w:val="99"/>
    <w:rsid w:val="006252DC"/>
    <w:pPr>
      <w:spacing w:after="255" w:before="100" w:beforeAutospacing="1"/>
    </w:pPr>
    <w:rPr>
      <w:rFonts w:ascii="Georgia" w:cs="Times New Roman" w:eastAsia="Times New Roman" w:hAnsi="Georgia"/>
      <w:b/>
      <w:bCs/>
      <w:i/>
      <w:iCs/>
      <w:color w:val="484848"/>
      <w:sz w:val="23"/>
      <w:szCs w:val="23"/>
      <w:lang w:eastAsia="hr-HR"/>
    </w:rPr>
  </w:style>
  <w:style w:customStyle="1" w:styleId="textcisti" w:type="paragraph">
    <w:name w:val="textcisti"/>
    <w:basedOn w:val="Normal"/>
    <w:uiPriority w:val="99"/>
    <w:rsid w:val="006252DC"/>
    <w:pPr>
      <w:spacing w:after="100" w:afterAutospacing="1" w:before="100" w:beforeAutospacing="1"/>
    </w:pPr>
    <w:rPr>
      <w:rFonts w:cs="Times New Roman" w:eastAsia="Times New Roman"/>
      <w:lang w:eastAsia="hr-HR"/>
    </w:rPr>
  </w:style>
  <w:style w:customStyle="1" w:styleId="text" w:type="paragraph">
    <w:name w:val="text"/>
    <w:uiPriority w:val="99"/>
    <w:rsid w:val="006252DC"/>
    <w:pPr>
      <w:widowControl w:val="0"/>
      <w:snapToGrid w:val="0"/>
      <w:spacing w:after="0" w:before="240" w:line="240" w:lineRule="exact"/>
      <w:jc w:val="both"/>
    </w:pPr>
    <w:rPr>
      <w:rFonts w:ascii="Arial" w:cs="Times New Roman" w:eastAsia="Times New Roman" w:hAnsi="Arial"/>
      <w:sz w:val="24"/>
      <w:szCs w:val="20"/>
      <w:lang w:val="cs-CZ"/>
    </w:rPr>
  </w:style>
  <w:style w:customStyle="1" w:styleId="textcslovan" w:type="paragraph">
    <w:name w:val="text císlovaný"/>
    <w:basedOn w:val="text"/>
    <w:uiPriority w:val="99"/>
    <w:rsid w:val="006252DC"/>
    <w:pPr>
      <w:ind w:hanging="567" w:left="567"/>
    </w:pPr>
  </w:style>
  <w:style w:customStyle="1" w:styleId="noparagraphstyle" w:type="paragraph">
    <w:name w:val="noparagraphstyle"/>
    <w:basedOn w:val="Normal"/>
    <w:uiPriority w:val="99"/>
    <w:rsid w:val="006252DC"/>
    <w:pPr>
      <w:spacing w:after="100" w:afterAutospacing="1" w:before="100" w:beforeAutospacing="1"/>
    </w:pPr>
    <w:rPr>
      <w:rFonts w:cs="Times New Roman" w:eastAsia="Times New Roman"/>
      <w:lang w:eastAsia="hr-HR"/>
    </w:rPr>
  </w:style>
  <w:style w:customStyle="1" w:styleId="clanak" w:type="paragraph">
    <w:name w:val="clanak"/>
    <w:basedOn w:val="Normal"/>
    <w:uiPriority w:val="99"/>
    <w:rsid w:val="006252DC"/>
    <w:pPr>
      <w:spacing w:after="100" w:afterAutospacing="1" w:before="100" w:beforeAutospacing="1"/>
    </w:pPr>
    <w:rPr>
      <w:rFonts w:cs="Times New Roman" w:eastAsia="Times New Roman"/>
      <w:lang w:eastAsia="hr-HR"/>
    </w:rPr>
  </w:style>
  <w:style w:customStyle="1" w:styleId="c41" w:type="paragraph">
    <w:name w:val="c41"/>
    <w:basedOn w:val="Normal"/>
    <w:uiPriority w:val="99"/>
    <w:rsid w:val="006252DC"/>
    <w:pPr>
      <w:spacing w:after="100" w:afterAutospacing="1" w:before="100" w:beforeAutospacing="1"/>
    </w:pPr>
    <w:rPr>
      <w:rFonts w:cs="Times New Roman" w:eastAsia="Times New Roman"/>
      <w:lang w:eastAsia="hr-HR"/>
    </w:rPr>
  </w:style>
  <w:style w:customStyle="1" w:styleId="SubtleEmphasis1" w:type="paragraph">
    <w:name w:val="Subtle Emphasis1"/>
    <w:basedOn w:val="Normal"/>
    <w:uiPriority w:val="34"/>
    <w:qFormat/>
    <w:rsid w:val="006252DC"/>
    <w:pPr>
      <w:spacing w:after="0"/>
      <w:ind w:left="708"/>
    </w:pPr>
    <w:rPr>
      <w:rFonts w:cs="Times New Roman" w:eastAsia="Times New Roman"/>
      <w:lang w:eastAsia="hr-HR"/>
    </w:rPr>
  </w:style>
  <w:style w:customStyle="1" w:styleId="MediumShading11" w:type="paragraph">
    <w:name w:val="Medium Shading 11"/>
    <w:basedOn w:val="Normal"/>
    <w:uiPriority w:val="63"/>
    <w:rsid w:val="006252DC"/>
    <w:pPr>
      <w:keepNext/>
      <w:numPr>
        <w:ilvl w:val="5"/>
        <w:numId w:val="45"/>
      </w:numPr>
      <w:spacing w:after="0"/>
      <w:contextualSpacing/>
      <w:outlineLvl w:val="5"/>
    </w:pPr>
    <w:rPr>
      <w:rFonts w:ascii="Verdana" w:cs="Times New Roman" w:eastAsia="MS Gothic" w:hAnsi="Verdana"/>
      <w:lang w:eastAsia="hr-HR"/>
    </w:rPr>
  </w:style>
  <w:style w:customStyle="1" w:styleId="MediumGrid21" w:type="paragraph">
    <w:name w:val="Medium Grid 21"/>
    <w:uiPriority w:val="1"/>
    <w:qFormat/>
    <w:rsid w:val="006252DC"/>
    <w:pPr>
      <w:spacing w:after="0" w:line="240" w:lineRule="auto"/>
    </w:pPr>
    <w:rPr>
      <w:rFonts w:ascii="Times New Roman" w:cs="Times New Roman" w:eastAsia="Times New Roman" w:hAnsi="Times New Roman"/>
      <w:sz w:val="24"/>
      <w:szCs w:val="24"/>
      <w:lang w:eastAsia="hr-HR" w:val="hr-HR"/>
    </w:rPr>
  </w:style>
  <w:style w:customStyle="1" w:styleId="DarkList-Accent51" w:type="paragraph">
    <w:name w:val="Dark List - Accent 51"/>
    <w:basedOn w:val="Normal"/>
    <w:uiPriority w:val="34"/>
    <w:qFormat/>
    <w:rsid w:val="006252DC"/>
    <w:pPr>
      <w:spacing w:after="0"/>
      <w:ind w:left="708"/>
    </w:pPr>
    <w:rPr>
      <w:rFonts w:cs="Times New Roman" w:eastAsia="Times New Roman"/>
      <w:lang w:eastAsia="hr-HR"/>
    </w:rPr>
  </w:style>
  <w:style w:customStyle="1" w:styleId="Textbody" w:type="paragraph">
    <w:name w:val="Text body"/>
    <w:basedOn w:val="Normal"/>
    <w:uiPriority w:val="99"/>
    <w:rsid w:val="006252DC"/>
    <w:pPr>
      <w:widowControl w:val="0"/>
      <w:suppressAutoHyphens/>
      <w:autoSpaceDN w:val="0"/>
      <w:spacing w:after="120"/>
    </w:pPr>
    <w:rPr>
      <w:rFonts w:cs="Mangal" w:eastAsia="Lucida Sans Unicode"/>
      <w:kern w:val="3"/>
      <w:lang w:bidi="hi-IN" w:eastAsia="zh-CN"/>
    </w:rPr>
  </w:style>
  <w:style w:customStyle="1" w:styleId="xl63" w:type="paragraph">
    <w:name w:val="xl63"/>
    <w:basedOn w:val="Normal"/>
    <w:uiPriority w:val="99"/>
    <w:rsid w:val="006252DC"/>
    <w:pPr>
      <w:pBdr>
        <w:left w:color="auto" w:space="0" w:sz="4" w:val="single"/>
        <w:right w:color="auto" w:space="0" w:sz="4" w:val="single"/>
      </w:pBdr>
      <w:spacing w:after="100" w:afterAutospacing="1" w:before="100" w:beforeAutospacing="1"/>
    </w:pPr>
    <w:rPr>
      <w:rFonts w:ascii="Times" w:cs="Times New Roman" w:eastAsia="Times New Roman" w:hAnsi="Times"/>
      <w:sz w:val="20"/>
      <w:szCs w:val="20"/>
      <w:lang w:val="en-US"/>
    </w:rPr>
  </w:style>
  <w:style w:customStyle="1" w:styleId="xl64" w:type="paragraph">
    <w:name w:val="xl64"/>
    <w:basedOn w:val="Normal"/>
    <w:uiPriority w:val="99"/>
    <w:rsid w:val="006252DC"/>
    <w:pPr>
      <w:shd w:color="auto" w:fill="C0C0C0" w:val="clear"/>
      <w:spacing w:after="100" w:afterAutospacing="1" w:before="100" w:beforeAutospacing="1"/>
    </w:pPr>
    <w:rPr>
      <w:rFonts w:ascii="Times" w:cs="Times New Roman" w:eastAsia="Times New Roman" w:hAnsi="Times"/>
      <w:sz w:val="20"/>
      <w:szCs w:val="20"/>
      <w:lang w:val="en-US"/>
    </w:rPr>
  </w:style>
  <w:style w:customStyle="1" w:styleId="xl65" w:type="paragraph">
    <w:name w:val="xl65"/>
    <w:basedOn w:val="Normal"/>
    <w:uiPriority w:val="99"/>
    <w:rsid w:val="006252DC"/>
    <w:pPr>
      <w:pBdr>
        <w:left w:color="auto" w:space="0" w:sz="4" w:val="single"/>
        <w:right w:color="auto" w:space="0" w:sz="4" w:val="single"/>
      </w:pBdr>
      <w:spacing w:after="100" w:afterAutospacing="1" w:before="100" w:beforeAutospacing="1"/>
    </w:pPr>
    <w:rPr>
      <w:rFonts w:ascii="Times" w:cs="Times New Roman" w:eastAsia="Times New Roman" w:hAnsi="Times"/>
      <w:sz w:val="20"/>
      <w:szCs w:val="20"/>
      <w:lang w:val="en-US"/>
    </w:rPr>
  </w:style>
  <w:style w:customStyle="1" w:styleId="xl66" w:type="paragraph">
    <w:name w:val="xl66"/>
    <w:basedOn w:val="Normal"/>
    <w:uiPriority w:val="99"/>
    <w:rsid w:val="006252DC"/>
    <w:pPr>
      <w:pBdr>
        <w:left w:color="auto" w:space="0" w:sz="4" w:val="single"/>
        <w:right w:color="auto" w:space="0" w:sz="4" w:val="single"/>
      </w:pBdr>
      <w:spacing w:after="100" w:afterAutospacing="1" w:before="100" w:beforeAutospacing="1"/>
    </w:pPr>
    <w:rPr>
      <w:rFonts w:ascii="Times" w:cs="Times New Roman" w:eastAsia="Times New Roman" w:hAnsi="Times"/>
      <w:sz w:val="20"/>
      <w:szCs w:val="20"/>
      <w:lang w:val="en-US"/>
    </w:rPr>
  </w:style>
  <w:style w:customStyle="1" w:styleId="xl67" w:type="paragraph">
    <w:name w:val="xl67"/>
    <w:basedOn w:val="Normal"/>
    <w:uiPriority w:val="99"/>
    <w:rsid w:val="006252DC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  <w:jc w:val="center"/>
    </w:pPr>
    <w:rPr>
      <w:rFonts w:ascii="Times" w:cs="Times New Roman" w:eastAsia="Times New Roman" w:hAnsi="Times"/>
      <w:b/>
      <w:bCs/>
      <w:color w:val="000000"/>
      <w:sz w:val="20"/>
      <w:szCs w:val="20"/>
      <w:lang w:val="en-US"/>
    </w:rPr>
  </w:style>
  <w:style w:customStyle="1" w:styleId="xl68" w:type="paragraph">
    <w:name w:val="xl68"/>
    <w:basedOn w:val="Normal"/>
    <w:uiPriority w:val="99"/>
    <w:rsid w:val="006252DC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  <w:jc w:val="center"/>
    </w:pPr>
    <w:rPr>
      <w:rFonts w:ascii="Times" w:cs="Times New Roman" w:eastAsia="Times New Roman" w:hAnsi="Times"/>
      <w:b/>
      <w:bCs/>
      <w:color w:val="000000"/>
      <w:sz w:val="20"/>
      <w:szCs w:val="20"/>
      <w:lang w:val="en-US"/>
    </w:rPr>
  </w:style>
  <w:style w:customStyle="1" w:styleId="xl69" w:type="paragraph">
    <w:name w:val="xl69"/>
    <w:basedOn w:val="Normal"/>
    <w:uiPriority w:val="99"/>
    <w:rsid w:val="006252DC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  <w:jc w:val="right"/>
    </w:pPr>
    <w:rPr>
      <w:rFonts w:ascii="Times" w:cs="Times New Roman" w:eastAsia="Times New Roman" w:hAnsi="Times"/>
      <w:b/>
      <w:bCs/>
      <w:color w:val="000000"/>
      <w:sz w:val="20"/>
      <w:szCs w:val="20"/>
      <w:lang w:val="en-US"/>
    </w:rPr>
  </w:style>
  <w:style w:customStyle="1" w:styleId="xl70" w:type="paragraph">
    <w:name w:val="xl70"/>
    <w:basedOn w:val="Normal"/>
    <w:uiPriority w:val="99"/>
    <w:rsid w:val="006252DC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  <w:jc w:val="center"/>
    </w:pPr>
    <w:rPr>
      <w:rFonts w:ascii="Times" w:cs="Times New Roman" w:eastAsia="Times New Roman" w:hAnsi="Times"/>
      <w:b/>
      <w:bCs/>
      <w:color w:val="000000"/>
      <w:sz w:val="20"/>
      <w:szCs w:val="20"/>
      <w:lang w:val="en-US"/>
    </w:rPr>
  </w:style>
  <w:style w:customStyle="1" w:styleId="xl71" w:type="paragraph">
    <w:name w:val="xl71"/>
    <w:basedOn w:val="Normal"/>
    <w:uiPriority w:val="99"/>
    <w:rsid w:val="006252DC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</w:pPr>
    <w:rPr>
      <w:rFonts w:ascii="Times" w:cs="Times New Roman" w:eastAsia="Times New Roman" w:hAnsi="Times"/>
      <w:sz w:val="20"/>
      <w:szCs w:val="20"/>
      <w:lang w:val="en-US"/>
    </w:rPr>
  </w:style>
  <w:style w:customStyle="1" w:styleId="xl72" w:type="paragraph">
    <w:name w:val="xl72"/>
    <w:basedOn w:val="Normal"/>
    <w:uiPriority w:val="99"/>
    <w:rsid w:val="006252DC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</w:pPr>
    <w:rPr>
      <w:rFonts w:ascii="Times" w:cs="Times New Roman" w:eastAsia="Times New Roman" w:hAnsi="Times"/>
      <w:sz w:val="20"/>
      <w:szCs w:val="20"/>
      <w:lang w:val="en-US"/>
    </w:rPr>
  </w:style>
  <w:style w:customStyle="1" w:styleId="xl73" w:type="paragraph">
    <w:name w:val="xl73"/>
    <w:basedOn w:val="Normal"/>
    <w:uiPriority w:val="99"/>
    <w:rsid w:val="006252DC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</w:pPr>
    <w:rPr>
      <w:rFonts w:ascii="Times" w:cs="Times New Roman" w:eastAsia="Times New Roman" w:hAnsi="Times"/>
      <w:sz w:val="20"/>
      <w:szCs w:val="20"/>
      <w:lang w:val="en-US"/>
    </w:rPr>
  </w:style>
  <w:style w:customStyle="1" w:styleId="xl74" w:type="paragraph">
    <w:name w:val="xl74"/>
    <w:basedOn w:val="Normal"/>
    <w:uiPriority w:val="99"/>
    <w:rsid w:val="006252DC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</w:pPr>
    <w:rPr>
      <w:rFonts w:ascii="Tahoma" w:cs="Tahoma" w:eastAsia="Times New Roman" w:hAnsi="Tahoma"/>
      <w:color w:val="000000"/>
      <w:sz w:val="16"/>
      <w:szCs w:val="16"/>
      <w:lang w:val="en-US"/>
    </w:rPr>
  </w:style>
  <w:style w:customStyle="1" w:styleId="xl75" w:type="paragraph">
    <w:name w:val="xl75"/>
    <w:basedOn w:val="Normal"/>
    <w:uiPriority w:val="99"/>
    <w:rsid w:val="006252DC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</w:pPr>
    <w:rPr>
      <w:rFonts w:ascii="Arial" w:cs="Arial" w:eastAsia="Times New Roman" w:hAnsi="Arial"/>
      <w:color w:val="333333"/>
      <w:lang w:val="en-US"/>
    </w:rPr>
  </w:style>
  <w:style w:customStyle="1" w:styleId="xl76" w:type="paragraph">
    <w:name w:val="xl76"/>
    <w:basedOn w:val="Normal"/>
    <w:uiPriority w:val="99"/>
    <w:rsid w:val="006252DC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</w:pPr>
    <w:rPr>
      <w:rFonts w:ascii="Verdana" w:cs="Times New Roman" w:eastAsia="Times New Roman" w:hAnsi="Verdana"/>
      <w:color w:val="000080"/>
      <w:sz w:val="16"/>
      <w:szCs w:val="16"/>
      <w:lang w:val="en-US"/>
    </w:rPr>
  </w:style>
  <w:style w:customStyle="1" w:styleId="xl77" w:type="paragraph">
    <w:name w:val="xl77"/>
    <w:basedOn w:val="Normal"/>
    <w:uiPriority w:val="99"/>
    <w:rsid w:val="006252DC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hd w:color="auto" w:fill="C5D9F1" w:val="clear"/>
      <w:spacing w:after="100" w:afterAutospacing="1" w:before="100" w:beforeAutospacing="1"/>
      <w:jc w:val="center"/>
    </w:pPr>
    <w:rPr>
      <w:rFonts w:ascii="Times" w:cs="Times New Roman" w:eastAsia="Times New Roman" w:hAnsi="Times"/>
      <w:b/>
      <w:bCs/>
      <w:color w:val="000000"/>
      <w:sz w:val="20"/>
      <w:szCs w:val="20"/>
      <w:lang w:val="en-US"/>
    </w:rPr>
  </w:style>
  <w:style w:customStyle="1" w:styleId="xl78" w:type="paragraph">
    <w:name w:val="xl78"/>
    <w:basedOn w:val="Normal"/>
    <w:uiPriority w:val="99"/>
    <w:rsid w:val="006252DC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hd w:color="auto" w:fill="C5D9F1" w:val="clear"/>
      <w:spacing w:after="100" w:afterAutospacing="1" w:before="100" w:beforeAutospacing="1"/>
      <w:jc w:val="center"/>
    </w:pPr>
    <w:rPr>
      <w:rFonts w:ascii="Times" w:cs="Times New Roman" w:eastAsia="Times New Roman" w:hAnsi="Times"/>
      <w:b/>
      <w:bCs/>
      <w:color w:val="000000"/>
      <w:sz w:val="20"/>
      <w:szCs w:val="20"/>
      <w:lang w:val="en-US"/>
    </w:rPr>
  </w:style>
  <w:style w:customStyle="1" w:styleId="xl79" w:type="paragraph">
    <w:name w:val="xl79"/>
    <w:basedOn w:val="Normal"/>
    <w:uiPriority w:val="99"/>
    <w:rsid w:val="006252DC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hd w:color="auto" w:fill="C5D9F1" w:val="clear"/>
      <w:spacing w:after="100" w:afterAutospacing="1" w:before="100" w:beforeAutospacing="1"/>
      <w:jc w:val="center"/>
    </w:pPr>
    <w:rPr>
      <w:rFonts w:ascii="Times" w:cs="Times New Roman" w:eastAsia="Times New Roman" w:hAnsi="Times"/>
      <w:b/>
      <w:bCs/>
      <w:color w:val="000000"/>
      <w:sz w:val="20"/>
      <w:szCs w:val="20"/>
      <w:lang w:val="en-US"/>
    </w:rPr>
  </w:style>
  <w:style w:customStyle="1" w:styleId="xl80" w:type="paragraph">
    <w:name w:val="xl80"/>
    <w:basedOn w:val="Normal"/>
    <w:uiPriority w:val="99"/>
    <w:rsid w:val="006252DC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hd w:color="auto" w:fill="C5D9F1" w:val="clear"/>
      <w:spacing w:after="100" w:afterAutospacing="1" w:before="100" w:beforeAutospacing="1"/>
      <w:jc w:val="center"/>
    </w:pPr>
    <w:rPr>
      <w:rFonts w:ascii="Times" w:cs="Times New Roman" w:eastAsia="Times New Roman" w:hAnsi="Times"/>
      <w:b/>
      <w:bCs/>
      <w:color w:val="000000"/>
      <w:sz w:val="20"/>
      <w:szCs w:val="20"/>
      <w:lang w:val="en-US"/>
    </w:rPr>
  </w:style>
  <w:style w:customStyle="1" w:styleId="SubtleEmphasis3" w:type="paragraph">
    <w:name w:val="Subtle Emphasis3"/>
    <w:basedOn w:val="Normal"/>
    <w:uiPriority w:val="72"/>
    <w:qFormat/>
    <w:rsid w:val="006252DC"/>
    <w:pPr>
      <w:spacing w:after="0"/>
      <w:ind w:left="720"/>
      <w:contextualSpacing/>
    </w:pPr>
    <w:rPr>
      <w:rFonts w:cs="Times New Roman" w:eastAsia="Times New Roman"/>
      <w:lang w:eastAsia="hr-HR"/>
    </w:rPr>
  </w:style>
  <w:style w:customStyle="1" w:styleId="xl92" w:type="paragraph">
    <w:name w:val="xl92"/>
    <w:basedOn w:val="Normal"/>
    <w:uiPriority w:val="99"/>
    <w:rsid w:val="006252DC"/>
    <w:pPr>
      <w:spacing w:after="100" w:afterAutospacing="1" w:before="100" w:beforeAutospacing="1"/>
    </w:pPr>
    <w:rPr>
      <w:rFonts w:ascii="Times" w:cs="Times New Roman" w:eastAsia="Times New Roman" w:hAnsi="Times"/>
      <w:b/>
      <w:bCs/>
      <w:sz w:val="20"/>
      <w:szCs w:val="20"/>
      <w:lang w:val="en-US"/>
    </w:rPr>
  </w:style>
  <w:style w:customStyle="1" w:styleId="xl93" w:type="paragraph">
    <w:name w:val="xl93"/>
    <w:basedOn w:val="Normal"/>
    <w:uiPriority w:val="99"/>
    <w:rsid w:val="006252DC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</w:pPr>
    <w:rPr>
      <w:rFonts w:cs="Times New Roman" w:eastAsia="Times New Roman"/>
      <w:sz w:val="20"/>
      <w:szCs w:val="20"/>
      <w:lang w:val="en-US"/>
    </w:rPr>
  </w:style>
  <w:style w:customStyle="1" w:styleId="xl94" w:type="paragraph">
    <w:name w:val="xl94"/>
    <w:basedOn w:val="Normal"/>
    <w:uiPriority w:val="99"/>
    <w:rsid w:val="006252DC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</w:pPr>
    <w:rPr>
      <w:rFonts w:cs="Times New Roman" w:eastAsia="Times New Roman"/>
      <w:sz w:val="20"/>
      <w:szCs w:val="20"/>
      <w:lang w:val="en-US"/>
    </w:rPr>
  </w:style>
  <w:style w:customStyle="1" w:styleId="xl95" w:type="paragraph">
    <w:name w:val="xl95"/>
    <w:basedOn w:val="Normal"/>
    <w:uiPriority w:val="99"/>
    <w:rsid w:val="006252DC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</w:pPr>
    <w:rPr>
      <w:rFonts w:cs="Times New Roman" w:eastAsia="Times New Roman"/>
      <w:sz w:val="20"/>
      <w:szCs w:val="20"/>
      <w:lang w:val="en-US"/>
    </w:rPr>
  </w:style>
  <w:style w:customStyle="1" w:styleId="xl96" w:type="paragraph">
    <w:name w:val="xl96"/>
    <w:basedOn w:val="Normal"/>
    <w:uiPriority w:val="99"/>
    <w:rsid w:val="006252DC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</w:pPr>
    <w:rPr>
      <w:rFonts w:cs="Times New Roman" w:eastAsia="Times New Roman"/>
      <w:sz w:val="20"/>
      <w:szCs w:val="20"/>
      <w:lang w:val="en-US"/>
    </w:rPr>
  </w:style>
  <w:style w:customStyle="1" w:styleId="xl97" w:type="paragraph">
    <w:name w:val="xl97"/>
    <w:basedOn w:val="Normal"/>
    <w:uiPriority w:val="99"/>
    <w:rsid w:val="006252DC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</w:pPr>
    <w:rPr>
      <w:rFonts w:cs="Times New Roman" w:eastAsia="Times New Roman"/>
      <w:sz w:val="20"/>
      <w:szCs w:val="20"/>
      <w:lang w:val="en-US"/>
    </w:rPr>
  </w:style>
  <w:style w:customStyle="1" w:styleId="xl98" w:type="paragraph">
    <w:name w:val="xl98"/>
    <w:basedOn w:val="Normal"/>
    <w:uiPriority w:val="99"/>
    <w:rsid w:val="006252DC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  <w:jc w:val="center"/>
    </w:pPr>
    <w:rPr>
      <w:rFonts w:cs="Times New Roman" w:eastAsia="Times New Roman"/>
      <w:sz w:val="20"/>
      <w:szCs w:val="20"/>
      <w:lang w:val="en-US"/>
    </w:rPr>
  </w:style>
  <w:style w:customStyle="1" w:styleId="xl99" w:type="paragraph">
    <w:name w:val="xl99"/>
    <w:basedOn w:val="Normal"/>
    <w:uiPriority w:val="99"/>
    <w:rsid w:val="006252DC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auto" w:fill="C5D9F1" w:val="clear"/>
      <w:spacing w:after="100" w:afterAutospacing="1" w:before="100" w:beforeAutospacing="1"/>
    </w:pPr>
    <w:rPr>
      <w:rFonts w:cs="Times New Roman" w:eastAsia="Times New Roman"/>
      <w:sz w:val="20"/>
      <w:szCs w:val="20"/>
      <w:lang w:val="en-US"/>
    </w:rPr>
  </w:style>
  <w:style w:customStyle="1" w:styleId="xl100" w:type="paragraph">
    <w:name w:val="xl100"/>
    <w:basedOn w:val="Normal"/>
    <w:uiPriority w:val="99"/>
    <w:rsid w:val="006252DC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auto" w:fill="C5D9F1" w:val="clear"/>
      <w:spacing w:after="100" w:afterAutospacing="1" w:before="100" w:beforeAutospacing="1"/>
    </w:pPr>
    <w:rPr>
      <w:rFonts w:cs="Times New Roman" w:eastAsia="Times New Roman"/>
      <w:sz w:val="20"/>
      <w:szCs w:val="20"/>
      <w:lang w:val="en-US"/>
    </w:rPr>
  </w:style>
  <w:style w:customStyle="1" w:styleId="xl101" w:type="paragraph">
    <w:name w:val="xl101"/>
    <w:basedOn w:val="Normal"/>
    <w:uiPriority w:val="99"/>
    <w:rsid w:val="006252DC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auto" w:fill="C5D9F1" w:val="clear"/>
      <w:spacing w:after="100" w:afterAutospacing="1" w:before="100" w:beforeAutospacing="1"/>
      <w:jc w:val="center"/>
    </w:pPr>
    <w:rPr>
      <w:rFonts w:cs="Times New Roman" w:eastAsia="Times New Roman"/>
      <w:sz w:val="20"/>
      <w:szCs w:val="20"/>
      <w:lang w:val="en-US"/>
    </w:rPr>
  </w:style>
  <w:style w:customStyle="1" w:styleId="xl102" w:type="paragraph">
    <w:name w:val="xl102"/>
    <w:basedOn w:val="Normal"/>
    <w:uiPriority w:val="99"/>
    <w:rsid w:val="006252DC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auto" w:fill="C5D9F1" w:val="clear"/>
      <w:spacing w:after="100" w:afterAutospacing="1" w:before="100" w:beforeAutospacing="1"/>
      <w:jc w:val="center"/>
    </w:pPr>
    <w:rPr>
      <w:rFonts w:cs="Times New Roman" w:eastAsia="Times New Roman"/>
      <w:sz w:val="20"/>
      <w:szCs w:val="20"/>
      <w:lang w:val="en-US"/>
    </w:rPr>
  </w:style>
  <w:style w:customStyle="1" w:styleId="xl103" w:type="paragraph">
    <w:name w:val="xl103"/>
    <w:basedOn w:val="Normal"/>
    <w:uiPriority w:val="99"/>
    <w:rsid w:val="006252DC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auto" w:fill="C5D9F1" w:val="clear"/>
      <w:spacing w:after="100" w:afterAutospacing="1" w:before="100" w:beforeAutospacing="1"/>
    </w:pPr>
    <w:rPr>
      <w:rFonts w:cs="Times New Roman" w:eastAsia="Times New Roman"/>
      <w:b/>
      <w:bCs/>
      <w:sz w:val="20"/>
      <w:szCs w:val="20"/>
      <w:lang w:val="en-US"/>
    </w:rPr>
  </w:style>
  <w:style w:customStyle="1" w:styleId="xl104" w:type="paragraph">
    <w:name w:val="xl104"/>
    <w:basedOn w:val="Normal"/>
    <w:uiPriority w:val="99"/>
    <w:rsid w:val="006252DC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auto" w:fill="C5D9F1" w:val="clear"/>
      <w:spacing w:after="100" w:afterAutospacing="1" w:before="100" w:beforeAutospacing="1"/>
    </w:pPr>
    <w:rPr>
      <w:rFonts w:cs="Times New Roman" w:eastAsia="Times New Roman"/>
      <w:b/>
      <w:bCs/>
      <w:sz w:val="20"/>
      <w:szCs w:val="20"/>
      <w:lang w:val="en-US"/>
    </w:rPr>
  </w:style>
  <w:style w:customStyle="1" w:styleId="xl105" w:type="paragraph">
    <w:name w:val="xl105"/>
    <w:basedOn w:val="Normal"/>
    <w:uiPriority w:val="99"/>
    <w:rsid w:val="006252DC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auto" w:fill="C5D9F1" w:val="clear"/>
      <w:spacing w:after="100" w:afterAutospacing="1" w:before="100" w:beforeAutospacing="1"/>
    </w:pPr>
    <w:rPr>
      <w:rFonts w:cs="Times New Roman" w:eastAsia="Times New Roman"/>
      <w:b/>
      <w:bCs/>
      <w:sz w:val="20"/>
      <w:szCs w:val="20"/>
      <w:lang w:val="en-US"/>
    </w:rPr>
  </w:style>
  <w:style w:customStyle="1" w:styleId="PlainTable31" w:type="paragraph">
    <w:name w:val="Plain Table 31"/>
    <w:basedOn w:val="Normal"/>
    <w:uiPriority w:val="72"/>
    <w:qFormat/>
    <w:rsid w:val="006252DC"/>
    <w:pPr>
      <w:spacing w:after="0"/>
      <w:ind w:left="708"/>
    </w:pPr>
    <w:rPr>
      <w:rFonts w:cs="Times New Roman" w:eastAsia="Times New Roman"/>
      <w:lang w:eastAsia="hr-HR"/>
    </w:rPr>
  </w:style>
  <w:style w:customStyle="1" w:styleId="xl90" w:type="paragraph">
    <w:name w:val="xl90"/>
    <w:basedOn w:val="Normal"/>
    <w:uiPriority w:val="99"/>
    <w:rsid w:val="006252DC"/>
    <w:pPr>
      <w:spacing w:after="100" w:afterAutospacing="1" w:before="100" w:beforeAutospacing="1"/>
    </w:pPr>
    <w:rPr>
      <w:rFonts w:cs="Times New Roman" w:eastAsia="Times New Roman"/>
      <w:sz w:val="20"/>
      <w:szCs w:val="20"/>
      <w:lang w:val="en-US"/>
    </w:rPr>
  </w:style>
  <w:style w:customStyle="1" w:styleId="xl91" w:type="paragraph">
    <w:name w:val="xl91"/>
    <w:basedOn w:val="Normal"/>
    <w:uiPriority w:val="99"/>
    <w:rsid w:val="006252DC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auto" w:fill="C5D9F1" w:val="clear"/>
      <w:spacing w:after="100" w:afterAutospacing="1" w:before="100" w:beforeAutospacing="1"/>
    </w:pPr>
    <w:rPr>
      <w:rFonts w:cs="Times New Roman" w:eastAsia="Times New Roman"/>
      <w:sz w:val="20"/>
      <w:szCs w:val="20"/>
      <w:lang w:val="en-US"/>
    </w:rPr>
  </w:style>
  <w:style w:customStyle="1" w:styleId="xl81" w:type="paragraph">
    <w:name w:val="xl81"/>
    <w:basedOn w:val="Normal"/>
    <w:uiPriority w:val="99"/>
    <w:rsid w:val="006252DC"/>
    <w:pPr>
      <w:pBdr>
        <w:top w:color="auto" w:space="0" w:sz="8" w:val="single"/>
        <w:left w:color="auto" w:space="0" w:sz="4" w:val="single"/>
        <w:bottom w:color="auto" w:space="0" w:sz="4" w:val="single"/>
        <w:right w:color="auto" w:space="0" w:sz="4" w:val="single"/>
      </w:pBdr>
      <w:shd w:color="auto" w:fill="C5D9F1" w:val="clear"/>
      <w:spacing w:after="100" w:afterAutospacing="1" w:before="100" w:beforeAutospacing="1"/>
      <w:jc w:val="center"/>
    </w:pPr>
    <w:rPr>
      <w:rFonts w:cs="Times New Roman" w:eastAsia="Times New Roman"/>
      <w:lang w:eastAsia="hr-HR"/>
    </w:rPr>
  </w:style>
  <w:style w:customStyle="1" w:styleId="xl82" w:type="paragraph">
    <w:name w:val="xl82"/>
    <w:basedOn w:val="Normal"/>
    <w:uiPriority w:val="99"/>
    <w:rsid w:val="006252DC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</w:pPr>
    <w:rPr>
      <w:rFonts w:cs="Times New Roman" w:eastAsia="Times New Roman"/>
      <w:lang w:eastAsia="hr-HR"/>
    </w:rPr>
  </w:style>
  <w:style w:customStyle="1" w:styleId="xl83" w:type="paragraph">
    <w:name w:val="xl83"/>
    <w:basedOn w:val="Normal"/>
    <w:uiPriority w:val="99"/>
    <w:rsid w:val="006252DC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  <w:jc w:val="center"/>
    </w:pPr>
    <w:rPr>
      <w:rFonts w:cs="Times New Roman" w:eastAsia="Times New Roman"/>
      <w:sz w:val="18"/>
      <w:szCs w:val="18"/>
      <w:lang w:eastAsia="hr-HR"/>
    </w:rPr>
  </w:style>
  <w:style w:customStyle="1" w:styleId="xl84" w:type="paragraph">
    <w:name w:val="xl84"/>
    <w:basedOn w:val="Normal"/>
    <w:uiPriority w:val="99"/>
    <w:rsid w:val="006252DC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  <w:jc w:val="center"/>
    </w:pPr>
    <w:rPr>
      <w:rFonts w:cs="Times New Roman" w:eastAsia="Times New Roman"/>
      <w:sz w:val="18"/>
      <w:szCs w:val="18"/>
      <w:lang w:eastAsia="hr-HR"/>
    </w:rPr>
  </w:style>
  <w:style w:customStyle="1" w:styleId="xl85" w:type="paragraph">
    <w:name w:val="xl85"/>
    <w:basedOn w:val="Normal"/>
    <w:uiPriority w:val="99"/>
    <w:rsid w:val="006252DC"/>
    <w:pPr>
      <w:pBdr>
        <w:top w:color="auto" w:space="0" w:sz="8" w:val="single"/>
        <w:left w:color="auto" w:space="0" w:sz="4" w:val="single"/>
        <w:bottom w:color="auto" w:space="0" w:sz="4" w:val="single"/>
        <w:right w:color="auto" w:space="0" w:sz="4" w:val="single"/>
      </w:pBdr>
      <w:shd w:color="auto" w:fill="C5D9F1" w:val="clear"/>
      <w:spacing w:after="100" w:afterAutospacing="1" w:before="100" w:beforeAutospacing="1"/>
      <w:jc w:val="center"/>
    </w:pPr>
    <w:rPr>
      <w:rFonts w:cs="Times New Roman" w:eastAsia="Times New Roman"/>
      <w:lang w:eastAsia="hr-HR"/>
    </w:rPr>
  </w:style>
  <w:style w:customStyle="1" w:styleId="xl86" w:type="paragraph">
    <w:name w:val="xl86"/>
    <w:basedOn w:val="Normal"/>
    <w:uiPriority w:val="99"/>
    <w:rsid w:val="006252DC"/>
    <w:pPr>
      <w:pBdr>
        <w:top w:color="auto" w:space="0" w:sz="8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  <w:jc w:val="center"/>
    </w:pPr>
    <w:rPr>
      <w:rFonts w:cs="Times New Roman" w:eastAsia="Times New Roman"/>
      <w:lang w:eastAsia="hr-HR"/>
    </w:rPr>
  </w:style>
  <w:style w:customStyle="1" w:styleId="xl87" w:type="paragraph">
    <w:name w:val="xl87"/>
    <w:basedOn w:val="Normal"/>
    <w:uiPriority w:val="99"/>
    <w:rsid w:val="006252DC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8" w:val="single"/>
      </w:pBdr>
      <w:spacing w:after="100" w:afterAutospacing="1" w:before="100" w:beforeAutospacing="1"/>
    </w:pPr>
    <w:rPr>
      <w:rFonts w:cs="Times New Roman" w:eastAsia="Times New Roman"/>
      <w:lang w:eastAsia="hr-HR"/>
    </w:rPr>
  </w:style>
  <w:style w:customStyle="1" w:styleId="xl88" w:type="paragraph">
    <w:name w:val="xl88"/>
    <w:basedOn w:val="Normal"/>
    <w:uiPriority w:val="99"/>
    <w:rsid w:val="006252DC"/>
    <w:pPr>
      <w:pBdr>
        <w:top w:color="auto" w:space="0" w:sz="4" w:val="single"/>
        <w:left w:color="auto" w:space="0" w:sz="8" w:val="single"/>
        <w:bottom w:color="auto" w:space="0" w:sz="4" w:val="single"/>
        <w:right w:color="auto" w:space="0" w:sz="4" w:val="single"/>
      </w:pBdr>
      <w:spacing w:after="100" w:afterAutospacing="1" w:before="100" w:beforeAutospacing="1"/>
    </w:pPr>
    <w:rPr>
      <w:rFonts w:cs="Times New Roman" w:eastAsia="Times New Roman"/>
      <w:lang w:eastAsia="hr-HR"/>
    </w:rPr>
  </w:style>
  <w:style w:customStyle="1" w:styleId="xl89" w:type="paragraph">
    <w:name w:val="xl89"/>
    <w:basedOn w:val="Normal"/>
    <w:uiPriority w:val="99"/>
    <w:rsid w:val="006252DC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8" w:val="single"/>
      </w:pBdr>
      <w:spacing w:after="100" w:afterAutospacing="1" w:before="100" w:beforeAutospacing="1"/>
    </w:pPr>
    <w:rPr>
      <w:rFonts w:cs="Times New Roman" w:eastAsia="Times New Roman"/>
      <w:sz w:val="18"/>
      <w:szCs w:val="18"/>
      <w:lang w:eastAsia="hr-HR"/>
    </w:rPr>
  </w:style>
  <w:style w:customStyle="1" w:styleId="font5" w:type="paragraph">
    <w:name w:val="font5"/>
    <w:basedOn w:val="Normal"/>
    <w:uiPriority w:val="99"/>
    <w:rsid w:val="006252DC"/>
    <w:pPr>
      <w:spacing w:after="100" w:afterAutospacing="1" w:before="100" w:beforeAutospacing="1"/>
    </w:pPr>
    <w:rPr>
      <w:rFonts w:cs="Times New Roman" w:eastAsia="Times New Roman"/>
      <w:b/>
      <w:bCs/>
      <w:sz w:val="16"/>
      <w:szCs w:val="16"/>
      <w:lang w:eastAsia="hr-HR"/>
    </w:rPr>
  </w:style>
  <w:style w:customStyle="1" w:styleId="msonormal0" w:type="paragraph">
    <w:name w:val="msonormal"/>
    <w:basedOn w:val="Normal"/>
    <w:uiPriority w:val="99"/>
    <w:rsid w:val="006252DC"/>
    <w:pPr>
      <w:spacing w:after="100" w:afterAutospacing="1" w:before="100" w:beforeAutospacing="1"/>
    </w:pPr>
    <w:rPr>
      <w:rFonts w:cs="Times New Roman" w:eastAsia="Times New Roman"/>
      <w:lang w:eastAsia="hr-HR"/>
    </w:rPr>
  </w:style>
  <w:style w:customStyle="1" w:styleId="Heading1Char" w:type="character">
    <w:name w:val="Heading 1 Char"/>
    <w:rsid w:val="006252DC"/>
    <w:rPr>
      <w:rFonts w:ascii="Cambria" w:cs="Times New Roman" w:eastAsia="Times New Roman" w:hAnsi="Cambria" w:hint="default"/>
      <w:b/>
      <w:bCs/>
      <w:color w:val="365F91"/>
      <w:sz w:val="28"/>
      <w:szCs w:val="28"/>
      <w:lang w:eastAsia="hr-HR"/>
    </w:rPr>
  </w:style>
  <w:style w:customStyle="1" w:styleId="Heading2Char" w:type="character">
    <w:name w:val="Heading 2 Char"/>
    <w:rsid w:val="006252DC"/>
    <w:rPr>
      <w:rFonts w:ascii="Cambria" w:cs="Times New Roman" w:eastAsia="Times New Roman" w:hAnsi="Cambria" w:hint="default"/>
      <w:b/>
      <w:bCs/>
      <w:color w:val="4F81BD"/>
      <w:sz w:val="26"/>
      <w:szCs w:val="26"/>
      <w:lang w:eastAsia="hr-HR"/>
    </w:rPr>
  </w:style>
  <w:style w:styleId="z-vrhobrasca" w:type="paragraph">
    <w:name w:val="HTML Top of Form"/>
    <w:basedOn w:val="Normal"/>
    <w:next w:val="Normal"/>
    <w:link w:val="z-vrhobrascaChar"/>
    <w:hidden/>
    <w:semiHidden/>
    <w:unhideWhenUsed/>
    <w:rsid w:val="006252DC"/>
    <w:pPr>
      <w:pBdr>
        <w:bottom w:color="auto" w:space="1" w:sz="6" w:val="single"/>
      </w:pBdr>
      <w:spacing w:after="0"/>
      <w:jc w:val="center"/>
    </w:pPr>
    <w:rPr>
      <w:rFonts w:ascii="Arial" w:cs="Arial" w:eastAsia="Calibri" w:hAnsi="Arial"/>
      <w:vanish/>
      <w:sz w:val="16"/>
      <w:szCs w:val="16"/>
      <w:lang w:eastAsia="en-GB" w:val="en-GB"/>
    </w:rPr>
  </w:style>
  <w:style w:customStyle="1" w:styleId="z-vrhobrascaChar" w:type="character">
    <w:name w:val="z-vrh obrasca Char"/>
    <w:basedOn w:val="Zadanifontodlomka"/>
    <w:link w:val="z-vrhobrasca"/>
    <w:semiHidden/>
    <w:rsid w:val="006252DC"/>
    <w:rPr>
      <w:rFonts w:ascii="Arial" w:cs="Arial" w:eastAsia="Calibri" w:hAnsi="Arial"/>
      <w:vanish/>
      <w:sz w:val="16"/>
      <w:szCs w:val="16"/>
      <w:lang w:eastAsia="en-GB" w:val="en-GB"/>
    </w:rPr>
  </w:style>
  <w:style w:styleId="z-dnoobrasca" w:type="paragraph">
    <w:name w:val="HTML Bottom of Form"/>
    <w:basedOn w:val="Normal"/>
    <w:next w:val="Normal"/>
    <w:link w:val="z-dnoobrascaChar"/>
    <w:hidden/>
    <w:semiHidden/>
    <w:unhideWhenUsed/>
    <w:rsid w:val="006252DC"/>
    <w:pPr>
      <w:pBdr>
        <w:top w:color="auto" w:space="1" w:sz="6" w:val="single"/>
      </w:pBdr>
      <w:spacing w:after="0"/>
      <w:jc w:val="center"/>
    </w:pPr>
    <w:rPr>
      <w:rFonts w:ascii="Arial" w:cs="Arial" w:eastAsia="Calibri" w:hAnsi="Arial"/>
      <w:vanish/>
      <w:sz w:val="16"/>
      <w:szCs w:val="16"/>
      <w:lang w:eastAsia="en-GB" w:val="en-GB"/>
    </w:rPr>
  </w:style>
  <w:style w:customStyle="1" w:styleId="z-dnoobrascaChar" w:type="character">
    <w:name w:val="z-dno obrasca Char"/>
    <w:basedOn w:val="Zadanifontodlomka"/>
    <w:link w:val="z-dnoobrasca"/>
    <w:semiHidden/>
    <w:rsid w:val="006252DC"/>
    <w:rPr>
      <w:rFonts w:ascii="Arial" w:cs="Arial" w:eastAsia="Calibri" w:hAnsi="Arial"/>
      <w:vanish/>
      <w:sz w:val="16"/>
      <w:szCs w:val="16"/>
      <w:lang w:eastAsia="en-GB" w:val="en-GB"/>
    </w:rPr>
  </w:style>
  <w:style w:customStyle="1" w:styleId="tabletextfield" w:type="character">
    <w:name w:val="table_text_field"/>
    <w:basedOn w:val="Zadanifontodlomka"/>
    <w:rsid w:val="006252DC"/>
  </w:style>
  <w:style w:customStyle="1" w:styleId="tabletitle2" w:type="character">
    <w:name w:val="table_title2"/>
    <w:basedOn w:val="Zadanifontodlomka"/>
    <w:rsid w:val="006252DC"/>
  </w:style>
  <w:style w:customStyle="1" w:styleId="mw-headline" w:type="character">
    <w:name w:val="mw-headline"/>
    <w:basedOn w:val="Zadanifontodlomka"/>
    <w:rsid w:val="006252DC"/>
  </w:style>
  <w:style w:customStyle="1" w:styleId="editsectionmoved" w:type="character">
    <w:name w:val="editsectionmoved"/>
    <w:basedOn w:val="Zadanifontodlomka"/>
    <w:rsid w:val="006252DC"/>
  </w:style>
  <w:style w:customStyle="1" w:styleId="imgdescription" w:type="character">
    <w:name w:val="imgdescription"/>
    <w:basedOn w:val="Zadanifontodlomka"/>
    <w:rsid w:val="006252DC"/>
  </w:style>
  <w:style w:customStyle="1" w:styleId="apple-converted-space" w:type="character">
    <w:name w:val="apple-converted-space"/>
    <w:rsid w:val="006252DC"/>
  </w:style>
  <w:style w:customStyle="1" w:styleId="apple-style-span" w:type="character">
    <w:name w:val="apple-style-span"/>
    <w:rsid w:val="006252DC"/>
  </w:style>
  <w:style w:customStyle="1" w:styleId="xclaimempty" w:type="character">
    <w:name w:val="xclaimempty"/>
    <w:rsid w:val="006252DC"/>
  </w:style>
  <w:style w:customStyle="1" w:styleId="xclaimstyle" w:type="character">
    <w:name w:val="xclaimstyle"/>
    <w:rsid w:val="006252DC"/>
  </w:style>
  <w:style w:customStyle="1" w:styleId="style30" w:type="character">
    <w:name w:val="style3"/>
    <w:basedOn w:val="Zadanifontodlomka"/>
    <w:rsid w:val="006252DC"/>
  </w:style>
  <w:style w:customStyle="1" w:styleId="st" w:type="character">
    <w:name w:val="st"/>
    <w:basedOn w:val="Zadanifontodlomka"/>
    <w:rsid w:val="006252DC"/>
  </w:style>
  <w:style w:customStyle="1" w:styleId="Reetkatablice41" w:type="table">
    <w:name w:val="Rešetka tablice 41"/>
    <w:basedOn w:val="Obinatablica"/>
    <w:next w:val="Reetkatablice4"/>
    <w:semiHidden/>
    <w:unhideWhenUsed/>
    <w:rsid w:val="006252DC"/>
    <w:pPr>
      <w:spacing w:after="0" w:line="240" w:lineRule="auto"/>
    </w:pPr>
    <w:rPr>
      <w:rFonts w:ascii="Times New Roman" w:cs="Times New Roman" w:eastAsia="Times New Roman" w:hAnsi="Times New Roman"/>
      <w:sz w:val="20"/>
      <w:szCs w:val="20"/>
    </w:rPr>
    <w:tblPr>
      <w:tblInd w:type="nil" w:w="0"/>
      <w:tblBorders>
        <w:left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blStylePr w:type="firstRow">
      <w:rPr>
        <w:color w:val="auto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customStyle="1" w:styleId="Reetkatablice10" w:type="table">
    <w:name w:val="Rešetka tablice1"/>
    <w:basedOn w:val="Obinatablica"/>
    <w:next w:val="Reetkatablice"/>
    <w:rsid w:val="006252DC"/>
    <w:pPr>
      <w:spacing w:after="0" w:line="240" w:lineRule="auto"/>
    </w:pPr>
    <w:rPr>
      <w:rFonts w:ascii="Times New Roman" w:cs="Times New Roman" w:eastAsia="Times New Roman" w:hAnsi="Times New Roman"/>
      <w:sz w:val="20"/>
      <w:szCs w:val="20"/>
    </w:rPr>
    <w:tblPr>
      <w:tblInd w:type="nil" w:w="0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customStyle="1" w:styleId="Obojanosjenanje-Isticanje31" w:type="table">
    <w:name w:val="Obojano sjenčanje - Isticanje 31"/>
    <w:basedOn w:val="Obinatablica"/>
    <w:next w:val="Obojanosjenanje-Isticanje3"/>
    <w:uiPriority w:val="61"/>
    <w:rsid w:val="006252DC"/>
    <w:pPr>
      <w:spacing w:after="0" w:line="240" w:lineRule="auto"/>
    </w:pPr>
    <w:rPr>
      <w:rFonts w:ascii="Calibri" w:cs="Times New Roman" w:eastAsia="Calibri" w:hAnsi="Calibri"/>
      <w:color w:val="000000"/>
      <w:sz w:val="20"/>
      <w:szCs w:val="20"/>
    </w:rPr>
    <w:tblPr>
      <w:tblStyleRowBandSize w:val="1"/>
      <w:tblStyleColBandSize w:val="1"/>
      <w:tblInd w:type="nil" w:w="0"/>
      <w:tblBorders>
        <w:top w:color="8064A2" w:space="0" w:sz="24" w:val="single"/>
        <w:left w:color="9BBB59" w:space="0" w:sz="4" w:val="single"/>
        <w:bottom w:color="9BBB59" w:space="0" w:sz="4" w:val="single"/>
        <w:right w:color="9BBB59" w:space="0" w:sz="4" w:val="single"/>
        <w:insideH w:color="FFFFFF" w:space="0" w:sz="4" w:val="single"/>
        <w:insideV w:color="FFFFFF" w:space="0" w:sz="4" w:val="single"/>
      </w:tblBorders>
    </w:tblPr>
    <w:tcPr>
      <w:shd w:color="auto" w:fill="F5F8EE" w:val="clear"/>
    </w:tcPr>
    <w:tblStylePr w:type="firstRow">
      <w:rPr>
        <w:b/>
        <w:bCs/>
      </w:rPr>
      <w:tblPr/>
      <w:tcPr>
        <w:tcBorders>
          <w:top w:val="nil"/>
          <w:left w:val="nil"/>
          <w:bottom w:color="8064A2" w:space="0" w:sz="24" w:val="single"/>
          <w:right w:val="nil"/>
          <w:insideH w:val="nil"/>
          <w:insideV w:val="nil"/>
        </w:tcBorders>
        <w:shd w:color="auto" w:fill="FFFFFF" w:val="clear"/>
      </w:tcPr>
    </w:tblStylePr>
    <w:tblStylePr w:type="lastRow">
      <w:rPr>
        <w:b/>
        <w:bCs/>
        <w:color w:val="FFFFFF"/>
      </w:rPr>
      <w:tblPr/>
      <w:tcPr>
        <w:tcBorders>
          <w:top w:color="FFFFFF" w:space="0" w:sz="6" w:val="single"/>
        </w:tcBorders>
        <w:shd w:color="auto" w:fill="5E7530" w:val="clear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color="5E7530" w:space="0" w:sz="4" w:val="single"/>
          <w:insideV w:val="nil"/>
        </w:tcBorders>
        <w:shd w:color="auto" w:fill="5E7530" w:val="clear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E7530" w:val="clear"/>
      </w:tcPr>
    </w:tblStylePr>
    <w:tblStylePr w:type="band1Vert">
      <w:tblPr/>
      <w:tcPr>
        <w:shd w:color="auto" w:fill="D6E3BC" w:val="clear"/>
      </w:tcPr>
    </w:tblStylePr>
    <w:tblStylePr w:type="band1Horz">
      <w:tblPr/>
      <w:tcPr>
        <w:shd w:color="auto" w:fill="CDDDAC" w:val="clear"/>
      </w:tcPr>
    </w:tblStylePr>
  </w:style>
  <w:style w:customStyle="1" w:styleId="TableGrid1" w:type="table">
    <w:name w:val="Table Grid1"/>
    <w:basedOn w:val="Obinatablica"/>
    <w:uiPriority w:val="59"/>
    <w:rsid w:val="006252DC"/>
    <w:pPr>
      <w:spacing w:after="0" w:line="240" w:lineRule="auto"/>
    </w:pPr>
    <w:rPr>
      <w:rFonts w:ascii="Calibri" w:cs="Times New Roman" w:eastAsia="Calibri" w:hAnsi="Calibri"/>
      <w:sz w:val="20"/>
      <w:szCs w:val="20"/>
    </w:rPr>
    <w:tblPr>
      <w:tblInd w:type="nil" w:w="0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2259984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9523071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</w:divs>
  <w:relyOnVML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file:///C:\Users\zvitez\AppData\Local\Microsoft\Windows\Temporary%20Internet%20Files\Content.Outlook\BUAJH1QU\1.%20Plan%20financijskog%20i%20operativnog%20rest..docx" TargetMode="External"/><Relationship Id="rId18" Type="http://schemas.openxmlformats.org/officeDocument/2006/relationships/hyperlink" Target="file:///C:\Users\zvitez\AppData\Local\Microsoft\Windows\Temporary%20Internet%20Files\Content.Outlook\BUAJH1QU\1.%20Plan%20financijskog%20i%20operativnog%20rest..docx" TargetMode="External"/><Relationship Id="rId26" Type="http://schemas.openxmlformats.org/officeDocument/2006/relationships/hyperlink" Target="file:///C:\Users\zvitez\AppData\Local\Microsoft\Windows\Temporary%20Internet%20Files\Content.Outlook\BUAJH1QU\1.%20Plan%20financijskog%20i%20operativnog%20rest..docx" TargetMode="External"/><Relationship Id="rId39" Type="http://schemas.openxmlformats.org/officeDocument/2006/relationships/image" Target="media/image4.jpeg"/><Relationship Id="rId3" Type="http://schemas.openxmlformats.org/officeDocument/2006/relationships/numbering" Target="numbering.xml"/><Relationship Id="rId21" Type="http://schemas.openxmlformats.org/officeDocument/2006/relationships/hyperlink" Target="file:///C:\Users\zvitez\AppData\Local\Microsoft\Windows\Temporary%20Internet%20Files\Content.Outlook\BUAJH1QU\1.%20Plan%20financijskog%20i%20operativnog%20rest..docx" TargetMode="External"/><Relationship Id="rId34" Type="http://schemas.openxmlformats.org/officeDocument/2006/relationships/hyperlink" Target="file:///C:\Users\zvitez\AppData\Local\Microsoft\Windows\Temporary%20Internet%20Files\Content.Outlook\BUAJH1QU\1.%20Plan%20financijskog%20i%20operativnog%20rest..docx" TargetMode="External"/><Relationship Id="rId42" Type="http://schemas.openxmlformats.org/officeDocument/2006/relationships/image" Target="media/image7.jpeg"/><Relationship Id="rId7" Type="http://schemas.openxmlformats.org/officeDocument/2006/relationships/webSettings" Target="webSettings.xml"/><Relationship Id="rId12" Type="http://schemas.openxmlformats.org/officeDocument/2006/relationships/hyperlink" Target="file:///C:\Users\zvitez\AppData\Local\Microsoft\Windows\Temporary%20Internet%20Files\Content.Outlook\BUAJH1QU\1.%20Plan%20financijskog%20i%20operativnog%20rest..docx" TargetMode="External"/><Relationship Id="rId17" Type="http://schemas.openxmlformats.org/officeDocument/2006/relationships/hyperlink" Target="file:///C:\Users\zvitez\AppData\Local\Microsoft\Windows\Temporary%20Internet%20Files\Content.Outlook\BUAJH1QU\1.%20Plan%20financijskog%20i%20operativnog%20rest..docx" TargetMode="External"/><Relationship Id="rId25" Type="http://schemas.openxmlformats.org/officeDocument/2006/relationships/hyperlink" Target="file:///C:\Users\zvitez\AppData\Local\Microsoft\Windows\Temporary%20Internet%20Files\Content.Outlook\BUAJH1QU\1.%20Plan%20financijskog%20i%20operativnog%20rest..docx" TargetMode="External"/><Relationship Id="rId33" Type="http://schemas.openxmlformats.org/officeDocument/2006/relationships/hyperlink" Target="file:///C:\Users\zvitez\AppData\Local\Microsoft\Windows\Temporary%20Internet%20Files\Content.Outlook\BUAJH1QU\1.%20Plan%20financijskog%20i%20operativnog%20rest..docx" TargetMode="External"/><Relationship Id="rId38" Type="http://schemas.openxmlformats.org/officeDocument/2006/relationships/chart" Target="charts/chart2.xml"/><Relationship Id="rId2" Type="http://schemas.openxmlformats.org/officeDocument/2006/relationships/customXml" Target="../customXml/item2.xml"/><Relationship Id="rId16" Type="http://schemas.openxmlformats.org/officeDocument/2006/relationships/hyperlink" Target="file:///C:\Users\zvitez\AppData\Local\Microsoft\Windows\Temporary%20Internet%20Files\Content.Outlook\BUAJH1QU\1.%20Plan%20financijskog%20i%20operativnog%20rest..docx" TargetMode="External"/><Relationship Id="rId20" Type="http://schemas.openxmlformats.org/officeDocument/2006/relationships/hyperlink" Target="file:///C:\Users\zvitez\AppData\Local\Microsoft\Windows\Temporary%20Internet%20Files\Content.Outlook\BUAJH1QU\1.%20Plan%20financijskog%20i%20operativnog%20rest..docx" TargetMode="External"/><Relationship Id="rId29" Type="http://schemas.openxmlformats.org/officeDocument/2006/relationships/hyperlink" Target="file:///C:\Users\zvitez\AppData\Local\Microsoft\Windows\Temporary%20Internet%20Files\Content.Outlook\BUAJH1QU\1.%20Plan%20financijskog%20i%20operativnog%20rest..docx" TargetMode="External"/><Relationship Id="rId41" Type="http://schemas.openxmlformats.org/officeDocument/2006/relationships/image" Target="media/image6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24" Type="http://schemas.openxmlformats.org/officeDocument/2006/relationships/hyperlink" Target="file:///C:\Users\zvitez\AppData\Local\Microsoft\Windows\Temporary%20Internet%20Files\Content.Outlook\BUAJH1QU\1.%20Plan%20financijskog%20i%20operativnog%20rest..docx" TargetMode="External"/><Relationship Id="rId32" Type="http://schemas.openxmlformats.org/officeDocument/2006/relationships/hyperlink" Target="file:///C:\Users\zvitez\AppData\Local\Microsoft\Windows\Temporary%20Internet%20Files\Content.Outlook\BUAJH1QU\1.%20Plan%20financijskog%20i%20operativnog%20rest..docx" TargetMode="External"/><Relationship Id="rId37" Type="http://schemas.openxmlformats.org/officeDocument/2006/relationships/image" Target="media/image3.jpeg"/><Relationship Id="rId40" Type="http://schemas.openxmlformats.org/officeDocument/2006/relationships/image" Target="media/image5.jpeg"/><Relationship Id="rId45" Type="http://schemas.openxmlformats.org/officeDocument/2006/relationships/theme" Target="theme/theme1.xml"/><Relationship Id="rId5" Type="http://schemas.microsoft.com/office/2007/relationships/stylesWithEffects" Target="stylesWithEffects.xml"/><Relationship Id="rId15" Type="http://schemas.openxmlformats.org/officeDocument/2006/relationships/hyperlink" Target="file:///C:\Users\zvitez\AppData\Local\Microsoft\Windows\Temporary%20Internet%20Files\Content.Outlook\BUAJH1QU\1.%20Plan%20financijskog%20i%20operativnog%20rest..docx" TargetMode="External"/><Relationship Id="rId23" Type="http://schemas.openxmlformats.org/officeDocument/2006/relationships/hyperlink" Target="file:///C:\Users\zvitez\AppData\Local\Microsoft\Windows\Temporary%20Internet%20Files\Content.Outlook\BUAJH1QU\1.%20Plan%20financijskog%20i%20operativnog%20rest..docx" TargetMode="External"/><Relationship Id="rId28" Type="http://schemas.openxmlformats.org/officeDocument/2006/relationships/hyperlink" Target="file:///C:\Users\zvitez\AppData\Local\Microsoft\Windows\Temporary%20Internet%20Files\Content.Outlook\BUAJH1QU\1.%20Plan%20financijskog%20i%20operativnog%20rest..docx" TargetMode="External"/><Relationship Id="rId36" Type="http://schemas.openxmlformats.org/officeDocument/2006/relationships/chart" Target="charts/chart1.xml"/><Relationship Id="rId10" Type="http://schemas.openxmlformats.org/officeDocument/2006/relationships/image" Target="media/image1.png"/><Relationship Id="rId19" Type="http://schemas.openxmlformats.org/officeDocument/2006/relationships/hyperlink" Target="file:///C:\Users\zvitez\AppData\Local\Microsoft\Windows\Temporary%20Internet%20Files\Content.Outlook\BUAJH1QU\1.%20Plan%20financijskog%20i%20operativnog%20rest..docx" TargetMode="External"/><Relationship Id="rId31" Type="http://schemas.openxmlformats.org/officeDocument/2006/relationships/hyperlink" Target="file:///C:\Users\zvitez\AppData\Local\Microsoft\Windows\Temporary%20Internet%20Files\Content.Outlook\BUAJH1QU\1.%20Plan%20financijskog%20i%20operativnog%20rest..docx" TargetMode="External"/><Relationship Id="rId44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hyperlink" Target="file:///C:\Users\zvitez\AppData\Local\Microsoft\Windows\Temporary%20Internet%20Files\Content.Outlook\BUAJH1QU\1.%20Plan%20financijskog%20i%20operativnog%20rest..docx" TargetMode="External"/><Relationship Id="rId22" Type="http://schemas.openxmlformats.org/officeDocument/2006/relationships/hyperlink" Target="file:///C:\Users\zvitez\AppData\Local\Microsoft\Windows\Temporary%20Internet%20Files\Content.Outlook\BUAJH1QU\1.%20Plan%20financijskog%20i%20operativnog%20rest..docx" TargetMode="External"/><Relationship Id="rId27" Type="http://schemas.openxmlformats.org/officeDocument/2006/relationships/hyperlink" Target="file:///C:\Users\zvitez\AppData\Local\Microsoft\Windows\Temporary%20Internet%20Files\Content.Outlook\BUAJH1QU\1.%20Plan%20financijskog%20i%20operativnog%20rest..docx" TargetMode="External"/><Relationship Id="rId30" Type="http://schemas.openxmlformats.org/officeDocument/2006/relationships/hyperlink" Target="file:///C:\Users\zvitez\AppData\Local\Microsoft\Windows\Temporary%20Internet%20Files\Content.Outlook\BUAJH1QU\1.%20Plan%20financijskog%20i%20operativnog%20rest..docx" TargetMode="External"/><Relationship Id="rId35" Type="http://schemas.openxmlformats.org/officeDocument/2006/relationships/hyperlink" Target="file:///C:\Users\zvitez\AppData\Local\Microsoft\Windows\Temporary%20Internet%20Files\Content.Outlook\BUAJH1QU\1.%20Plan%20financijskog%20i%20operativnog%20rest..docx" TargetMode="External"/><Relationship Id="rId43" Type="http://schemas.openxmlformats.org/officeDocument/2006/relationships/header" Target="header1.xml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charts/_rels/chart1.xml.rels><?xml version="1.0" encoding="UTF-8" standalone="yes"?><Relationships xmlns="http://schemas.openxmlformats.org/package/2006/relationships"><Relationship Id="rId2" Type="http://schemas.openxmlformats.org/officeDocument/2006/relationships/oleObject" Target="file:///\\Users\sasarendulic\Dropbox\Restrukturiranje\3.%20U%20IZRADI\3.%20Nova%20PSN\1.%20C&#780;EKA%20SE%20DOK\KONCEPT%20MONTAZ&#780;A%20doo%20STUDEN%20TRGOVINA%20doo\Tablice1.xls" TargetMode="External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<Relationships xmlns="http://schemas.openxmlformats.org/package/2006/relationships"><Relationship Id="rId2" Type="http://schemas.openxmlformats.org/officeDocument/2006/relationships/oleObject" Target="file:///\\Users\sasarendulic\Dropbox\Restrukturiranje\3.%20U%20IZRADI\3.%20Nova%20PSN\1.%20C&#780;EKA%20SE%20DOK\22%2004%20MATEO%20PRIDRAGA%20doo%20(MATEO%20doo)%20nije%20blokiran\Tablice1.xls" TargetMode="External"/><Relationship Id="rId1" Type="http://schemas.openxmlformats.org/officeDocument/2006/relationships/themeOverride" Target="../theme/themeOverride2.xml"/></Relationships>
</file>

<file path=word/charts/chart1.xml><?xml version="1.0" encoding="utf-8"?>
<c:chartSpac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c:date1904 val="false"/>
  <c:lang val="hr-HR"/>
  <c:roundedCorners val="false"/>
  <c:style val="2"/>
  <c:clrMapOvr folHlink="folHlink" hlink="hlink" accent6="accent6" accent5="accent5" accent4="accent4" accent3="accent3" accent2="accent2" accent1="accent1" tx2="dk2" bg2="lt2" tx1="dk1" bg1="lt1"/>
  <c:chart>
    <c:title>
      <c:tx>
        <c:rich>
          <a:bodyPr anchorCtr="true" anchor="ctr" wrap="square" vert="horz" vertOverflow="ellipsis" spcFirstLastPara="true" rot="0"/>
          <a:lstStyle/>
          <a:p>
            <a:pPr>
              <a:defRPr baseline="0" spc="0" kern="1200" strike="noStrike" u="none" i="false" b="false" sz="160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baseline="0" strike="noStrike" u="none" i="false" b="false" sz="1600" lang="hr-HR">
                <a:effectLst/>
              </a:rPr>
              <a:t>Mate Viduka</a:t>
            </a:r>
            <a:endParaRPr sz="1600" lang="hr-HR"/>
          </a:p>
        </c:rich>
      </c:tx>
      <c:layout>
        <c:manualLayout>
          <c:xMode val="edge"/>
          <c:yMode val="edge"/>
          <c:x val="0.370666666666667"/>
          <c:y val="0.412037037037037"/>
        </c:manualLayout>
      </c:layout>
      <c:overlay val="false"/>
      <c:spPr>
        <a:noFill/>
        <a:ln>
          <a:noFill/>
        </a:ln>
        <a:effectLst/>
      </c:spPr>
    </c:title>
    <c:autoTitleDeleted val="false"/>
    <c:view3D>
      <c:rotX val="30"/>
      <c:rotY val="0"/>
      <c:depthPercent val="100"/>
      <c:rAngAx val="false"/>
      <c:perspective val="3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true"/>
        <c:ser>
          <c:idx val="0"/>
          <c:order val="0"/>
          <c:tx>
            <c:strRef>
              <c:f>'Vlasnička struktura'!$B$2</c:f>
              <c:strCache>
                <c:ptCount val="1"/>
                <c:pt idx="0">
                  <c:v>Ivica Pranjić</c:v>
                </c:pt>
              </c:strCache>
            </c:strRef>
          </c:tx>
          <c:dPt>
            <c:idx val="0"/>
            <c:bubble3D val="false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uri="{C3380CC4-5D6E-409C-BE32-E72D297353CC}">
                <c16:uniqueId xmlns:c16="http://schemas.microsoft.com/office/drawing/2014/chart" xmlns:c16r2="http://schemas.microsoft.com/office/drawing/2015/06/chart" val="{00000001-C59A-476E-B358-032620424059}"/>
              </c:ext>
            </c:extLst>
          </c:dPt>
          <c:dLbls>
            <c:dLbl>
              <c:idx val="0"/>
              <c:layout>
                <c:manualLayout>
                  <c:x val="0.0114573490813648"/>
                  <c:y val="-0.356165244969379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anchorCtr="true" anchor="ctr" bIns="19050" rIns="38100" tIns="19050" lIns="38100" wrap="square" vert="horz" vertOverflow="ellipsis" spcFirstLastPara="true" rot="0">
                  <a:noAutofit/>
                </a:bodyPr>
                <a:lstStyle/>
                <a:p>
                  <a:pPr>
                    <a:defRPr baseline="0" kern="1200" strike="noStrike" u="none" i="false" b="false" sz="140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sr-Latn-RS"/>
                </a:p>
              </c:txPr>
              <c:showLegendKey val="false"/>
              <c:showVal val="true"/>
              <c:showCatName val="false"/>
              <c:showSerName val="false"/>
              <c:showPercent val="false"/>
              <c:showBubbleSize val="false"/>
              <c:extLst>
                <c:ext uri="{CE6537A1-D6FC-4f65-9D91-7224C49458BB}">
                  <c15:layout xmlns:c15="http://schemas.microsoft.com/office/drawing/2012/chart" xmlns:c16r2="http://schemas.microsoft.com/office/drawing/2015/06/chart">
                    <c:manualLayout>
                      <c:w val="0.122111111111111"/>
                      <c:h val="0.118287037037037"/>
                    </c:manualLayout>
                  </c15:layout>
                </c:ext>
                <c:ext uri="{C3380CC4-5D6E-409C-BE32-E72D297353CC}">
                  <c16:uniqueId xmlns:c16="http://schemas.microsoft.com/office/drawing/2014/chart" xmlns:c16r2="http://schemas.microsoft.com/office/drawing/2015/06/chart" val="{00000001-C59A-476E-B358-03262042405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anchorCtr="true" anchor="ctr" bIns="19050" rIns="38100" tIns="19050" lIns="38100" wrap="square" vert="horz" vertOverflow="ellipsis" spcFirstLastPara="true" rot="0">
                <a:spAutoFit/>
              </a:bodyPr>
              <a:lstStyle/>
              <a:p>
                <a:pPr>
                  <a:defRPr baseline="0" kern="1200" strike="noStrike" u="none" i="false" b="false" sz="90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sr-Latn-RS"/>
              </a:p>
            </c:txPr>
            <c:showLegendKey val="false"/>
            <c:showVal val="true"/>
            <c:showCatName val="false"/>
            <c:showSerName val="false"/>
            <c:showPercent val="false"/>
            <c:showBubbleSize val="false"/>
            <c:showLeaderLines val="true"/>
            <c:leaderLines>
              <c:spPr>
                <a:ln algn="ctr" cmpd="sng" cap="flat" w="9525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uri="{CE6537A1-D6FC-4f65-9D91-7224C49458BB}"/>
            </c:extLst>
          </c:dLbls>
          <c:cat>
            <c:strRef>
              <c:f>'Vlasnička struktura'!$C$1</c:f>
              <c:strCache>
                <c:ptCount val="1"/>
                <c:pt idx="0">
                  <c:v>%</c:v>
                </c:pt>
              </c:strCache>
            </c:strRef>
          </c:cat>
          <c:val>
            <c:numRef>
              <c:f>'Vlasnička struktura'!$C$2</c:f>
              <c:numCache>
                <c:formatCode>0%</c:formatCode>
                <c:ptCount val="1"/>
                <c:pt idx="0">
                  <c:v>1</c:v>
                </c:pt>
              </c:numCache>
            </c:numRef>
          </c:val>
          <c:extLst>
            <c:ext uri="{C3380CC4-5D6E-409C-BE32-E72D297353CC}">
              <c16:uniqueId xmlns:c16="http://schemas.microsoft.com/office/drawing/2014/chart" xmlns:c16r2="http://schemas.microsoft.com/office/drawing/2015/06/chart" val="{00000002-C59A-476E-B358-032620424059}"/>
            </c:ext>
          </c:extLst>
        </c:ser>
        <c:dLbls>
          <c:showLegendKey val="false"/>
          <c:showVal val="false"/>
          <c:showCatName val="false"/>
          <c:showSerName val="false"/>
          <c:showPercent val="false"/>
          <c:showBubbleSize val="false"/>
          <c:showLeaderLines val="true"/>
        </c:dLbls>
      </c:pie3DChart>
      <c:spPr>
        <a:noFill/>
        <a:ln>
          <a:noFill/>
        </a:ln>
        <a:effectLst/>
      </c:spPr>
    </c:plotArea>
    <c:plotVisOnly val="true"/>
    <c:dispBlanksAs val="gap"/>
    <c:showDLblsOverMax val="false"/>
  </c:chart>
  <c:spPr>
    <a:noFill/>
    <a:ln algn="ctr" cmpd="sng" cap="flat" w="9525">
      <a:noFill/>
      <a:round/>
    </a:ln>
    <a:effectLst/>
  </c:spPr>
  <c:txPr>
    <a:bodyPr/>
    <a:lstStyle/>
    <a:p>
      <a:pPr>
        <a:defRPr/>
      </a:pPr>
      <a:endParaRPr lang="sr-Latn-RS"/>
    </a:p>
  </c:txPr>
  <c:externalData r:id="rId2">
    <c:autoUpdate val="false"/>
  </c:externalData>
</c:chartSpace>
</file>

<file path=word/charts/chart2.xml><?xml version="1.0" encoding="utf-8"?>
<c:chartSpac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c:date1904 val="false"/>
  <c:lang val="hr-HR"/>
  <c:roundedCorners val="false"/>
  <c:style val="18"/>
  <c:clrMapOvr folHlink="folHlink" hlink="hlink" accent6="accent6" accent5="accent5" accent4="accent4" accent3="accent3" accent2="accent2" accent1="accent1" tx2="dk2" bg2="lt2" tx1="dk1" bg1="lt1"/>
  <c:chart>
    <c:title>
      <c:layout/>
      <c:overlay val="false"/>
      <c:spPr>
        <a:noFill/>
        <a:ln w="25400">
          <a:noFill/>
        </a:ln>
      </c:spPr>
      <c:txPr>
        <a:bodyPr/>
        <a:lstStyle/>
        <a:p>
          <a:pPr>
            <a:defRPr baseline="0" strike="noStrike" u="none" i="false" b="false" sz="105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sr-Latn-RS"/>
        </a:p>
      </c:txPr>
    </c:title>
    <c:autoTitleDeleted val="false"/>
    <c:plotArea>
      <c:layout>
        <c:manualLayout>
          <c:layoutTarget val="inner"/>
          <c:xMode val="edge"/>
          <c:yMode val="edge"/>
          <c:x val="0.0733681102362205"/>
          <c:y val="0.177777777777778"/>
          <c:w val="0.918380139982502"/>
          <c:h val="0.584506415864684"/>
        </c:manualLayout>
      </c:layout>
      <c:barChart>
        <c:barDir val="col"/>
        <c:grouping val="clustered"/>
        <c:varyColors val="false"/>
        <c:ser>
          <c:idx val="0"/>
          <c:order val="0"/>
          <c:tx>
            <c:strRef>
              <c:f>Sažetak!$A$18</c:f>
              <c:strCache>
                <c:ptCount val="1"/>
                <c:pt idx="0">
                  <c:v>Projekcija broja zaposlenih </c:v>
                </c:pt>
              </c:strCache>
            </c:strRef>
          </c:tx>
          <c:spPr>
            <a:gradFill rotWithShape="false">
              <a:gsLst>
                <a:gs pos="0">
                  <a:srgbClr val="9BC1FF"/>
                </a:gs>
                <a:gs pos="100000">
                  <a:srgbClr val="3F80CD"/>
                </a:gs>
              </a:gsLst>
              <a:lin ang="5400000"/>
            </a:gradFill>
            <a:ln w="25400">
              <a:noFill/>
            </a:ln>
            <a:effectLst>
              <a:outerShdw algn="br" dir="2700000" dist="35921">
                <a:srgbClr val="000000"/>
              </a:outerShdw>
            </a:effectLst>
          </c:spPr>
          <c:invertIfNegative val="false"/>
          <c:dLbls>
            <c:spPr>
              <a:noFill/>
              <a:ln w="25400">
                <a:noFill/>
              </a:ln>
            </c:spPr>
            <c:txPr>
              <a:bodyPr anchor="ctr" bIns="19050" rIns="38100" tIns="19050" lIns="38100" wrap="square">
                <a:spAutoFit/>
              </a:bodyPr>
              <a:lstStyle/>
              <a:p>
                <a:pPr>
                  <a:defRPr baseline="0" strike="noStrike" u="none" i="false" b="false" sz="100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sr-Latn-RS"/>
              </a:p>
            </c:txPr>
            <c:showLegendKey val="false"/>
            <c:showVal val="true"/>
            <c:showCatName val="false"/>
            <c:showSerName val="false"/>
            <c:showPercent val="false"/>
            <c:showBubbleSize val="false"/>
            <c:showLeaderLines val="false"/>
            <c:extLst>
              <c:ext uri="{CE6537A1-D6FC-4f65-9D91-7224C49458BB}">
                <c15:showLeaderLines xmlns:c15="http://schemas.microsoft.com/office/drawing/2012/chart" xmlns:c16r2="http://schemas.microsoft.com/office/drawing/2015/06/chart" val="0"/>
              </c:ext>
            </c:extLst>
          </c:dLbls>
          <c:trendline>
            <c:spPr>
              <a:ln w="3175">
                <a:solidFill>
                  <a:srgbClr val="000000"/>
                </a:solidFill>
                <a:prstDash val="solid"/>
              </a:ln>
            </c:spPr>
            <c:trendlineType val="linear"/>
            <c:dispRSqr val="false"/>
            <c:dispEq val="false"/>
          </c:trendline>
          <c:cat>
            <c:strRef>
              <c:f>Sažetak!$B$17:$G$17</c:f>
              <c:strCache>
                <c:ptCount val="6"/>
                <c:pt idx="0">
                  <c:v>2017.</c:v>
                </c:pt>
                <c:pt idx="1">
                  <c:v>2018.</c:v>
                </c:pt>
                <c:pt idx="2">
                  <c:v>2019.</c:v>
                </c:pt>
                <c:pt idx="3">
                  <c:v>2020.</c:v>
                </c:pt>
                <c:pt idx="4">
                  <c:v>2021.</c:v>
                </c:pt>
                <c:pt idx="5">
                  <c:v>2022.</c:v>
                </c:pt>
              </c:strCache>
            </c:strRef>
          </c:cat>
          <c:val>
            <c:numRef>
              <c:f>Sažetak!$B$18:$G$18</c:f>
              <c:numCache>
                <c:formatCode>#,##0</c:formatCode>
                <c:ptCount val="6"/>
                <c:pt idx="0">
                  <c:v>2</c:v>
                </c:pt>
                <c:pt idx="1">
                  <c:v>2</c:v>
                </c:pt>
                <c:pt idx="2">
                  <c:v>3</c:v>
                </c:pt>
                <c:pt idx="3">
                  <c:v>3</c:v>
                </c:pt>
                <c:pt idx="4">
                  <c:v>3</c:v>
                </c:pt>
                <c:pt formatCode="General" idx="5">
                  <c:v>4</c:v>
                </c:pt>
              </c:numCache>
            </c:numRef>
          </c:val>
          <c:extLst>
            <c:ext uri="{C3380CC4-5D6E-409C-BE32-E72D297353CC}">
              <c16:uniqueId xmlns:c16="http://schemas.microsoft.com/office/drawing/2014/chart" xmlns:c16r2="http://schemas.microsoft.com/office/drawing/2015/06/chart" val="{00000001-923C-47F3-A9E3-67D04B348EB0}"/>
            </c:ext>
          </c:extLst>
        </c:ser>
        <c:dLbls>
          <c:showLegendKey val="false"/>
          <c:showVal val="false"/>
          <c:showCatName val="false"/>
          <c:showSerName val="false"/>
          <c:showPercent val="false"/>
          <c:showBubbleSize val="false"/>
        </c:dLbls>
        <c:gapWidth val="150"/>
        <c:axId val="38568320"/>
        <c:axId val="38569856"/>
      </c:barChart>
      <c:catAx>
        <c:axId val="38568320"/>
        <c:scaling>
          <c:orientation val="minMax"/>
        </c:scaling>
        <c:delete val="false"/>
        <c:axPos val="b"/>
        <c:numFmt sourceLinked="true" formatCode="General"/>
        <c:majorTickMark val="out"/>
        <c:minorTickMark val="none"/>
        <c:tickLblPos val="nextTo"/>
        <c:spPr>
          <a:ln w="3175">
            <a:solidFill>
              <a:srgbClr val="808080"/>
            </a:solidFill>
            <a:prstDash val="solid"/>
          </a:ln>
        </c:spPr>
        <c:txPr>
          <a:bodyPr vert="horz" rot="0"/>
          <a:lstStyle/>
          <a:p>
            <a:pPr>
              <a:defRPr baseline="0" strike="noStrike" u="none" i="false" b="false" sz="100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sr-Latn-RS"/>
          </a:p>
        </c:txPr>
        <c:crossAx val="38569856"/>
        <c:crosses val="autoZero"/>
        <c:auto val="true"/>
        <c:lblAlgn val="ctr"/>
        <c:lblOffset val="100"/>
        <c:noMultiLvlLbl val="false"/>
      </c:catAx>
      <c:valAx>
        <c:axId val="38569856"/>
        <c:scaling>
          <c:orientation val="minMax"/>
          <c:max val="5.0"/>
        </c:scaling>
        <c:delete val="false"/>
        <c:axPos val="l"/>
        <c:majorGridlines>
          <c:spPr>
            <a:ln w="3175">
              <a:solidFill>
                <a:srgbClr val="808080"/>
              </a:solidFill>
              <a:prstDash val="solid"/>
            </a:ln>
          </c:spPr>
        </c:majorGridlines>
        <c:numFmt sourceLinked="true" formatCode="#,##0"/>
        <c:majorTickMark val="out"/>
        <c:minorTickMark val="none"/>
        <c:tickLblPos val="nextTo"/>
        <c:spPr>
          <a:ln w="3175">
            <a:solidFill>
              <a:srgbClr val="808080"/>
            </a:solidFill>
            <a:prstDash val="solid"/>
          </a:ln>
        </c:spPr>
        <c:txPr>
          <a:bodyPr vert="horz" rot="0"/>
          <a:lstStyle/>
          <a:p>
            <a:pPr>
              <a:defRPr baseline="0" strike="noStrike" u="none" i="false" b="false" sz="100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sr-Latn-RS"/>
          </a:p>
        </c:txPr>
        <c:crossAx val="38568320"/>
        <c:crosses val="autoZero"/>
        <c:crossBetween val="between"/>
        <c:majorUnit val="1.0"/>
        <c:minorUnit val="1.0"/>
      </c:valAx>
      <c:spPr>
        <a:solidFill>
          <a:srgbClr val="FFFFFF"/>
        </a:solidFill>
        <a:ln w="25400">
          <a:noFill/>
        </a:ln>
      </c:spPr>
    </c:plotArea>
    <c:legend>
      <c:legendPos val="r"/>
      <c:layout>
        <c:manualLayout>
          <c:xMode val="edge"/>
          <c:yMode val="edge"/>
          <c:x val="0.100880328992396"/>
          <c:y val="0.852046854694173"/>
          <c:w val="0.771953821854859"/>
          <c:h val="0.103142513989295"/>
        </c:manualLayout>
      </c:layout>
      <c:overlay val="false"/>
      <c:spPr>
        <a:noFill/>
        <a:ln w="25400">
          <a:noFill/>
        </a:ln>
      </c:spPr>
      <c:txPr>
        <a:bodyPr/>
        <a:lstStyle/>
        <a:p>
          <a:pPr>
            <a:defRPr baseline="0" strike="noStrike" u="none" i="false" b="false" sz="825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sr-Latn-RS"/>
        </a:p>
      </c:txPr>
    </c:legend>
    <c:plotVisOnly val="true"/>
    <c:dispBlanksAs val="gap"/>
    <c:showDLblsOverMax val="false"/>
  </c:chart>
  <c:spPr>
    <a:solidFill>
      <a:srgbClr val="FFFFFF"/>
    </a:solidFill>
    <a:ln w="9525">
      <a:noFill/>
    </a:ln>
  </c:spPr>
  <c:txPr>
    <a:bodyPr/>
    <a:lstStyle/>
    <a:p>
      <a:pPr>
        <a:defRPr baseline="0" strike="noStrike" u="none" i="false" b="false" sz="1000">
          <a:solidFill>
            <a:srgbClr val="000000"/>
          </a:solidFill>
          <a:latin typeface="Calibri"/>
          <a:ea typeface="Calibri"/>
          <a:cs typeface="Calibri"/>
        </a:defRPr>
      </a:pPr>
      <a:endParaRPr lang="sr-Latn-RS"/>
    </a:p>
  </c:txPr>
  <c:externalData r:id="rId2">
    <c:autoUpdate val="false"/>
  </c:externalData>
</c:chartSpace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Office Them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a:clrScheme name="Office">
    <a:dk1>
      <a:sysClr lastClr="000000" val="windowText"/>
    </a:dk1>
    <a:lt1>
      <a:sysClr lastClr="FFFFFF" val="window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libri"/>
      <a:ea typeface=""/>
      <a:cs typeface=""/>
      <a:font typeface="ＭＳ ゴシック" script="Jpan"/>
      <a:font typeface="맑은 고딕" script="Hang"/>
      <a:font typeface="宋体" script="Hans"/>
      <a:font typeface="新細明體" script="Hant"/>
      <a:font typeface="Times New Roman" script="Arab"/>
      <a:font typeface="Times New Roman" script="Hebr"/>
      <a:font typeface="Angsana New" script="Thai"/>
      <a:font typeface="Nyala" script="Ethi"/>
      <a:font typeface="Vrinda" script="Beng"/>
      <a:font typeface="Shruti" script="Gujr"/>
      <a:font typeface="MoolBoran" script="Khmr"/>
      <a:font typeface="Tunga" script="Knda"/>
      <a:font typeface="Raavi" script="Guru"/>
      <a:font typeface="Euphemia" script="Cans"/>
      <a:font typeface="Plantagenet Cherokee" script="Cher"/>
      <a:font typeface="Microsoft Yi Baiti" script="Yiii"/>
      <a:font typeface="Microsoft Himalaya" script="Tibt"/>
      <a:font typeface="MV Boli" script="Thaa"/>
      <a:font typeface="Mangal" script="Deva"/>
      <a:font typeface="Gautami" script="Telu"/>
      <a:font typeface="Latha" script="Taml"/>
      <a:font typeface="Estrangelo Edessa" script="Syrc"/>
      <a:font typeface="Kalinga" script="Orya"/>
      <a:font typeface="Kartika" script="Mlym"/>
      <a:font typeface="DokChampa" script="Laoo"/>
      <a:font typeface="Iskoola Pota" script="Sinh"/>
      <a:font typeface="Mongolian Baiti" script="Mong"/>
      <a:font typeface="Times New Roman" script="Viet"/>
      <a:font typeface="Microsoft Uighur" script="Uigh"/>
      <a:font typeface="Sylfaen" script="Geor"/>
    </a:majorFont>
    <a:minorFont>
      <a:latin typeface="Cambria"/>
      <a:ea typeface=""/>
      <a:cs typeface=""/>
      <a:font typeface="ＭＳ 明朝" script="Jpan"/>
      <a:font typeface="맑은 고딕" script="Hang"/>
      <a:font typeface="宋体" script="Hans"/>
      <a:font typeface="新細明體" script="Hant"/>
      <a:font typeface="Arial" script="Arab"/>
      <a:font typeface="Arial" script="Hebr"/>
      <a:font typeface="Cordia New" script="Thai"/>
      <a:font typeface="Nyala" script="Ethi"/>
      <a:font typeface="Vrinda" script="Beng"/>
      <a:font typeface="Shruti" script="Gujr"/>
      <a:font typeface="DaunPenh" script="Khmr"/>
      <a:font typeface="Tunga" script="Knda"/>
      <a:font typeface="Raavi" script="Guru"/>
      <a:font typeface="Euphemia" script="Cans"/>
      <a:font typeface="Plantagenet Cherokee" script="Cher"/>
      <a:font typeface="Microsoft Yi Baiti" script="Yiii"/>
      <a:font typeface="Microsoft Himalaya" script="Tibt"/>
      <a:font typeface="MV Boli" script="Thaa"/>
      <a:font typeface="Mangal" script="Deva"/>
      <a:font typeface="Gautami" script="Telu"/>
      <a:font typeface="Latha" script="Taml"/>
      <a:font typeface="Estrangelo Edessa" script="Syrc"/>
      <a:font typeface="Kalinga" script="Orya"/>
      <a:font typeface="Kartika" script="Mlym"/>
      <a:font typeface="DokChampa" script="Laoo"/>
      <a:font typeface="Iskoola Pota" script="Sinh"/>
      <a:font typeface="Mongolian Baiti" script="Mong"/>
      <a:font typeface="Arial" script="Viet"/>
      <a:font typeface="Microsoft Uighur" script="Uigh"/>
      <a:font typeface="Sylfaen" script="Geor"/>
    </a:minorFont>
  </a:fontScheme>
  <a:fmtScheme name="Office">
    <a:fillStyleLst>
      <a:solidFill>
        <a:schemeClr val="phClr"/>
      </a:solidFill>
      <a:gradFill rotWithShape="true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scaled="true" ang="16200000"/>
      </a:gradFill>
      <a:gradFill rotWithShape="true">
        <a:gsLst>
          <a:gs pos="0">
            <a:schemeClr val="phClr">
              <a:tint val="100000"/>
              <a:shade val="100000"/>
              <a:satMod val="130000"/>
            </a:schemeClr>
          </a:gs>
          <a:gs pos="100000">
            <a:schemeClr val="phClr">
              <a:tint val="50000"/>
              <a:shade val="100000"/>
              <a:satMod val="350000"/>
            </a:schemeClr>
          </a:gs>
        </a:gsLst>
        <a:lin scaled="false" ang="16200000"/>
      </a:gradFill>
    </a:fillStyleLst>
    <a:lnStyleLst>
      <a:ln algn="ctr" cmpd="sng" cap="flat" w="9525">
        <a:solidFill>
          <a:schemeClr val="phClr">
            <a:shade val="95000"/>
            <a:satMod val="105000"/>
          </a:schemeClr>
        </a:solidFill>
        <a:prstDash val="solid"/>
      </a:ln>
      <a:ln algn="ctr" cmpd="sng" cap="flat" w="25400">
        <a:solidFill>
          <a:schemeClr val="phClr"/>
        </a:solidFill>
        <a:prstDash val="solid"/>
      </a:ln>
      <a:ln algn="ctr" cmpd="sng" cap="flat" w="38100">
        <a:solidFill>
          <a:schemeClr val="phClr"/>
        </a:solidFill>
        <a:prstDash val="solid"/>
      </a:ln>
    </a:lnStyleLst>
    <a:effectStyleLst>
      <a:effectStyle>
        <a:effectLst>
          <a:outerShdw rotWithShape="false" dir="5400000" dist="20000" blurRad="40000">
            <a:srgbClr val="000000">
              <a:alpha val="38000"/>
            </a:srgbClr>
          </a:outerShdw>
        </a:effectLst>
      </a:effectStyle>
      <a:effectStyle>
        <a:effectLst>
          <a:outerShdw rotWithShape="false" dir="5400000" dist="23000" blurRad="40000">
            <a:srgbClr val="000000">
              <a:alpha val="35000"/>
            </a:srgbClr>
          </a:outerShdw>
        </a:effectLst>
      </a:effectStyle>
      <a:effectStyle>
        <a:effectLst>
          <a:outerShdw rotWithShape="false" dir="5400000" dist="23000" blurRad="40000">
            <a:srgbClr val="000000">
              <a:alpha val="35000"/>
            </a:srgbClr>
          </a:outerShdw>
        </a:effectLst>
        <a:scene3d>
          <a:camera prst="orthographicFront">
            <a:rot rev="0" lon="0" lat="0"/>
          </a:camera>
          <a:lightRig dir="t" rig="threePt">
            <a:rot rev="1200000" lon="0" lat="0"/>
          </a:lightRig>
        </a:scene3d>
        <a:sp3d>
          <a:bevelT h="25400" w="63500"/>
        </a:sp3d>
      </a:effectStyle>
    </a:effectStyleLst>
    <a:bgFillStyleLst>
      <a:solidFill>
        <a:schemeClr val="phClr"/>
      </a:solidFill>
      <a:gradFill rotWithShape="true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b="180000" r="50000" t="-80000" l="50000"/>
        </a:path>
      </a:gradFill>
      <a:gradFill rotWithShape="true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b="50000" r="50000" t="50000" l="50000"/>
        </a:path>
      </a:gradFill>
    </a:bgFillStyleLst>
  </a:fmtScheme>
</a:themeOverride>
</file>

<file path=word/theme/themeOverride2.xml><?xml version="1.0" encoding="utf-8"?>
<a:themeOverrid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a:clrScheme name="Office">
    <a:dk1>
      <a:sysClr lastClr="000000" val="windowText"/>
    </a:dk1>
    <a:lt1>
      <a:sysClr lastClr="FFFFFF" val="window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libri"/>
      <a:ea typeface=""/>
      <a:cs typeface=""/>
      <a:font typeface="ＭＳ ゴシック" script="Jpan"/>
      <a:font typeface="맑은 고딕" script="Hang"/>
      <a:font typeface="宋体" script="Hans"/>
      <a:font typeface="新細明體" script="Hant"/>
      <a:font typeface="Times New Roman" script="Arab"/>
      <a:font typeface="Times New Roman" script="Hebr"/>
      <a:font typeface="Angsana New" script="Thai"/>
      <a:font typeface="Nyala" script="Ethi"/>
      <a:font typeface="Vrinda" script="Beng"/>
      <a:font typeface="Shruti" script="Gujr"/>
      <a:font typeface="MoolBoran" script="Khmr"/>
      <a:font typeface="Tunga" script="Knda"/>
      <a:font typeface="Raavi" script="Guru"/>
      <a:font typeface="Euphemia" script="Cans"/>
      <a:font typeface="Plantagenet Cherokee" script="Cher"/>
      <a:font typeface="Microsoft Yi Baiti" script="Yiii"/>
      <a:font typeface="Microsoft Himalaya" script="Tibt"/>
      <a:font typeface="MV Boli" script="Thaa"/>
      <a:font typeface="Mangal" script="Deva"/>
      <a:font typeface="Gautami" script="Telu"/>
      <a:font typeface="Latha" script="Taml"/>
      <a:font typeface="Estrangelo Edessa" script="Syrc"/>
      <a:font typeface="Kalinga" script="Orya"/>
      <a:font typeface="Kartika" script="Mlym"/>
      <a:font typeface="DokChampa" script="Laoo"/>
      <a:font typeface="Iskoola Pota" script="Sinh"/>
      <a:font typeface="Mongolian Baiti" script="Mong"/>
      <a:font typeface="Times New Roman" script="Viet"/>
      <a:font typeface="Microsoft Uighur" script="Uigh"/>
      <a:font typeface="Sylfaen" script="Geor"/>
    </a:majorFont>
    <a:minorFont>
      <a:latin typeface="Cambria"/>
      <a:ea typeface=""/>
      <a:cs typeface=""/>
      <a:font typeface="ＭＳ 明朝" script="Jpan"/>
      <a:font typeface="맑은 고딕" script="Hang"/>
      <a:font typeface="宋体" script="Hans"/>
      <a:font typeface="新細明體" script="Hant"/>
      <a:font typeface="Arial" script="Arab"/>
      <a:font typeface="Arial" script="Hebr"/>
      <a:font typeface="Cordia New" script="Thai"/>
      <a:font typeface="Nyala" script="Ethi"/>
      <a:font typeface="Vrinda" script="Beng"/>
      <a:font typeface="Shruti" script="Gujr"/>
      <a:font typeface="DaunPenh" script="Khmr"/>
      <a:font typeface="Tunga" script="Knda"/>
      <a:font typeface="Raavi" script="Guru"/>
      <a:font typeface="Euphemia" script="Cans"/>
      <a:font typeface="Plantagenet Cherokee" script="Cher"/>
      <a:font typeface="Microsoft Yi Baiti" script="Yiii"/>
      <a:font typeface="Microsoft Himalaya" script="Tibt"/>
      <a:font typeface="MV Boli" script="Thaa"/>
      <a:font typeface="Mangal" script="Deva"/>
      <a:font typeface="Gautami" script="Telu"/>
      <a:font typeface="Latha" script="Taml"/>
      <a:font typeface="Estrangelo Edessa" script="Syrc"/>
      <a:font typeface="Kalinga" script="Orya"/>
      <a:font typeface="Kartika" script="Mlym"/>
      <a:font typeface="DokChampa" script="Laoo"/>
      <a:font typeface="Iskoola Pota" script="Sinh"/>
      <a:font typeface="Mongolian Baiti" script="Mong"/>
      <a:font typeface="Arial" script="Viet"/>
      <a:font typeface="Microsoft Uighur" script="Uigh"/>
      <a:font typeface="Sylfaen" script="Geor"/>
    </a:minorFont>
  </a:fontScheme>
  <a:fmtScheme name="Office">
    <a:fillStyleLst>
      <a:solidFill>
        <a:schemeClr val="phClr"/>
      </a:solidFill>
      <a:gradFill rotWithShape="true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scaled="true" ang="16200000"/>
      </a:gradFill>
      <a:gradFill rotWithShape="true">
        <a:gsLst>
          <a:gs pos="0">
            <a:schemeClr val="phClr">
              <a:tint val="100000"/>
              <a:shade val="100000"/>
              <a:satMod val="130000"/>
            </a:schemeClr>
          </a:gs>
          <a:gs pos="100000">
            <a:schemeClr val="phClr">
              <a:tint val="50000"/>
              <a:shade val="100000"/>
              <a:satMod val="350000"/>
            </a:schemeClr>
          </a:gs>
        </a:gsLst>
        <a:lin scaled="false" ang="16200000"/>
      </a:gradFill>
    </a:fillStyleLst>
    <a:lnStyleLst>
      <a:ln algn="ctr" cmpd="sng" cap="flat" w="9525">
        <a:solidFill>
          <a:schemeClr val="phClr">
            <a:shade val="95000"/>
            <a:satMod val="105000"/>
          </a:schemeClr>
        </a:solidFill>
        <a:prstDash val="solid"/>
      </a:ln>
      <a:ln algn="ctr" cmpd="sng" cap="flat" w="25400">
        <a:solidFill>
          <a:schemeClr val="phClr"/>
        </a:solidFill>
        <a:prstDash val="solid"/>
      </a:ln>
      <a:ln algn="ctr" cmpd="sng" cap="flat" w="38100">
        <a:solidFill>
          <a:schemeClr val="phClr"/>
        </a:solidFill>
        <a:prstDash val="solid"/>
      </a:ln>
    </a:lnStyleLst>
    <a:effectStyleLst>
      <a:effectStyle>
        <a:effectLst>
          <a:outerShdw rotWithShape="false" dir="5400000" dist="20000" blurRad="40000">
            <a:srgbClr val="000000">
              <a:alpha val="38000"/>
            </a:srgbClr>
          </a:outerShdw>
        </a:effectLst>
      </a:effectStyle>
      <a:effectStyle>
        <a:effectLst>
          <a:outerShdw rotWithShape="false" dir="5400000" dist="23000" blurRad="40000">
            <a:srgbClr val="000000">
              <a:alpha val="35000"/>
            </a:srgbClr>
          </a:outerShdw>
        </a:effectLst>
      </a:effectStyle>
      <a:effectStyle>
        <a:effectLst>
          <a:outerShdw rotWithShape="false" dir="5400000" dist="23000" blurRad="40000">
            <a:srgbClr val="000000">
              <a:alpha val="35000"/>
            </a:srgbClr>
          </a:outerShdw>
        </a:effectLst>
        <a:scene3d>
          <a:camera prst="orthographicFront">
            <a:rot rev="0" lon="0" lat="0"/>
          </a:camera>
          <a:lightRig dir="t" rig="threePt">
            <a:rot rev="1200000" lon="0" lat="0"/>
          </a:lightRig>
        </a:scene3d>
        <a:sp3d>
          <a:bevelT h="25400" w="63500"/>
        </a:sp3d>
      </a:effectStyle>
    </a:effectStyleLst>
    <a:bgFillStyleLst>
      <a:solidFill>
        <a:schemeClr val="phClr"/>
      </a:solidFill>
      <a:gradFill rotWithShape="true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b="180000" r="50000" t="-80000" l="50000"/>
        </a:path>
      </a:gradFill>
      <a:gradFill rotWithShape="true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b="50000" r="50000" t="50000" l="50000"/>
        </a:path>
      </a:gradFill>
    </a:bgFillStyleLst>
  </a:fmtScheme>
</a:themeOverrid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icms>
  <DomainObject.DatumDonosenjaOdluke>
    <izvorni_sadrzaj>30. svibnja 2017.</izvorni_sadrzaj>
    <derivirana_varijabla naziv="DomainObject.DatumDonosenjaOdluke_1">30. svibnja 2017.</derivirana_varijabla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>St-276/2017-7</izvorni_sadrzaj>
    <derivirana_varijabla naziv="DomainObject.Oznaka_1">St-276/2017-7</derivirana_varijabla>
  </DomainObject.Oznaka>
  <DomainObject.DonositeljOdluke.Ime>
    <izvorni_sadrzaj>Marija</izvorni_sadrzaj>
    <derivirana_varijabla naziv="DomainObject.DonositeljOdluke.Ime_1">Marija</derivirana_varijabla>
  </DomainObject.DonositeljOdluke.Ime>
  <DomainObject.DonositeljOdluke.Prezime>
    <izvorni_sadrzaj>Petrina Kubica</izvorni_sadrzaj>
    <derivirana_varijabla naziv="DomainObject.DonositeljOdluke.Prezime_1">Petrina Kubica</derivirana_varijabla>
  </DomainObject.DonositeljOdluke.Prezime>
  <DomainObject.DonositeljOdluke.Oib>
    <izvorni_sadrzaj/>
    <derivirana_varijabla naziv="DomainObject.DonositeljOdluke.Oib_1"/>
  </DomainObject.DonositeljOdluke.Oib>
  <DomainObject.BrojStranica>
    <izvorni_sadrzaj>0</izvorni_sadrzaj>
    <derivirana_varijabla naziv="DomainObject.BrojStranica_1">0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>
      <item/>
    </izvorni_sadrzaj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276</izvorni_sadrzaj>
    <derivirana_varijabla naziv="DomainObject.Predmet.Broj_1">276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10. svibnja 2017.</izvorni_sadrzaj>
    <derivirana_varijabla naziv="DomainObject.Predmet.DatumOsnivanja_1">10. svibnja 2017.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ImeRoditelja>
    <izvorni_sadrzaj/>
    <derivirana_varijabla naziv="DomainObject.Predmet.OkrivljenikFizickaOsoba.ImeRoditelja_1"/>
  </DomainObject.Predmet.OkrivljenikFizickaOsoba.ImeRoditelja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St-276/2017</izvorni_sadrzaj>
    <derivirana_varijabla naziv="DomainObject.Predmet.OznakaBroj_1">St-276/2017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imjedbaUpisnicara>
    <izvorni_sadrzaj/>
    <derivirana_varijabla naziv="DomainObject.Predmet.PrimjedbaUpisnicara_1"/>
  </DomainObject.Predmet.PrimjedbaUpisnicara>
  <DomainObject.Predmet.ProtustrankaFormated>
    <izvorni_sadrzaj>  </izvorni_sadrzaj>
    <derivirana_varijabla naziv="DomainObject.Predmet.ProtustrankaFormated_1">  </derivirana_varijabla>
  </DomainObject.Predmet.ProtustrankaFormated>
  <DomainObject.Predmet.ProtustrankaFormatedOIB>
    <izvorni_sadrzaj>  </izvorni_sadrzaj>
    <derivirana_varijabla naziv="DomainObject.Predmet.ProtustrankaFormatedOIB_1">  </derivirana_varijabla>
  </DomainObject.Predmet.ProtustrankaFormatedOIB>
  <DomainObject.Predmet.ProtustrankaFormatedWithAdress>
    <izvorni_sadrzaj> </izvorni_sadrzaj>
    <derivirana_varijabla naziv="DomainObject.Predmet.ProtustrankaFormatedWithAdress_1"> </derivirana_varijabla>
  </DomainObject.Predmet.ProtustrankaFormatedWithAdress>
  <DomainObject.Predmet.ProtustrankaFormatedWithAdressOIB>
    <izvorni_sadrzaj> </izvorni_sadrzaj>
    <derivirana_varijabla naziv="DomainObject.Predmet.ProtustrankaFormatedWithAdressOIB_1"> </derivirana_varijabla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Referada 5</izvorni_sadrzaj>
    <derivirana_varijabla naziv="DomainObject.Predmet.Referada.Naziv_1">Referada 5</derivirana_varijabla>
  </DomainObject.Predmet.Referada.Naziv>
  <DomainObject.Predmet.Referada.Oznaka>
    <izvorni_sadrzaj>5</izvorni_sadrzaj>
    <derivirana_varijabla naziv="DomainObject.Predmet.Referada.Oznaka_1">5</derivirana_varijabla>
  </DomainObject.Predmet.Referada.Oznaka>
  <DomainObject.Predmet.Referada.Prostorija.Naziv>
    <izvorni_sadrzaj>Soba 1</izvorni_sadrzaj>
    <derivirana_varijabla naziv="DomainObject.Predmet.Referada.Prostorija.Naziv_1">Soba 1</derivirana_varijabla>
  </DomainObject.Predmet.Referada.Prostorija.Naziv>
  <DomainObject.Predmet.Referada.Prostorija.Oznaka>
    <izvorni_sadrzaj>Soba 1</izvorni_sadrzaj>
    <derivirana_varijabla naziv="DomainObject.Predmet.Referada.Prostorija.Oznaka_1">Soba 1</derivirana_varijabla>
  </DomainObject.Predmet.Referada.Prostorija.Oznaka>
  <DomainObject.Predmet.Referada.Sud.Naziv>
    <izvorni_sadrzaj>Trgovački sud u Bjelovaru</izvorni_sadrzaj>
    <derivirana_varijabla naziv="DomainObject.Predmet.Referada.Sud.Naziv_1">Trgovački sud u Bjelovaru</derivirana_varijabla>
  </DomainObject.Predmet.Referada.Sud.Naziv>
  <DomainObject.Predmet.Referada.Sudac>
    <izvorni_sadrzaj>Marija Petrina Kubica</izvorni_sadrzaj>
    <derivirana_varijabla naziv="DomainObject.Predmet.Referada.Sudac_1">Marija Petrina Kubica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MATEO PRIDRAGA d.o.o. za proizvodnju i usluge</izvorni_sadrzaj>
    <derivirana_varijabla naziv="DomainObject.Predmet.StrankaFormated_1">  MATEO PRIDRAGA d.o.o. za proizvodnju i usluge</derivirana_varijabla>
  </DomainObject.Predmet.StrankaFormated>
  <DomainObject.Predmet.StrankaFormatedOIB>
    <izvorni_sadrzaj>  MATEO PRIDRAGA d.o.o. za proizvodnju i usluge, OIB 42228937982</izvorni_sadrzaj>
    <derivirana_varijabla naziv="DomainObject.Predmet.StrankaFormatedOIB_1">  MATEO PRIDRAGA d.o.o. za proizvodnju i usluge, OIB 42228937982</derivirana_varijabla>
  </DomainObject.Predmet.StrankaFormatedOIB>
  <DomainObject.Predmet.StrankaFormatedWithAdress>
    <izvorni_sadrzaj> MATEO PRIDRAGA d.o.o. za proizvodnju i usluge, Ulica Augusta Šenoe 7, 43000 Bjelovar</izvorni_sadrzaj>
    <derivirana_varijabla naziv="DomainObject.Predmet.StrankaFormatedWithAdress_1"> MATEO PRIDRAGA d.o.o. za proizvodnju i usluge, Ulica Augusta Šenoe 7, 43000 Bjelovar</derivirana_varijabla>
  </DomainObject.Predmet.StrankaFormatedWithAdress>
  <DomainObject.Predmet.StrankaFormatedWithAdressOIB>
    <izvorni_sadrzaj> MATEO PRIDRAGA d.o.o. za proizvodnju i usluge, OIB 42228937982, Ulica Augusta Šenoe 7, 43000 Bjelovar</izvorni_sadrzaj>
    <derivirana_varijabla naziv="DomainObject.Predmet.StrankaFormatedWithAdressOIB_1"> MATEO PRIDRAGA d.o.o. za proizvodnju i usluge, OIB 42228937982, Ulica Augusta Šenoe 7, 43000 Bjelovar</derivirana_varijabla>
  </DomainObject.Predmet.StrankaFormatedWithAdressOIB>
  <DomainObject.Predmet.StrankaWithAdress>
    <izvorni_sadrzaj>MATEO PRIDRAGA d.o.o. za proizvodnju i usluge Ulica Augusta Šenoe 7,43000 Bjelovar</izvorni_sadrzaj>
    <derivirana_varijabla naziv="DomainObject.Predmet.StrankaWithAdress_1">MATEO PRIDRAGA d.o.o. za proizvodnju i usluge Ulica Augusta Šenoe 7,43000 Bjelovar</derivirana_varijabla>
  </DomainObject.Predmet.StrankaWithAdress>
  <DomainObject.Predmet.StrankaWithAdressOIB>
    <izvorni_sadrzaj>MATEO PRIDRAGA d.o.o. za proizvodnju i usluge, OIB 42228937982, Ulica Augusta Šenoe 7,43000 Bjelovar</izvorni_sadrzaj>
    <derivirana_varijabla naziv="DomainObject.Predmet.StrankaWithAdressOIB_1">MATEO PRIDRAGA d.o.o. za proizvodnju i usluge, OIB 42228937982, Ulica Augusta Šenoe 7,43000 Bjelovar</derivirana_varijabla>
  </DomainObject.Predmet.StrankaWithAdressOIB>
  <DomainObject.Predmet.StrankaNazivFormated>
    <izvorni_sadrzaj>MATEO PRIDRAGA d.o.o. za proizvodnju i usluge</izvorni_sadrzaj>
    <derivirana_varijabla naziv="DomainObject.Predmet.StrankaNazivFormated_1">MATEO PRIDRAGA d.o.o. za proizvodnju i usluge</derivirana_varijabla>
  </DomainObject.Predmet.StrankaNazivFormated>
  <DomainObject.Predmet.StrankaNazivFormatedOIB>
    <izvorni_sadrzaj>MATEO PRIDRAGA d.o.o. za proizvodnju i usluge, OIB 42228937982</izvorni_sadrzaj>
    <derivirana_varijabla naziv="DomainObject.Predmet.StrankaNazivFormatedOIB_1">MATEO PRIDRAGA d.o.o. za proizvodnju i usluge, OIB 42228937982</derivirana_varijabla>
  </DomainObject.Predmet.StrankaNazivFormatedOIB>
  <DomainObject.Predmet.Sud.Adresa.Naselje>
    <izvorni_sadrzaj>Bjelovar</izvorni_sadrzaj>
    <derivirana_varijabla naziv="DomainObject.Predmet.Sud.Adresa.Naselje_1">Bjelovar</derivirana_varijabla>
  </DomainObject.Predmet.Sud.Adresa.Naselje>
  <DomainObject.Predmet.Sud.Adresa.NaseljeLokativ>
    <izvorni_sadrzaj>Bjelovaru</izvorni_sadrzaj>
    <derivirana_varijabla naziv="DomainObject.Predmet.Sud.Adresa.NaseljeLokativ_1">Bjelovaru</derivirana_varijabla>
  </DomainObject.Predmet.Sud.Adresa.NaseljeLokativ>
  <DomainObject.Predmet.Sud.Adresa.PostBroj>
    <izvorni_sadrzaj>43000</izvorni_sadrzaj>
    <derivirana_varijabla naziv="DomainObject.Predmet.Sud.Adresa.PostBroj_1">43000</derivirana_varijabla>
  </DomainObject.Predmet.Sud.Adresa.PostBroj>
  <DomainObject.Predmet.Sud.Adresa.UlicaIKBR>
    <izvorni_sadrzaj>Šetalište Dr. Ivše Lebovića 42</izvorni_sadrzaj>
    <derivirana_varijabla naziv="DomainObject.Predmet.Sud.Adresa.UlicaIKBR_1">Šetalište Dr. Ivše Lebovića 42</derivirana_varijabla>
  </DomainObject.Predmet.Sud.Adresa.UlicaIKBR>
  <DomainObject.Predmet.Sud.Naziv>
    <izvorni_sadrzaj>Trgovački sud u Bjelovaru</izvorni_sadrzaj>
    <derivirana_varijabla naziv="DomainObject.Predmet.Sud.Naziv_1">Trgovački sud u Bjelovaru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Referada 5</izvorni_sadrzaj>
    <derivirana_varijabla naziv="DomainObject.Predmet.TrenutnaLokacijaSpisa.Naziv_1">Referada 5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Bjelovaru</izvorni_sadrzaj>
    <derivirana_varijabla naziv="DomainObject.Predmet.TrenutnaLokacijaSpisa.Sud.Naziv_1">Trgovački sud u Bjelovaru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Sudska pisarnica</izvorni_sadrzaj>
    <derivirana_varijabla naziv="DomainObject.Predmet.UstrojstvenaJedinicaVodi.Naziv_1">Sudska pisarnica</derivirana_varijabla>
  </DomainObject.Predmet.UstrojstvenaJedinicaVodi.Naziv>
  <DomainObject.Predmet.UstrojstvenaJedinicaVodi.Oznaka>
    <izvorni_sadrzaj>Spisarnica</izvorni_sadrzaj>
    <derivirana_varijabla naziv="DomainObject.Predmet.UstrojstvenaJedinicaVodi.Oznaka_1">Spisarnica</derivirana_varijabla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>Trgovački sud u Bjelovaru</izvorni_sadrzaj>
    <derivirana_varijabla naziv="DomainObject.Predmet.UstrojstvenaJedinicaVodi.Sud.Naziv_1">Trgovački sud u Bjelovaru</derivirana_varijabla>
  </DomainObject.Predmet.UstrojstvenaJedinicaVodi.Sud.Naziv>
  <DomainObject.Predmet.VrstaSpora.Naziv>
    <izvorni_sadrzaj>Predstečajni postupak</izvorni_sadrzaj>
    <derivirana_varijabla naziv="DomainObject.Predmet.VrstaSpora.Naziv_1">Predstečajni postupak</derivirana_varijabla>
  </DomainObject.Predmet.VrstaSpora.Naziv>
  <DomainObject.Predmet.Zapisnicar>
    <izvorni_sadrzaj>Željka Vitez</izvorni_sadrzaj>
    <derivirana_varijabla naziv="DomainObject.Predmet.Zapisnicar_1">Željka Vitez</derivirana_varijabla>
  </DomainObject.Predmet.Zapisnicar>
  <DomainObject.Predmet.StrankaListFormated>
    <izvorni_sadrzaj>
      <item>MATEO PRIDRAGA d.o.o. za proizvodnju i usluge</item>
    </izvorni_sadrzaj>
    <derivirana_varijabla naziv="DomainObject.Predmet.StrankaListFormated_1">
      <item>MATEO PRIDRAGA d.o.o. za proizvodnju i usluge</item>
    </derivirana_varijabla>
  </DomainObject.Predmet.StrankaListFormated>
  <DomainObject.Predmet.StrankaListFormatedOIB>
    <izvorni_sadrzaj>
      <item>MATEO PRIDRAGA d.o.o. za proizvodnju i usluge, OIB 42228937982</item>
    </izvorni_sadrzaj>
    <derivirana_varijabla naziv="DomainObject.Predmet.StrankaListFormatedOIB_1">
      <item>MATEO PRIDRAGA d.o.o. za proizvodnju i usluge, OIB 42228937982</item>
    </derivirana_varijabla>
  </DomainObject.Predmet.StrankaListFormatedOIB>
  <DomainObject.Predmet.StrankaListFormatedWithAdress>
    <izvorni_sadrzaj>
      <item>MATEO PRIDRAGA d.o.o. za proizvodnju i usluge, Ulica Augusta Šenoe 7, 43000 Bjelovar</item>
    </izvorni_sadrzaj>
    <derivirana_varijabla naziv="DomainObject.Predmet.StrankaListFormatedWithAdress_1">
      <item>MATEO PRIDRAGA d.o.o. za proizvodnju i usluge, Ulica Augusta Šenoe 7, 43000 Bjelovar</item>
    </derivirana_varijabla>
  </DomainObject.Predmet.StrankaListFormatedWithAdress>
  <DomainObject.Predmet.StrankaListFormatedWithAdressOIB>
    <izvorni_sadrzaj>
      <item>MATEO PRIDRAGA d.o.o. za proizvodnju i usluge, OIB 42228937982, Ulica Augusta Šenoe 7, 43000 Bjelovar</item>
    </izvorni_sadrzaj>
    <derivirana_varijabla naziv="DomainObject.Predmet.StrankaListFormatedWithAdressOIB_1">
      <item>MATEO PRIDRAGA d.o.o. za proizvodnju i usluge, OIB 42228937982, Ulica Augusta Šenoe 7, 43000 Bjelovar</item>
    </derivirana_varijabla>
  </DomainObject.Predmet.StrankaListFormatedWithAdressOIB>
  <DomainObject.Predmet.StrankaListNazivFormated>
    <izvorni_sadrzaj>
      <item>MATEO PRIDRAGA d.o.o. za proizvodnju i usluge</item>
    </izvorni_sadrzaj>
    <derivirana_varijabla naziv="DomainObject.Predmet.StrankaListNazivFormated_1">
      <item>MATEO PRIDRAGA d.o.o. za proizvodnju i usluge</item>
    </derivirana_varijabla>
  </DomainObject.Predmet.StrankaListNazivFormated>
  <DomainObject.Predmet.StrankaListNazivFormatedOIB>
    <izvorni_sadrzaj>
      <item>MATEO PRIDRAGA d.o.o. za proizvodnju i usluge, OIB 42228937982</item>
    </izvorni_sadrzaj>
    <derivirana_varijabla naziv="DomainObject.Predmet.StrankaListNazivFormatedOIB_1">
      <item>MATEO PRIDRAGA d.o.o. za proizvodnju i usluge, OIB 42228937982</item>
    </derivirana_varijabla>
  </DomainObject.Predmet.StrankaListNazivFormatedOIB>
  <DomainObject.Predmet.ProtuStrankaListFormated>
    <izvorni_sadrzaj>
      <item/>
    </izvorni_sadrzaj>
    <derivirana_varijabla naziv="DomainObject.Predmet.ProtuStrankaListFormated_1">
      <item/>
    </derivirana_varijabla>
  </DomainObject.Predmet.ProtuStrankaListFormated>
  <DomainObject.Predmet.ProtuStrankaListFormatedOIB>
    <izvorni_sadrzaj>
      <item/>
    </izvorni_sadrzaj>
    <derivirana_varijabla naziv="DomainObject.Predmet.ProtuStrankaListFormatedOIB_1">
      <item/>
    </derivirana_varijabla>
  </DomainObject.Predmet.ProtuStrankaListFormatedOIB>
  <DomainObject.Predmet.ProtuStrankaListFormatedWithAdress>
    <izvorni_sadrzaj>
      <item/>
    </izvorni_sadrzaj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>
      <item/>
    </izvorni_sadrzaj>
    <derivirana_varijabla naziv="DomainObject.Predmet.ProtuStrankaListFormatedWithAdressOIB_1">
      <item/>
    </derivirana_varijabla>
  </DomainObject.Predmet.ProtuStrankaListFormatedWithAdressOIB>
  <DomainObject.Predmet.ProtuStrankaListNazivFormated>
    <izvorni_sadrzaj>
      <item/>
    </izvorni_sadrzaj>
    <derivirana_varijabla naziv="DomainObject.Predmet.ProtuStrankaListNazivFormated_1">
      <item/>
    </derivirana_varijabla>
  </DomainObject.Predmet.ProtuStrankaListNazivFormated>
  <DomainObject.Predmet.ProtuStrankaListNazivFormatedOIB>
    <izvorni_sadrzaj>
      <item/>
    </izvorni_sadrzaj>
    <derivirana_varijabla naziv="DomainObject.Predmet.ProtuStrankaListNazivFormatedOIB_1">
      <item/>
    </derivirana_varijabla>
  </DomainObject.Predmet.ProtuStrankaListNazivFormatedOIB>
  <DomainObject.Predmet.OstaliListFormated>
    <izvorni_sadrzaj>
      <item/>
    </izvorni_sadrzaj>
    <derivirana_varijabla naziv="DomainObject.Predmet.OstaliListFormated_1">
      <item/>
    </derivirana_varijabla>
  </DomainObject.Predmet.OstaliListFormated>
  <DomainObject.Predmet.OstaliListFormatedOIB>
    <izvorni_sadrzaj>
      <item/>
    </izvorni_sadrzaj>
    <derivirana_varijabla naziv="DomainObject.Predmet.OstaliListFormatedOIB_1">
      <item/>
    </derivirana_varijabla>
  </DomainObject.Predmet.OstaliListFormatedOIB>
  <DomainObject.Predmet.OstaliListFormatedWithAdress>
    <izvorni_sadrzaj>
      <item/>
    </izvorni_sadrzaj>
    <derivirana_varijabla naziv="DomainObject.Predmet.OstaliListFormatedWithAdress_1">
      <item/>
    </derivirana_varijabla>
  </DomainObject.Predmet.OstaliListFormatedWithAdress>
  <DomainObject.Predmet.OstaliListFormatedWithAdressOIB>
    <izvorni_sadrzaj>
      <item/>
    </izvorni_sadrzaj>
    <derivirana_varijabla naziv="DomainObject.Predmet.OstaliListFormatedWithAdressOIB_1">
      <item/>
    </derivirana_varijabla>
  </DomainObject.Predmet.OstaliListFormatedWithAdressOIB>
  <DomainObject.Predmet.OstaliListNazivFormated>
    <izvorni_sadrzaj>
      <item/>
    </izvorni_sadrzaj>
    <derivirana_varijabla naziv="DomainObject.Predmet.OstaliListNazivFormated_1">
      <item/>
    </derivirana_varijabla>
  </DomainObject.Predmet.OstaliListNazivFormated>
  <DomainObject.Predmet.OstaliListNazivFormatedOIB>
    <izvorni_sadrzaj>
      <item/>
    </izvorni_sadrzaj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Datum>
    <izvorni_sadrzaj>30. svibnja 2017.</izvorni_sadrzaj>
    <derivirana_varijabla naziv="DomainObject.Datum_1">30. svibnja 2017.</derivirana_varijabla>
  </DomainObject.Datum>
  <DomainObject.PoslovniBrojDokumenta>
    <izvorni_sadrzaj>St-276/2017-7</izvorni_sadrzaj>
    <derivirana_varijabla naziv="DomainObject.PoslovniBrojDokumenta_1">St-276/2017-7</derivirana_varijabla>
  </DomainObject.PoslovniBrojDokumenta>
  <DomainObject.Predmet.StrankaIDrugi>
    <izvorni_sadrzaj>MATEO PRIDRAGA d.o.o. za proizvodnju i usluge</izvorni_sadrzaj>
    <derivirana_varijabla naziv="DomainObject.Predmet.StrankaIDrugi_1">MATEO PRIDRAGA d.o.o. za proizvodnju i usluge</derivirana_varijabla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>MATEO PRIDRAGA d.o.o. za proizvodnju i usluge, OIB 42228937982, Ulica Augusta Šenoe 7, 43000 Bjelovar</izvorni_sadrzaj>
    <derivirana_varijabla naziv="DomainObject.Predmet.StrankaIDrugiAdressOIB_1">MATEO PRIDRAGA d.o.o. za proizvodnju i usluge, OIB 42228937982, Ulica Augusta Šenoe 7, 43000 Bjelovar</derivirana_varijabla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MATEO PRIDRAGA d.o.o. za proizvodnju i usluge</item>
    </izvorni_sadrzaj>
    <derivirana_varijabla naziv="DomainObject.Predmet.SudioniciListNaziv_1">
      <item>MATEO PRIDRAGA d.o.o. za proizvodnju i usluge</item>
    </derivirana_varijabla>
  </DomainObject.Predmet.SudioniciListNaziv>
  <DomainObject.Predmet.SudioniciListAdressOIB>
    <izvorni_sadrzaj>
      <item>MATEO PRIDRAGA d.o.o. za proizvodnju i usluge, OIB 42228937982, Ulica Augusta Šenoe 7,43000 Bjelovar</item>
    </izvorni_sadrzaj>
    <derivirana_varijabla naziv="DomainObject.Predmet.SudioniciListAdressOIB_1">
      <item>MATEO PRIDRAGA d.o.o. za proizvodnju i usluge, OIB 42228937982, Ulica Augusta Šenoe 7,43000 Bjelovar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UserObject.Predmet.Kalendar.RokDana>
    <izvorni_sadrzaj/>
    <derivirana_varijabla naziv="UserObject.Predmet.Kalendar.RokDana_1"/>
  </UserObject.Predmet.Kalendar.RokDana>
  <UserObject.Predmet.Kalendar.RokDatum>
    <izvorni_sadrzaj/>
    <derivirana_varijabla naziv="UserObject.Predmet.Kalendar.RokDatum_1"/>
  </UserObject.Predmet.Kalendar.RokDatum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2.xml><?xml version="1.0" encoding="utf-8"?>
<ns30:Sourc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StyleName="APA" SelectedStyle="\APA.XSL"/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customXml/itemProps2.xml><?xml version="1.0" encoding="utf-8"?>
<ds:datastoreItem xmlns:ds="http://schemas.openxmlformats.org/officeDocument/2006/customXml" ds:itemID="{700EFFEA-1506-4F5D-AB38-8C3B24B36CD8}">
  <ds:schemaRefs>
    <ds:schemaRef ds:uri="http://schemas.openxmlformats.org/officeDocument/2006/relationships"/>
    <ds:schemaRef ds:uri="http://schemas.openxmlformats.org/wordprocessingml/2006/main"/>
    <ds:schemaRef ds:uri="http://schemas.microsoft.com/office/word/2010/wordml"/>
    <ds:schemaRef ds:uri="http://schemas.microsoft.com/office/word/2012/wordml"/>
    <ds:schemaRef ds:uri="http://schemas.openxmlformats.org/drawingml/2006/wordprocessingDrawing"/>
    <ds:schemaRef ds:uri="http://schemas.openxmlformats.org/drawingml/2006/main"/>
    <ds:schemaRef ds:uri="http://schemas.openxmlformats.org/officeDocument/2006/math"/>
    <ds:schemaRef ds:uri="http://schemas.openxmlformats.org/schemaLibrary/2006/main"/>
    <ds:schemaRef ds:uri="http://schemas.openxmlformats.org/markup-compatibility/2006"/>
    <ds:schemaRef ds:uri="http://schemas.microsoft.com/office/word/2006/wordml"/>
    <ds:schemaRef ds:uri="http://schemas.openxmlformats.org/drawingml/2006/chart"/>
    <ds:schemaRef ds:uri="http://schemas.openxmlformats.org/drawingml/2006/chartDrawing"/>
    <ds:schemaRef ds:uri="http://schemas.openxmlformats.org/drawingml/2006/diagram"/>
    <ds:schemaRef ds:uri="http://schemas.openxmlformats.org/drawingml/2006/picture"/>
    <ds:schemaRef ds:uri="http://schemas.openxmlformats.org/drawingml/2006/spreadsheetDrawing"/>
    <ds:schemaRef ds:uri="http://schemas.microsoft.com/office/drawing/2008/diagram"/>
    <ds:schemaRef ds:uri="urn:schemas-microsoft-com:office:office"/>
    <ds:schemaRef ds:uri="urn:schemas-microsoft-com:vml"/>
    <ds:schemaRef ds:uri="urn:schemas-microsoft-com:office:excel"/>
    <ds:schemaRef ds:uri="urn:schemas-microsoft-com:office:word"/>
    <ds:schemaRef ds:uri="urn:schemas-microsoft-com:office:powerpoint"/>
    <ds:schemaRef ds:uri="http://schemas.microsoft.com/office/2006/coverPageProps"/>
    <ds:schemaRef ds:uri="http://opendope.org/xpaths"/>
    <ds:schemaRef ds:uri="http://opendope.org/conditions"/>
    <ds:schemaRef ds:uri="http://opendope.org/questions"/>
    <ds:schemaRef ds:uri="http://opendope.org/answers"/>
    <ds:schemaRef ds:uri="http://opendope.org/components"/>
    <ds:schemaRef ds:uri="http://opendope.org/SmartArt/DataHierarchy"/>
    <ds:schemaRef ds:uri="http://schemas.openxmlformats.org/officeDocument/2006/bibliography"/>
    <ds:schemaRef ds:uri="http://schemas.openxmlformats.org/drawingml/2006/compatibility"/>
    <ds:schemaRef ds:uri="http://schemas.openxmlformats.org/drawingml/2006/lockedCanvas"/>
  </ds:schemaRefs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31</properties:Pages>
  <properties:Words>4940</properties:Words>
  <properties:Characters>29824</properties:Characters>
  <properties:Lines>1918</properties:Lines>
  <properties:Paragraphs>1276</properties:Paragraphs>
  <properties:TotalTime>7</properties:TotalTime>
  <properties:ScaleCrop>false</properties:ScaleCrop>
  <properties: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properties:HeadingPairs>
  <properties:TitlesOfParts>
    <vt:vector size="2" baseType="lpstr">
      <vt:lpstr>Prazni eSPIS predložak s naputkom</vt:lpstr>
      <vt:lpstr/>
    </vt:vector>
  </properties:TitlesOfParts>
  <properties:LinksUpToDate>false</properties:LinksUpToDate>
  <properties:CharactersWithSpaces>34954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2016-05-12T08:09:00Z</dcterms:created>
  <dc:creator>Ratko Gospodnetić, ZI5 d.o.o. Zagreb</dc:creator>
  <dc:description>Ovaj predložak služi kao osnova za kreiranje novih eSPIS predložaka tijekom obrade sudskih dokumenata.</dc:description>
  <cp:lastModifiedBy>Željka Vitez</cp:lastModifiedBy>
  <dcterms:modified xmlns:xsi="http://www.w3.org/2001/XMLSchema-instance" xsi:type="dcterms:W3CDTF">2017-05-30T09:49:00Z</dcterms:modified>
  <cp:revision>4</cp:revision>
  <dc:title>Prazni eSPIS predložak s naputkom</dc:title>
  <cp:version>9.4.8_Promjena1</cp:ver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CC_coloring" pid="2" fmtid="{D5CDD505-2E9C-101B-9397-08002B2CF9AE}">
    <vt:bool>true</vt:bool>
  </prop:property>
  <prop:property name="Saved" pid="3" fmtid="{D5CDD505-2E9C-101B-9397-08002B2CF9AE}">
    <vt:bool>true</vt:bool>
  </prop:property>
  <prop:property name="BrojStranica" pid="4" fmtid="{D5CDD505-2E9C-101B-9397-08002B2CF9AE}">
    <vt:i4>31</vt:i4>
  </prop:property>
  <prop:property name="Naslov" pid="5" fmtid="{D5CDD505-2E9C-101B-9397-08002B2CF9AE}">
    <vt:lpwstr>St-276/2017-7 / Odluka - Dopis - dostava oglasa radi javne objave</vt:lpwstr>
  </prop:property>
  <prop:property name="Predlozak_id" pid="6" fmtid="{D5CDD505-2E9C-101B-9397-08002B2CF9AE}">
    <vt:lpwstr>1000000457</vt:lpwstr>
  </prop:property>
  <prop:property name="Predlozak_oznaka" pid="7" fmtid="{D5CDD505-2E9C-101B-9397-08002B2CF9AE}">
    <vt:lpwstr>OD0000</vt:lpwstr>
  </prop:property>
  <prop:property name="Predlozak_naziv" pid="8" fmtid="{D5CDD505-2E9C-101B-9397-08002B2CF9AE}">
    <vt:lpwstr>Potpuno prazni predložak - odluka, dopis, rješenje, zaključak</vt:lpwstr>
  </prop:property>
</prop:Properties>
</file>