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vnd.openxmlformats-officedocument.spreadsheetml.sheet" Extension="xlsx"/>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diagrams/colors1.xml" ContentType="application/vnd.openxmlformats-officedocument.drawingml.diagramColors+xml"/>
  <Override PartName="/word/diagrams/data1.xml" ContentType="application/vnd.openxmlformats-officedocument.drawingml.diagramData+xml"/>
  <Override PartName="/word/diagrams/drawing1.xml" ContentType="application/vnd.ms-office.drawingml.diagramDrawing+xml"/>
  <Override PartName="/word/diagrams/layout1.xml" ContentType="application/vnd.openxmlformats-officedocument.drawingml.diagramLayout+xml"/>
  <Override PartName="/word/diagrams/quickStyle1.xml" ContentType="application/vnd.openxmlformats-officedocument.drawingml.diagramStyle+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677e0" w14:paraId="05677e0" w:rsidRDefault="00924162" w:rsidP="00924162" w:rsidR="00924162">
      <w:pPr>
        <w15:collapsed w:val="false"/>
        <w:rPr>
          <w:rFonts w:cs="Times New Roman"/>
        </w:rPr>
      </w:pPr>
      <w:r>
        <w:rPr>
          <w:rFonts w:cs="Times New Roman"/>
        </w:rPr>
        <w:t>RATARSTVO  d.o.o.</w:t>
      </w:r>
    </w:p>
    <w:p w:rsidRDefault="00924162" w:rsidP="00924162" w:rsidR="00924162">
      <w:pPr>
        <w:rPr>
          <w:rFonts w:cs="Times New Roman"/>
        </w:rPr>
      </w:pPr>
      <w:r>
        <w:rPr>
          <w:rFonts w:cs="Times New Roman"/>
        </w:rPr>
        <w:t xml:space="preserve">Matice Hrvatske 4/I </w:t>
      </w:r>
    </w:p>
    <w:p w:rsidRDefault="00924162" w:rsidP="00924162" w:rsidR="00924162">
      <w:pPr>
        <w:rPr>
          <w:rFonts w:cs="Times New Roman"/>
        </w:rPr>
      </w:pPr>
      <w:r>
        <w:rPr>
          <w:rFonts w:cs="Times New Roman"/>
        </w:rPr>
        <w:t>43 000 Bjelovar</w:t>
      </w:r>
    </w:p>
    <w:p w:rsidRDefault="00924162" w:rsidP="00924162" w:rsidR="00924162">
      <w:pPr>
        <w:rPr>
          <w:rFonts w:cs="Times New Roman"/>
        </w:rPr>
      </w:pPr>
      <w:r>
        <w:rPr>
          <w:rFonts w:cs="Times New Roman"/>
        </w:rPr>
        <w:t>OIB: 39141474711</w:t>
      </w:r>
    </w:p>
    <w:p w:rsidRDefault="00924162" w:rsidP="00924162" w:rsidR="00924162">
      <w:pPr>
        <w:rPr>
          <w:rFonts w:cs="Times New Roman"/>
        </w:rPr>
      </w:pPr>
    </w:p>
    <w:p w:rsidRDefault="00924162" w:rsidP="00924162" w:rsidR="00924162">
      <w:pPr>
        <w:rPr>
          <w:rFonts w:cs="Times New Roman"/>
        </w:rPr>
      </w:pPr>
    </w:p>
    <w:p w:rsidRDefault="00924162" w:rsidP="00924162" w:rsidR="00924162">
      <w:pPr>
        <w:rPr>
          <w:rFonts w:cs="Times New Roman"/>
        </w:rPr>
      </w:pPr>
    </w:p>
    <w:p w:rsidRDefault="00924162" w:rsidP="00924162" w:rsidR="00924162">
      <w:pPr>
        <w:rPr>
          <w:rFonts w:cs="Times New Roman"/>
        </w:rPr>
      </w:pPr>
    </w:p>
    <w:p w:rsidRDefault="00924162" w:rsidP="00924162" w:rsidR="00924162">
      <w:pPr>
        <w:rPr>
          <w:rFonts w:cs="Times New Roman"/>
          <w:sz w:val="28"/>
        </w:rPr>
      </w:pPr>
    </w:p>
    <w:p w:rsidRDefault="00924162" w:rsidP="00924162" w:rsidR="00924162">
      <w:pPr>
        <w:jc w:val="center"/>
        <w:rPr>
          <w:rFonts w:cs="Times New Roman"/>
          <w:sz w:val="28"/>
        </w:rPr>
      </w:pPr>
      <w:r>
        <w:rPr>
          <w:rFonts w:cs="Times New Roman"/>
          <w:sz w:val="28"/>
        </w:rPr>
        <w:t xml:space="preserve">PLAN FINANCIJSKOG I OPERATIVNOG RESTRUKTURIRANJA </w:t>
      </w:r>
    </w:p>
    <w:p w:rsidRDefault="00924162" w:rsidP="00924162" w:rsidR="00924162">
      <w:pPr>
        <w:jc w:val="center"/>
        <w:rPr>
          <w:rFonts w:cs="Times New Roman"/>
        </w:rPr>
      </w:pPr>
      <w:r>
        <w:rPr>
          <w:noProof/>
          <w:lang w:eastAsia="hr-HR"/>
        </w:rPr>
        <w:drawing>
          <wp:inline distR="0" distL="0" distB="0" distT="0">
            <wp:extent cy="1904365" cx="5713730"/>
            <wp:effectExtent b="635" r="1270" t="0" l="0"/>
            <wp:docPr descr="http://pinova-meteo.com/media/pinova-meteo.com/2013/05/21/f2c8ebea80cf75c46036e3e5aab72ca9_9df5baa77e.jpg" name="Slika 8" id="8"/>
            <wp:cNvGraphicFramePr>
              <a:graphicFrameLocks noChangeAspect="true"/>
            </wp:cNvGraphicFramePr>
            <a:graphic>
              <a:graphicData uri="http://schemas.openxmlformats.org/drawingml/2006/picture">
                <pic:pic>
                  <pic:nvPicPr>
                    <pic:cNvPr descr="http://pinova-meteo.com/media/pinova-meteo.com/2013/05/21/f2c8ebea80cf75c46036e3e5aab72ca9_9df5baa77e.jpg"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904365" cx="5713730"/>
                    </a:xfrm>
                    <a:prstGeom prst="rect">
                      <a:avLst/>
                    </a:prstGeom>
                    <a:noFill/>
                    <a:ln>
                      <a:noFill/>
                    </a:ln>
                  </pic:spPr>
                </pic:pic>
              </a:graphicData>
            </a:graphic>
          </wp:inline>
        </w:drawing>
      </w:r>
    </w:p>
    <w:p w:rsidRDefault="00924162" w:rsidP="00924162" w:rsidR="00924162">
      <w:pPr>
        <w:jc w:val="center"/>
        <w:rPr>
          <w:rFonts w:cs="Times New Roman"/>
        </w:rPr>
      </w:pPr>
    </w:p>
    <w:p w:rsidRDefault="00924162" w:rsidP="00924162" w:rsidR="00924162">
      <w:pPr>
        <w:jc w:val="center"/>
        <w:rPr>
          <w:rFonts w:cs="Times New Roman"/>
        </w:rPr>
      </w:pPr>
    </w:p>
    <w:p w:rsidRDefault="00924162" w:rsidP="00924162" w:rsidR="00924162">
      <w:pPr>
        <w:jc w:val="center"/>
        <w:rPr>
          <w:rFonts w:cs="Times New Roman"/>
        </w:rPr>
      </w:pPr>
    </w:p>
    <w:p w:rsidRDefault="00924162" w:rsidP="00924162" w:rsidR="00924162">
      <w:pPr>
        <w:jc w:val="center"/>
        <w:rPr>
          <w:rFonts w:cs="Times New Roman"/>
        </w:rPr>
      </w:pPr>
    </w:p>
    <w:p w:rsidRDefault="00924162" w:rsidP="00924162" w:rsidR="00924162">
      <w:pPr>
        <w:jc w:val="center"/>
        <w:rPr>
          <w:rFonts w:cs="Times New Roman"/>
        </w:rPr>
      </w:pPr>
    </w:p>
    <w:p w:rsidRDefault="00924162" w:rsidP="00924162" w:rsidR="00924162">
      <w:pPr>
        <w:jc w:val="center"/>
        <w:rPr>
          <w:rFonts w:cs="Times New Roman"/>
        </w:rPr>
      </w:pPr>
    </w:p>
    <w:p w:rsidRDefault="00924162" w:rsidP="00924162" w:rsidR="00924162">
      <w:pPr>
        <w:jc w:val="center"/>
        <w:rPr>
          <w:rFonts w:cs="Times New Roman"/>
        </w:rPr>
      </w:pPr>
    </w:p>
    <w:p w:rsidRDefault="00924162" w:rsidP="00924162" w:rsidR="00924162">
      <w:pPr>
        <w:rPr>
          <w:rFonts w:cs="Times New Roman"/>
        </w:rPr>
      </w:pPr>
    </w:p>
    <w:p w:rsidRDefault="00924162" w:rsidP="00924162" w:rsidR="00924162">
      <w:pPr>
        <w:jc w:val="center"/>
        <w:rPr>
          <w:rFonts w:cs="Times New Roman"/>
        </w:rPr>
      </w:pPr>
    </w:p>
    <w:p w:rsidRDefault="00924162" w:rsidP="00924162" w:rsidR="00924162">
      <w:pPr>
        <w:jc w:val="center"/>
        <w:rPr>
          <w:rFonts w:cs="Times New Roman"/>
        </w:rPr>
      </w:pPr>
    </w:p>
    <w:p w:rsidRDefault="00924162" w:rsidP="00924162" w:rsidR="00924162">
      <w:pPr>
        <w:jc w:val="center"/>
        <w:rPr>
          <w:rFonts w:cs="Times New Roman"/>
        </w:rPr>
      </w:pPr>
      <w:r>
        <w:rPr>
          <w:rFonts w:cs="Times New Roman"/>
        </w:rPr>
        <w:t>Bjelovaru, 10. kolovoz 2016.</w:t>
      </w:r>
    </w:p>
    <w:p w:rsidRDefault="00924162" w:rsidP="00924162" w:rsidR="00924162">
      <w:pPr>
        <w:jc w:val="center"/>
        <w:rPr>
          <w:rFonts w:cs="Times New Roman"/>
        </w:rPr>
      </w:pPr>
      <w:r>
        <w:rPr>
          <w:rFonts w:cs="Times New Roman"/>
        </w:rPr>
        <w:lastRenderedPageBreak/>
        <w:t>SADRŽAJ</w:t>
      </w:r>
    </w:p>
    <w:sdt>
      <w:sdtPr>
        <w:rPr>
          <w:rFonts w:eastAsiaTheme="minorHAnsi" w:hAnsiTheme="minorHAnsi" w:asciiTheme="minorHAnsi" w:cs="Times New Roman"/>
          <w:b w:val="false"/>
          <w:bCs w:val="false"/>
          <w:sz w:val="24"/>
          <w:szCs w:val="24"/>
        </w:rPr>
        <w:id w:val="14130439"/>
        <w:docPartObj>
          <w:docPartGallery w:val="Table of Contents"/>
          <w:docPartUnique/>
        </w:docPartObj>
      </w:sdtPr>
      <w:sdtEndPr>
        <w:rPr>
          <w:rFonts w:hAnsi="Times New Roman" w:ascii="Times New Roman"/>
          <w:color w:val="auto"/>
        </w:rPr>
      </w:sdtEndPr>
      <w:sdtContent>
        <w:p w:rsidRDefault="00924162" w:rsidP="00924162" w:rsidR="00924162">
          <w:pPr>
            <w:pStyle w:val="TOCNaslov"/>
            <w:rPr>
              <w:rFonts w:cs="Times New Roman" w:hAnsi="Times New Roman" w:ascii="Times New Roman"/>
              <w:sz w:val="24"/>
              <w:szCs w:val="24"/>
            </w:rPr>
          </w:pPr>
        </w:p>
        <w:p w:rsidRDefault="00924162" w:rsidP="00924162" w:rsidR="00924162">
          <w:pPr>
            <w:pStyle w:val="Sadraj1"/>
            <w:tabs>
              <w:tab w:pos="9062" w:leader="dot" w:val="right"/>
            </w:tabs>
            <w:rPr>
              <w:rFonts w:eastAsiaTheme="minorEastAsia"/>
              <w:noProof/>
              <w:sz w:val="22"/>
              <w:szCs w:val="22"/>
              <w:lang w:eastAsia="hr-HR"/>
            </w:rPr>
          </w:pPr>
          <w:r>
            <w:rPr>
              <w:rFonts w:cs="Times New Roman"/>
            </w:rPr>
            <w:fldChar w:fldCharType="begin"/>
          </w:r>
          <w:r>
            <w:rPr>
              <w:rFonts w:cs="Times New Roman"/>
            </w:rPr>
            <w:instrText xml:space="preserve"> TOC \o "1-4" \h \z \u </w:instrText>
          </w:r>
          <w:r>
            <w:rPr>
              <w:rFonts w:cs="Times New Roman"/>
            </w:rPr>
            <w:fldChar w:fldCharType="separate"/>
          </w:r>
          <w:hyperlink r:id="rId11" w:anchor="_Toc458436238" w:history="true">
            <w:r>
              <w:rPr>
                <w:rStyle w:val="Hiperveza"/>
                <w:rFonts w:cs="Times New Roman"/>
                <w:noProof/>
              </w:rPr>
              <w:t>1. OPIS ČINJENICA I OKOLNOSTI IZ KOJIH PROIZLAZI POSTOJANJE UVJETA ZA OTVARANJE POSTUPKA PREDSTEČAJNE NAGODBE</w:t>
            </w:r>
            <w:r>
              <w:rPr>
                <w:rStyle w:val="Hiperveza"/>
                <w:noProof/>
                <w:webHidden/>
              </w:rPr>
              <w:tab/>
            </w:r>
            <w:r>
              <w:rPr>
                <w:rStyle w:val="Hiperveza"/>
                <w:noProof/>
                <w:webHidden/>
              </w:rPr>
              <w:fldChar w:fldCharType="begin"/>
            </w:r>
            <w:r>
              <w:rPr>
                <w:rStyle w:val="Hiperveza"/>
                <w:noProof/>
                <w:webHidden/>
              </w:rPr>
              <w:instrText xml:space="preserve"> PAGEREF _Toc458436238 \h </w:instrText>
            </w:r>
            <w:r>
              <w:rPr>
                <w:rStyle w:val="Hiperveza"/>
                <w:noProof/>
                <w:webHidden/>
              </w:rPr>
            </w:r>
            <w:r>
              <w:rPr>
                <w:rStyle w:val="Hiperveza"/>
                <w:noProof/>
                <w:webHidden/>
              </w:rPr>
              <w:fldChar w:fldCharType="separate"/>
            </w:r>
            <w:r>
              <w:rPr>
                <w:rStyle w:val="Hiperveza"/>
                <w:noProof/>
                <w:webHidden/>
              </w:rPr>
              <w:t>3</w:t>
            </w:r>
            <w:r>
              <w:rPr>
                <w:rStyle w:val="Hiperveza"/>
                <w:noProof/>
                <w:webHidden/>
              </w:rPr>
              <w:fldChar w:fldCharType="end"/>
            </w:r>
          </w:hyperlink>
        </w:p>
        <w:p w:rsidRDefault="00924162" w:rsidP="00924162" w:rsidR="00924162">
          <w:pPr>
            <w:pStyle w:val="Sadraj2"/>
            <w:tabs>
              <w:tab w:pos="880" w:val="left"/>
              <w:tab w:pos="9062" w:leader="dot" w:val="right"/>
            </w:tabs>
            <w:rPr>
              <w:rFonts w:eastAsiaTheme="minorEastAsia"/>
              <w:noProof/>
              <w:lang w:eastAsia="hr-HR"/>
            </w:rPr>
          </w:pPr>
          <w:hyperlink r:id="rId12" w:anchor="_Toc458436239" w:history="true">
            <w:r>
              <w:rPr>
                <w:rStyle w:val="Hiperveza"/>
                <w:rFonts w:cs="Times New Roman"/>
                <w:noProof/>
              </w:rPr>
              <w:t>1.1.</w:t>
            </w:r>
            <w:r>
              <w:rPr>
                <w:rStyle w:val="Hiperveza"/>
                <w:rFonts w:eastAsiaTheme="minorEastAsia"/>
                <w:noProof/>
                <w:lang w:eastAsia="hr-HR"/>
              </w:rPr>
              <w:tab/>
            </w:r>
            <w:r>
              <w:rPr>
                <w:rStyle w:val="Hiperveza"/>
                <w:rFonts w:cs="Times New Roman"/>
                <w:noProof/>
              </w:rPr>
              <w:t>Opći podaci</w:t>
            </w:r>
            <w:r>
              <w:rPr>
                <w:rStyle w:val="Hiperveza"/>
                <w:noProof/>
                <w:webHidden/>
              </w:rPr>
              <w:tab/>
            </w:r>
            <w:r>
              <w:rPr>
                <w:rStyle w:val="Hiperveza"/>
                <w:noProof/>
                <w:webHidden/>
              </w:rPr>
              <w:fldChar w:fldCharType="begin"/>
            </w:r>
            <w:r>
              <w:rPr>
                <w:rStyle w:val="Hiperveza"/>
                <w:noProof/>
                <w:webHidden/>
              </w:rPr>
              <w:instrText xml:space="preserve"> PAGEREF _Toc458436239 \h </w:instrText>
            </w:r>
            <w:r>
              <w:rPr>
                <w:rStyle w:val="Hiperveza"/>
                <w:noProof/>
                <w:webHidden/>
              </w:rPr>
            </w:r>
            <w:r>
              <w:rPr>
                <w:rStyle w:val="Hiperveza"/>
                <w:noProof/>
                <w:webHidden/>
              </w:rPr>
              <w:fldChar w:fldCharType="separate"/>
            </w:r>
            <w:r>
              <w:rPr>
                <w:rStyle w:val="Hiperveza"/>
                <w:noProof/>
                <w:webHidden/>
              </w:rPr>
              <w:t>3</w:t>
            </w:r>
            <w:r>
              <w:rPr>
                <w:rStyle w:val="Hiperveza"/>
                <w:noProof/>
                <w:webHidden/>
              </w:rPr>
              <w:fldChar w:fldCharType="end"/>
            </w:r>
          </w:hyperlink>
        </w:p>
        <w:p w:rsidRDefault="00924162" w:rsidP="00924162" w:rsidR="00924162">
          <w:pPr>
            <w:pStyle w:val="Sadraj3"/>
            <w:tabs>
              <w:tab w:pos="1320" w:val="left"/>
              <w:tab w:pos="9062" w:leader="dot" w:val="right"/>
            </w:tabs>
            <w:rPr>
              <w:rFonts w:eastAsiaTheme="minorEastAsia"/>
              <w:noProof/>
              <w:lang w:eastAsia="hr-HR"/>
            </w:rPr>
          </w:pPr>
          <w:hyperlink r:id="rId13" w:anchor="_Toc458436240" w:history="true">
            <w:r>
              <w:rPr>
                <w:rStyle w:val="Hiperveza"/>
                <w:rFonts w:cs="Times New Roman" w:eastAsia="Times New Roman"/>
                <w:noProof/>
                <w:lang w:eastAsia="hr-HR"/>
              </w:rPr>
              <w:t>1.1.1.</w:t>
            </w:r>
            <w:r>
              <w:rPr>
                <w:rStyle w:val="Hiperveza"/>
                <w:rFonts w:eastAsiaTheme="minorEastAsia"/>
                <w:noProof/>
                <w:lang w:eastAsia="hr-HR"/>
              </w:rPr>
              <w:tab/>
            </w:r>
            <w:r>
              <w:rPr>
                <w:rStyle w:val="Hiperveza"/>
                <w:rFonts w:cs="Times New Roman" w:eastAsia="Times New Roman"/>
                <w:noProof/>
                <w:lang w:eastAsia="hr-HR"/>
              </w:rPr>
              <w:t>Predmet poslovanja</w:t>
            </w:r>
            <w:r>
              <w:rPr>
                <w:rStyle w:val="Hiperveza"/>
                <w:noProof/>
                <w:webHidden/>
              </w:rPr>
              <w:tab/>
            </w:r>
            <w:r>
              <w:rPr>
                <w:rStyle w:val="Hiperveza"/>
                <w:noProof/>
                <w:webHidden/>
              </w:rPr>
              <w:fldChar w:fldCharType="begin"/>
            </w:r>
            <w:r>
              <w:rPr>
                <w:rStyle w:val="Hiperveza"/>
                <w:noProof/>
                <w:webHidden/>
              </w:rPr>
              <w:instrText xml:space="preserve"> PAGEREF _Toc458436240 \h </w:instrText>
            </w:r>
            <w:r>
              <w:rPr>
                <w:rStyle w:val="Hiperveza"/>
                <w:noProof/>
                <w:webHidden/>
              </w:rPr>
            </w:r>
            <w:r>
              <w:rPr>
                <w:rStyle w:val="Hiperveza"/>
                <w:noProof/>
                <w:webHidden/>
              </w:rPr>
              <w:fldChar w:fldCharType="separate"/>
            </w:r>
            <w:r>
              <w:rPr>
                <w:rStyle w:val="Hiperveza"/>
                <w:noProof/>
                <w:webHidden/>
              </w:rPr>
              <w:t>9</w:t>
            </w:r>
            <w:r>
              <w:rPr>
                <w:rStyle w:val="Hiperveza"/>
                <w:noProof/>
                <w:webHidden/>
              </w:rPr>
              <w:fldChar w:fldCharType="end"/>
            </w:r>
          </w:hyperlink>
        </w:p>
        <w:p w:rsidRDefault="00924162" w:rsidP="00924162" w:rsidR="00924162">
          <w:pPr>
            <w:pStyle w:val="Sadraj3"/>
            <w:tabs>
              <w:tab w:pos="1320" w:val="left"/>
              <w:tab w:pos="9062" w:leader="dot" w:val="right"/>
            </w:tabs>
            <w:rPr>
              <w:rFonts w:eastAsiaTheme="minorEastAsia"/>
              <w:noProof/>
              <w:lang w:eastAsia="hr-HR"/>
            </w:rPr>
          </w:pPr>
          <w:hyperlink r:id="rId14" w:anchor="_Toc458436241" w:history="true">
            <w:r>
              <w:rPr>
                <w:rStyle w:val="Hiperveza"/>
                <w:rFonts w:cs="Times New Roman"/>
                <w:noProof/>
              </w:rPr>
              <w:t>1.1.2.</w:t>
            </w:r>
            <w:r>
              <w:rPr>
                <w:rStyle w:val="Hiperveza"/>
                <w:rFonts w:eastAsiaTheme="minorEastAsia"/>
                <w:noProof/>
                <w:lang w:eastAsia="hr-HR"/>
              </w:rPr>
              <w:tab/>
            </w:r>
            <w:r>
              <w:rPr>
                <w:rStyle w:val="Hiperveza"/>
                <w:rFonts w:cs="Times New Roman"/>
                <w:noProof/>
              </w:rPr>
              <w:t>Uprava društva</w:t>
            </w:r>
            <w:r>
              <w:rPr>
                <w:rStyle w:val="Hiperveza"/>
                <w:noProof/>
                <w:webHidden/>
              </w:rPr>
              <w:tab/>
            </w:r>
            <w:r>
              <w:rPr>
                <w:rStyle w:val="Hiperveza"/>
                <w:noProof/>
                <w:webHidden/>
              </w:rPr>
              <w:fldChar w:fldCharType="begin"/>
            </w:r>
            <w:r>
              <w:rPr>
                <w:rStyle w:val="Hiperveza"/>
                <w:noProof/>
                <w:webHidden/>
              </w:rPr>
              <w:instrText xml:space="preserve"> PAGEREF _Toc458436241 \h </w:instrText>
            </w:r>
            <w:r>
              <w:rPr>
                <w:rStyle w:val="Hiperveza"/>
                <w:noProof/>
                <w:webHidden/>
              </w:rPr>
            </w:r>
            <w:r>
              <w:rPr>
                <w:rStyle w:val="Hiperveza"/>
                <w:noProof/>
                <w:webHidden/>
              </w:rPr>
              <w:fldChar w:fldCharType="separate"/>
            </w:r>
            <w:r>
              <w:rPr>
                <w:rStyle w:val="Hiperveza"/>
                <w:noProof/>
                <w:webHidden/>
              </w:rPr>
              <w:t>10</w:t>
            </w:r>
            <w:r>
              <w:rPr>
                <w:rStyle w:val="Hiperveza"/>
                <w:noProof/>
                <w:webHidden/>
              </w:rPr>
              <w:fldChar w:fldCharType="end"/>
            </w:r>
          </w:hyperlink>
        </w:p>
        <w:p w:rsidRDefault="00924162" w:rsidP="00924162" w:rsidR="00924162">
          <w:pPr>
            <w:pStyle w:val="Sadraj3"/>
            <w:tabs>
              <w:tab w:pos="1320" w:val="left"/>
              <w:tab w:pos="9062" w:leader="dot" w:val="right"/>
            </w:tabs>
            <w:rPr>
              <w:rFonts w:eastAsiaTheme="minorEastAsia"/>
              <w:noProof/>
              <w:lang w:eastAsia="hr-HR"/>
            </w:rPr>
          </w:pPr>
          <w:hyperlink r:id="rId15" w:anchor="_Toc458436242" w:history="true">
            <w:r>
              <w:rPr>
                <w:rStyle w:val="Hiperveza"/>
                <w:rFonts w:cs="Times New Roman"/>
                <w:noProof/>
              </w:rPr>
              <w:t>1.1.3.</w:t>
            </w:r>
            <w:r>
              <w:rPr>
                <w:rStyle w:val="Hiperveza"/>
                <w:rFonts w:eastAsiaTheme="minorEastAsia"/>
                <w:noProof/>
                <w:lang w:eastAsia="hr-HR"/>
              </w:rPr>
              <w:tab/>
            </w:r>
            <w:r>
              <w:rPr>
                <w:rStyle w:val="Hiperveza"/>
                <w:rFonts w:cs="Times New Roman"/>
                <w:noProof/>
              </w:rPr>
              <w:t>Vlasnička struktura</w:t>
            </w:r>
            <w:r>
              <w:rPr>
                <w:rStyle w:val="Hiperveza"/>
                <w:noProof/>
                <w:webHidden/>
              </w:rPr>
              <w:tab/>
            </w:r>
            <w:r>
              <w:rPr>
                <w:rStyle w:val="Hiperveza"/>
                <w:noProof/>
                <w:webHidden/>
              </w:rPr>
              <w:fldChar w:fldCharType="begin"/>
            </w:r>
            <w:r>
              <w:rPr>
                <w:rStyle w:val="Hiperveza"/>
                <w:noProof/>
                <w:webHidden/>
              </w:rPr>
              <w:instrText xml:space="preserve"> PAGEREF _Toc458436242 \h </w:instrText>
            </w:r>
            <w:r>
              <w:rPr>
                <w:rStyle w:val="Hiperveza"/>
                <w:noProof/>
                <w:webHidden/>
              </w:rPr>
            </w:r>
            <w:r>
              <w:rPr>
                <w:rStyle w:val="Hiperveza"/>
                <w:noProof/>
                <w:webHidden/>
              </w:rPr>
              <w:fldChar w:fldCharType="separate"/>
            </w:r>
            <w:r>
              <w:rPr>
                <w:rStyle w:val="Hiperveza"/>
                <w:noProof/>
                <w:webHidden/>
              </w:rPr>
              <w:t>10</w:t>
            </w:r>
            <w:r>
              <w:rPr>
                <w:rStyle w:val="Hiperveza"/>
                <w:noProof/>
                <w:webHidden/>
              </w:rPr>
              <w:fldChar w:fldCharType="end"/>
            </w:r>
          </w:hyperlink>
        </w:p>
        <w:p w:rsidRDefault="00924162" w:rsidP="00924162" w:rsidR="00924162">
          <w:pPr>
            <w:pStyle w:val="Sadraj3"/>
            <w:tabs>
              <w:tab w:pos="1320" w:val="left"/>
              <w:tab w:pos="9062" w:leader="dot" w:val="right"/>
            </w:tabs>
            <w:rPr>
              <w:rFonts w:eastAsiaTheme="minorEastAsia"/>
              <w:noProof/>
              <w:lang w:eastAsia="hr-HR"/>
            </w:rPr>
          </w:pPr>
          <w:hyperlink r:id="rId16" w:anchor="_Toc458436243" w:history="true">
            <w:r>
              <w:rPr>
                <w:rStyle w:val="Hiperveza"/>
                <w:rFonts w:cs="Times New Roman"/>
                <w:noProof/>
              </w:rPr>
              <w:t>1.1.4.</w:t>
            </w:r>
            <w:r>
              <w:rPr>
                <w:rStyle w:val="Hiperveza"/>
                <w:rFonts w:eastAsiaTheme="minorEastAsia"/>
                <w:noProof/>
                <w:lang w:eastAsia="hr-HR"/>
              </w:rPr>
              <w:tab/>
            </w:r>
            <w:r>
              <w:rPr>
                <w:rStyle w:val="Hiperveza"/>
                <w:rFonts w:cs="Times New Roman"/>
                <w:noProof/>
              </w:rPr>
              <w:t>Analiza zaposlenih</w:t>
            </w:r>
            <w:r>
              <w:rPr>
                <w:rStyle w:val="Hiperveza"/>
                <w:noProof/>
                <w:webHidden/>
              </w:rPr>
              <w:tab/>
            </w:r>
            <w:r>
              <w:rPr>
                <w:rStyle w:val="Hiperveza"/>
                <w:noProof/>
                <w:webHidden/>
              </w:rPr>
              <w:fldChar w:fldCharType="begin"/>
            </w:r>
            <w:r>
              <w:rPr>
                <w:rStyle w:val="Hiperveza"/>
                <w:noProof/>
                <w:webHidden/>
              </w:rPr>
              <w:instrText xml:space="preserve"> PAGEREF _Toc458436243 \h </w:instrText>
            </w:r>
            <w:r>
              <w:rPr>
                <w:rStyle w:val="Hiperveza"/>
                <w:noProof/>
                <w:webHidden/>
              </w:rPr>
            </w:r>
            <w:r>
              <w:rPr>
                <w:rStyle w:val="Hiperveza"/>
                <w:noProof/>
                <w:webHidden/>
              </w:rPr>
              <w:fldChar w:fldCharType="separate"/>
            </w:r>
            <w:r>
              <w:rPr>
                <w:rStyle w:val="Hiperveza"/>
                <w:noProof/>
                <w:webHidden/>
              </w:rPr>
              <w:t>12</w:t>
            </w:r>
            <w:r>
              <w:rPr>
                <w:rStyle w:val="Hiperveza"/>
                <w:noProof/>
                <w:webHidden/>
              </w:rPr>
              <w:fldChar w:fldCharType="end"/>
            </w:r>
          </w:hyperlink>
        </w:p>
        <w:p w:rsidRDefault="00924162" w:rsidP="00924162" w:rsidR="00924162">
          <w:pPr>
            <w:pStyle w:val="Sadraj2"/>
            <w:tabs>
              <w:tab w:pos="880" w:val="left"/>
              <w:tab w:pos="9062" w:leader="dot" w:val="right"/>
            </w:tabs>
            <w:rPr>
              <w:rFonts w:eastAsiaTheme="minorEastAsia"/>
              <w:noProof/>
              <w:lang w:eastAsia="hr-HR"/>
            </w:rPr>
          </w:pPr>
          <w:hyperlink r:id="rId17" w:anchor="_Toc458436244" w:history="true">
            <w:r>
              <w:rPr>
                <w:rStyle w:val="Hiperveza"/>
                <w:rFonts w:cs="Times New Roman"/>
                <w:noProof/>
              </w:rPr>
              <w:t>1.2.</w:t>
            </w:r>
            <w:r>
              <w:rPr>
                <w:rStyle w:val="Hiperveza"/>
                <w:rFonts w:eastAsiaTheme="minorEastAsia"/>
                <w:noProof/>
                <w:lang w:eastAsia="hr-HR"/>
              </w:rPr>
              <w:tab/>
            </w:r>
            <w:r>
              <w:rPr>
                <w:rStyle w:val="Hiperveza"/>
                <w:rFonts w:cs="Times New Roman"/>
                <w:noProof/>
              </w:rPr>
              <w:t>Operativno poslovanje i tržišna situacija</w:t>
            </w:r>
            <w:r>
              <w:rPr>
                <w:rStyle w:val="Hiperveza"/>
                <w:noProof/>
                <w:webHidden/>
              </w:rPr>
              <w:tab/>
            </w:r>
            <w:r>
              <w:rPr>
                <w:rStyle w:val="Hiperveza"/>
                <w:noProof/>
                <w:webHidden/>
              </w:rPr>
              <w:fldChar w:fldCharType="begin"/>
            </w:r>
            <w:r>
              <w:rPr>
                <w:rStyle w:val="Hiperveza"/>
                <w:noProof/>
                <w:webHidden/>
              </w:rPr>
              <w:instrText xml:space="preserve"> PAGEREF _Toc458436244 \h </w:instrText>
            </w:r>
            <w:r>
              <w:rPr>
                <w:rStyle w:val="Hiperveza"/>
                <w:noProof/>
                <w:webHidden/>
              </w:rPr>
            </w:r>
            <w:r>
              <w:rPr>
                <w:rStyle w:val="Hiperveza"/>
                <w:noProof/>
                <w:webHidden/>
              </w:rPr>
              <w:fldChar w:fldCharType="separate"/>
            </w:r>
            <w:r>
              <w:rPr>
                <w:rStyle w:val="Hiperveza"/>
                <w:noProof/>
                <w:webHidden/>
              </w:rPr>
              <w:t>15</w:t>
            </w:r>
            <w:r>
              <w:rPr>
                <w:rStyle w:val="Hiperveza"/>
                <w:noProof/>
                <w:webHidden/>
              </w:rPr>
              <w:fldChar w:fldCharType="end"/>
            </w:r>
          </w:hyperlink>
        </w:p>
        <w:p w:rsidRDefault="00924162" w:rsidP="00924162" w:rsidR="00924162">
          <w:pPr>
            <w:pStyle w:val="Sadraj4"/>
            <w:tabs>
              <w:tab w:pos="1540" w:val="left"/>
              <w:tab w:pos="9062" w:leader="dot" w:val="right"/>
            </w:tabs>
            <w:rPr>
              <w:rFonts w:eastAsiaTheme="minorEastAsia"/>
              <w:noProof/>
              <w:lang w:eastAsia="hr-HR"/>
            </w:rPr>
          </w:pPr>
          <w:hyperlink r:id="rId18" w:anchor="_Toc458436245" w:history="true">
            <w:r>
              <w:rPr>
                <w:rStyle w:val="Hiperveza"/>
                <w:rFonts w:cs="Times New Roman"/>
                <w:noProof/>
              </w:rPr>
              <w:t>1.2.1.</w:t>
            </w:r>
            <w:r>
              <w:rPr>
                <w:rStyle w:val="Hiperveza"/>
                <w:rFonts w:eastAsiaTheme="minorEastAsia"/>
                <w:noProof/>
                <w:lang w:eastAsia="hr-HR"/>
              </w:rPr>
              <w:tab/>
            </w:r>
            <w:r>
              <w:rPr>
                <w:rStyle w:val="Hiperveza"/>
                <w:rFonts w:cs="Times New Roman"/>
                <w:noProof/>
              </w:rPr>
              <w:t>Izvješće o poslovnom i financijskom stanju dužnika VRT  d.o.o., Bjelovar, na temelju financijskog izvještaja sa stanjem na dan 30.06.2016. godine</w:t>
            </w:r>
            <w:r>
              <w:rPr>
                <w:rStyle w:val="Hiperveza"/>
                <w:noProof/>
                <w:webHidden/>
              </w:rPr>
              <w:tab/>
            </w:r>
            <w:r>
              <w:rPr>
                <w:rStyle w:val="Hiperveza"/>
                <w:noProof/>
                <w:webHidden/>
              </w:rPr>
              <w:fldChar w:fldCharType="begin"/>
            </w:r>
            <w:r>
              <w:rPr>
                <w:rStyle w:val="Hiperveza"/>
                <w:noProof/>
                <w:webHidden/>
              </w:rPr>
              <w:instrText xml:space="preserve"> PAGEREF _Toc458436245 \h </w:instrText>
            </w:r>
            <w:r>
              <w:rPr>
                <w:rStyle w:val="Hiperveza"/>
                <w:noProof/>
                <w:webHidden/>
              </w:rPr>
            </w:r>
            <w:r>
              <w:rPr>
                <w:rStyle w:val="Hiperveza"/>
                <w:noProof/>
                <w:webHidden/>
              </w:rPr>
              <w:fldChar w:fldCharType="separate"/>
            </w:r>
            <w:r>
              <w:rPr>
                <w:rStyle w:val="Hiperveza"/>
                <w:noProof/>
                <w:webHidden/>
              </w:rPr>
              <w:t>17</w:t>
            </w:r>
            <w:r>
              <w:rPr>
                <w:rStyle w:val="Hiperveza"/>
                <w:noProof/>
                <w:webHidden/>
              </w:rPr>
              <w:fldChar w:fldCharType="end"/>
            </w:r>
          </w:hyperlink>
        </w:p>
        <w:p w:rsidRDefault="00924162" w:rsidP="00924162" w:rsidR="00924162">
          <w:pPr>
            <w:pStyle w:val="Sadraj2"/>
            <w:tabs>
              <w:tab w:pos="880" w:val="left"/>
              <w:tab w:pos="9062" w:leader="dot" w:val="right"/>
            </w:tabs>
            <w:rPr>
              <w:rFonts w:eastAsiaTheme="minorEastAsia"/>
              <w:noProof/>
              <w:lang w:eastAsia="hr-HR"/>
            </w:rPr>
          </w:pPr>
          <w:hyperlink r:id="rId19" w:anchor="_Toc458436246" w:history="true">
            <w:r>
              <w:rPr>
                <w:rStyle w:val="Hiperveza"/>
                <w:rFonts w:cs="Times New Roman"/>
                <w:noProof/>
              </w:rPr>
              <w:t>1.3.</w:t>
            </w:r>
            <w:r>
              <w:rPr>
                <w:rStyle w:val="Hiperveza"/>
                <w:rFonts w:eastAsiaTheme="minorEastAsia"/>
                <w:noProof/>
                <w:lang w:eastAsia="hr-HR"/>
              </w:rPr>
              <w:tab/>
            </w:r>
            <w:r>
              <w:rPr>
                <w:rStyle w:val="Hiperveza"/>
                <w:rFonts w:cs="Times New Roman"/>
                <w:noProof/>
              </w:rPr>
              <w:t>Opis činjenica iz kojih proizlazi postojanje uvjeta za otvaranje postupaka predstečajne nagodbe</w:t>
            </w:r>
            <w:r>
              <w:rPr>
                <w:rStyle w:val="Hiperveza"/>
                <w:noProof/>
                <w:webHidden/>
              </w:rPr>
              <w:tab/>
            </w:r>
            <w:r>
              <w:rPr>
                <w:rStyle w:val="Hiperveza"/>
                <w:noProof/>
                <w:webHidden/>
              </w:rPr>
              <w:fldChar w:fldCharType="begin"/>
            </w:r>
            <w:r>
              <w:rPr>
                <w:rStyle w:val="Hiperveza"/>
                <w:noProof/>
                <w:webHidden/>
              </w:rPr>
              <w:instrText xml:space="preserve"> PAGEREF _Toc458436246 \h </w:instrText>
            </w:r>
            <w:r>
              <w:rPr>
                <w:rStyle w:val="Hiperveza"/>
                <w:noProof/>
                <w:webHidden/>
              </w:rPr>
            </w:r>
            <w:r>
              <w:rPr>
                <w:rStyle w:val="Hiperveza"/>
                <w:noProof/>
                <w:webHidden/>
              </w:rPr>
              <w:fldChar w:fldCharType="separate"/>
            </w:r>
            <w:r>
              <w:rPr>
                <w:rStyle w:val="Hiperveza"/>
                <w:noProof/>
                <w:webHidden/>
              </w:rPr>
              <w:t>25</w:t>
            </w:r>
            <w:r>
              <w:rPr>
                <w:rStyle w:val="Hiperveza"/>
                <w:noProof/>
                <w:webHidden/>
              </w:rPr>
              <w:fldChar w:fldCharType="end"/>
            </w:r>
          </w:hyperlink>
        </w:p>
        <w:p w:rsidRDefault="00924162" w:rsidP="00924162" w:rsidR="00924162">
          <w:pPr>
            <w:pStyle w:val="Sadraj1"/>
            <w:tabs>
              <w:tab w:pos="9062" w:leader="dot" w:val="right"/>
            </w:tabs>
            <w:rPr>
              <w:rFonts w:eastAsiaTheme="minorEastAsia"/>
              <w:noProof/>
              <w:lang w:eastAsia="hr-HR"/>
            </w:rPr>
          </w:pPr>
          <w:hyperlink r:id="rId20" w:anchor="_Toc458436247" w:history="true">
            <w:r>
              <w:rPr>
                <w:rStyle w:val="Hiperveza"/>
                <w:rFonts w:cs="Times New Roman"/>
                <w:noProof/>
              </w:rPr>
              <w:t>2. IZRAČUN MANJKA LIKVIDNIH SREDSTAVA NA DAN PRILOŽENIH FINANCIJSKIH IZVJEŠTAJA</w:t>
            </w:r>
            <w:r>
              <w:rPr>
                <w:rStyle w:val="Hiperveza"/>
                <w:noProof/>
                <w:webHidden/>
              </w:rPr>
              <w:tab/>
            </w:r>
            <w:r>
              <w:rPr>
                <w:rStyle w:val="Hiperveza"/>
                <w:noProof/>
                <w:webHidden/>
              </w:rPr>
              <w:fldChar w:fldCharType="begin"/>
            </w:r>
            <w:r>
              <w:rPr>
                <w:rStyle w:val="Hiperveza"/>
                <w:noProof/>
                <w:webHidden/>
              </w:rPr>
              <w:instrText xml:space="preserve"> PAGEREF _Toc458436247 \h </w:instrText>
            </w:r>
            <w:r>
              <w:rPr>
                <w:rStyle w:val="Hiperveza"/>
                <w:noProof/>
                <w:webHidden/>
              </w:rPr>
            </w:r>
            <w:r>
              <w:rPr>
                <w:rStyle w:val="Hiperveza"/>
                <w:noProof/>
                <w:webHidden/>
              </w:rPr>
              <w:fldChar w:fldCharType="separate"/>
            </w:r>
            <w:r>
              <w:rPr>
                <w:rStyle w:val="Hiperveza"/>
                <w:noProof/>
                <w:webHidden/>
              </w:rPr>
              <w:t>26</w:t>
            </w:r>
            <w:r>
              <w:rPr>
                <w:rStyle w:val="Hiperveza"/>
                <w:noProof/>
                <w:webHidden/>
              </w:rPr>
              <w:fldChar w:fldCharType="end"/>
            </w:r>
          </w:hyperlink>
        </w:p>
        <w:p w:rsidRDefault="00924162" w:rsidP="00924162" w:rsidR="00924162">
          <w:pPr>
            <w:pStyle w:val="Sadraj1"/>
            <w:tabs>
              <w:tab w:pos="9062" w:leader="dot" w:val="right"/>
            </w:tabs>
            <w:rPr>
              <w:rFonts w:eastAsiaTheme="minorEastAsia"/>
              <w:noProof/>
              <w:lang w:eastAsia="hr-HR"/>
            </w:rPr>
          </w:pPr>
          <w:hyperlink r:id="rId21" w:anchor="_Toc458436248" w:history="true">
            <w:r>
              <w:rPr>
                <w:rStyle w:val="Hiperveza"/>
                <w:rFonts w:cs="Times New Roman"/>
                <w:noProof/>
              </w:rPr>
              <w:t>3. OPIS MJERA FINANCIJSKOG RESTRUKTURIRANJA</w:t>
            </w:r>
            <w:r>
              <w:rPr>
                <w:rStyle w:val="Hiperveza"/>
                <w:noProof/>
                <w:webHidden/>
              </w:rPr>
              <w:tab/>
            </w:r>
            <w:r>
              <w:rPr>
                <w:rStyle w:val="Hiperveza"/>
                <w:noProof/>
                <w:webHidden/>
              </w:rPr>
              <w:fldChar w:fldCharType="begin"/>
            </w:r>
            <w:r>
              <w:rPr>
                <w:rStyle w:val="Hiperveza"/>
                <w:noProof/>
                <w:webHidden/>
              </w:rPr>
              <w:instrText xml:space="preserve"> PAGEREF _Toc458436248 \h </w:instrText>
            </w:r>
            <w:r>
              <w:rPr>
                <w:rStyle w:val="Hiperveza"/>
                <w:noProof/>
                <w:webHidden/>
              </w:rPr>
            </w:r>
            <w:r>
              <w:rPr>
                <w:rStyle w:val="Hiperveza"/>
                <w:noProof/>
                <w:webHidden/>
              </w:rPr>
              <w:fldChar w:fldCharType="separate"/>
            </w:r>
            <w:r>
              <w:rPr>
                <w:rStyle w:val="Hiperveza"/>
                <w:noProof/>
                <w:webHidden/>
              </w:rPr>
              <w:t>27</w:t>
            </w:r>
            <w:r>
              <w:rPr>
                <w:rStyle w:val="Hiperveza"/>
                <w:noProof/>
                <w:webHidden/>
              </w:rPr>
              <w:fldChar w:fldCharType="end"/>
            </w:r>
          </w:hyperlink>
        </w:p>
        <w:p w:rsidRDefault="00924162" w:rsidP="00924162" w:rsidR="00924162">
          <w:pPr>
            <w:pStyle w:val="Sadraj1"/>
            <w:tabs>
              <w:tab w:pos="9062" w:leader="dot" w:val="right"/>
            </w:tabs>
            <w:rPr>
              <w:rFonts w:eastAsiaTheme="minorEastAsia"/>
              <w:noProof/>
              <w:lang w:eastAsia="hr-HR"/>
            </w:rPr>
          </w:pPr>
          <w:hyperlink r:id="rId22" w:anchor="_Toc458436249" w:history="true">
            <w:r>
              <w:rPr>
                <w:rStyle w:val="Hiperveza"/>
                <w:rFonts w:cs="Times New Roman"/>
                <w:noProof/>
              </w:rPr>
              <w:t>4. OPIS MJERA OPERATIVNOG RESTRUKTURIRANJA</w:t>
            </w:r>
            <w:r>
              <w:rPr>
                <w:rStyle w:val="Hiperveza"/>
                <w:noProof/>
                <w:webHidden/>
              </w:rPr>
              <w:tab/>
            </w:r>
            <w:r>
              <w:rPr>
                <w:rStyle w:val="Hiperveza"/>
                <w:noProof/>
                <w:webHidden/>
              </w:rPr>
              <w:fldChar w:fldCharType="begin"/>
            </w:r>
            <w:r>
              <w:rPr>
                <w:rStyle w:val="Hiperveza"/>
                <w:noProof/>
                <w:webHidden/>
              </w:rPr>
              <w:instrText xml:space="preserve"> PAGEREF _Toc458436249 \h </w:instrText>
            </w:r>
            <w:r>
              <w:rPr>
                <w:rStyle w:val="Hiperveza"/>
                <w:noProof/>
                <w:webHidden/>
              </w:rPr>
            </w:r>
            <w:r>
              <w:rPr>
                <w:rStyle w:val="Hiperveza"/>
                <w:noProof/>
                <w:webHidden/>
              </w:rPr>
              <w:fldChar w:fldCharType="separate"/>
            </w:r>
            <w:r>
              <w:rPr>
                <w:rStyle w:val="Hiperveza"/>
                <w:noProof/>
                <w:webHidden/>
              </w:rPr>
              <w:t>33</w:t>
            </w:r>
            <w:r>
              <w:rPr>
                <w:rStyle w:val="Hiperveza"/>
                <w:noProof/>
                <w:webHidden/>
              </w:rPr>
              <w:fldChar w:fldCharType="end"/>
            </w:r>
          </w:hyperlink>
        </w:p>
        <w:p w:rsidRDefault="00924162" w:rsidP="00924162" w:rsidR="00924162">
          <w:pPr>
            <w:pStyle w:val="Sadraj1"/>
            <w:tabs>
              <w:tab w:pos="9062" w:leader="dot" w:val="right"/>
            </w:tabs>
            <w:rPr>
              <w:rFonts w:eastAsiaTheme="minorEastAsia"/>
              <w:noProof/>
              <w:lang w:eastAsia="hr-HR"/>
            </w:rPr>
          </w:pPr>
          <w:hyperlink r:id="rId23" w:anchor="_Toc458436250" w:history="true">
            <w:r>
              <w:rPr>
                <w:rStyle w:val="Hiperveza"/>
                <w:rFonts w:cs="Times New Roman"/>
                <w:noProof/>
              </w:rPr>
              <w:t>5. PLAN POSLOVANJA</w:t>
            </w:r>
            <w:r>
              <w:rPr>
                <w:rStyle w:val="Hiperveza"/>
                <w:noProof/>
                <w:webHidden/>
              </w:rPr>
              <w:tab/>
            </w:r>
            <w:r>
              <w:rPr>
                <w:rStyle w:val="Hiperveza"/>
                <w:noProof/>
                <w:webHidden/>
              </w:rPr>
              <w:fldChar w:fldCharType="begin"/>
            </w:r>
            <w:r>
              <w:rPr>
                <w:rStyle w:val="Hiperveza"/>
                <w:noProof/>
                <w:webHidden/>
              </w:rPr>
              <w:instrText xml:space="preserve"> PAGEREF _Toc458436250 \h </w:instrText>
            </w:r>
            <w:r>
              <w:rPr>
                <w:rStyle w:val="Hiperveza"/>
                <w:noProof/>
                <w:webHidden/>
              </w:rPr>
            </w:r>
            <w:r>
              <w:rPr>
                <w:rStyle w:val="Hiperveza"/>
                <w:noProof/>
                <w:webHidden/>
              </w:rPr>
              <w:fldChar w:fldCharType="separate"/>
            </w:r>
            <w:r>
              <w:rPr>
                <w:rStyle w:val="Hiperveza"/>
                <w:noProof/>
                <w:webHidden/>
              </w:rPr>
              <w:t>35</w:t>
            </w:r>
            <w:r>
              <w:rPr>
                <w:rStyle w:val="Hiperveza"/>
                <w:noProof/>
                <w:webHidden/>
              </w:rPr>
              <w:fldChar w:fldCharType="end"/>
            </w:r>
          </w:hyperlink>
        </w:p>
        <w:p w:rsidRDefault="00924162" w:rsidP="00924162" w:rsidR="00924162">
          <w:pPr>
            <w:pStyle w:val="Sadraj1"/>
            <w:tabs>
              <w:tab w:pos="9062" w:leader="dot" w:val="right"/>
            </w:tabs>
            <w:rPr>
              <w:rFonts w:eastAsiaTheme="minorEastAsia"/>
              <w:noProof/>
              <w:lang w:eastAsia="hr-HR"/>
            </w:rPr>
          </w:pPr>
          <w:hyperlink r:id="rId24" w:anchor="_Toc458436251" w:history="true">
            <w:r>
              <w:rPr>
                <w:rStyle w:val="Hiperveza"/>
                <w:rFonts w:cs="Times New Roman"/>
                <w:noProof/>
              </w:rPr>
              <w:t>6. PLANIRANA BILANCA NA ZADNJI DAN RAZDOBLJA ZA KOJE JE SASTAVLJEN PLAN POSLOVANJA</w:t>
            </w:r>
            <w:r>
              <w:rPr>
                <w:rStyle w:val="Hiperveza"/>
                <w:noProof/>
                <w:webHidden/>
              </w:rPr>
              <w:tab/>
            </w:r>
            <w:r>
              <w:rPr>
                <w:rStyle w:val="Hiperveza"/>
                <w:noProof/>
                <w:webHidden/>
              </w:rPr>
              <w:fldChar w:fldCharType="begin"/>
            </w:r>
            <w:r>
              <w:rPr>
                <w:rStyle w:val="Hiperveza"/>
                <w:noProof/>
                <w:webHidden/>
              </w:rPr>
              <w:instrText xml:space="preserve"> PAGEREF _Toc458436251 \h </w:instrText>
            </w:r>
            <w:r>
              <w:rPr>
                <w:rStyle w:val="Hiperveza"/>
                <w:noProof/>
                <w:webHidden/>
              </w:rPr>
            </w:r>
            <w:r>
              <w:rPr>
                <w:rStyle w:val="Hiperveza"/>
                <w:noProof/>
                <w:webHidden/>
              </w:rPr>
              <w:fldChar w:fldCharType="separate"/>
            </w:r>
            <w:r>
              <w:rPr>
                <w:rStyle w:val="Hiperveza"/>
                <w:noProof/>
                <w:webHidden/>
              </w:rPr>
              <w:t>39</w:t>
            </w:r>
            <w:r>
              <w:rPr>
                <w:rStyle w:val="Hiperveza"/>
                <w:noProof/>
                <w:webHidden/>
              </w:rPr>
              <w:fldChar w:fldCharType="end"/>
            </w:r>
          </w:hyperlink>
        </w:p>
        <w:p w:rsidRDefault="00924162" w:rsidP="00924162" w:rsidR="00924162">
          <w:pPr>
            <w:pStyle w:val="Sadraj1"/>
            <w:tabs>
              <w:tab w:pos="9062" w:leader="dot" w:val="right"/>
            </w:tabs>
            <w:rPr>
              <w:rFonts w:eastAsiaTheme="minorEastAsia"/>
              <w:noProof/>
              <w:lang w:eastAsia="hr-HR"/>
            </w:rPr>
          </w:pPr>
          <w:hyperlink r:id="rId25" w:anchor="_Toc458436252" w:history="true">
            <w:r>
              <w:rPr>
                <w:rStyle w:val="Hiperveza"/>
                <w:rFonts w:cs="Times New Roman"/>
                <w:noProof/>
              </w:rPr>
              <w:t>7. ANALIZA SVIH TRAŽBINA PREMA VISINI I VRSTI (TRAŽBINE RADNIKA I PRIJAŠNJIH DUŽNIKOVIH RADNIKA, IZLUČNA PRAVA, RAZLUČNA PRAVA, TRAŽBINE ZA KOJE SE VODI POSTUPAK, NEOSIGURANE TRAŽBINE I DRUGE TRAŽBINE)</w:t>
            </w:r>
            <w:r>
              <w:rPr>
                <w:rStyle w:val="Hiperveza"/>
                <w:noProof/>
                <w:webHidden/>
              </w:rPr>
              <w:tab/>
            </w:r>
            <w:r>
              <w:rPr>
                <w:rStyle w:val="Hiperveza"/>
                <w:noProof/>
                <w:webHidden/>
              </w:rPr>
              <w:fldChar w:fldCharType="begin"/>
            </w:r>
            <w:r>
              <w:rPr>
                <w:rStyle w:val="Hiperveza"/>
                <w:noProof/>
                <w:webHidden/>
              </w:rPr>
              <w:instrText xml:space="preserve"> PAGEREF _Toc458436252 \h </w:instrText>
            </w:r>
            <w:r>
              <w:rPr>
                <w:rStyle w:val="Hiperveza"/>
                <w:noProof/>
                <w:webHidden/>
              </w:rPr>
            </w:r>
            <w:r>
              <w:rPr>
                <w:rStyle w:val="Hiperveza"/>
                <w:noProof/>
                <w:webHidden/>
              </w:rPr>
              <w:fldChar w:fldCharType="separate"/>
            </w:r>
            <w:r>
              <w:rPr>
                <w:rStyle w:val="Hiperveza"/>
                <w:noProof/>
                <w:webHidden/>
              </w:rPr>
              <w:t>40</w:t>
            </w:r>
            <w:r>
              <w:rPr>
                <w:rStyle w:val="Hiperveza"/>
                <w:noProof/>
                <w:webHidden/>
              </w:rPr>
              <w:fldChar w:fldCharType="end"/>
            </w:r>
          </w:hyperlink>
        </w:p>
        <w:p w:rsidRDefault="00924162" w:rsidP="00924162" w:rsidR="00924162">
          <w:pPr>
            <w:pStyle w:val="Sadraj1"/>
            <w:tabs>
              <w:tab w:pos="9062" w:leader="dot" w:val="right"/>
            </w:tabs>
            <w:rPr>
              <w:rFonts w:eastAsiaTheme="minorEastAsia"/>
              <w:noProof/>
              <w:lang w:eastAsia="hr-HR"/>
            </w:rPr>
          </w:pPr>
          <w:hyperlink r:id="rId26" w:anchor="_Toc458436253" w:history="true">
            <w:r>
              <w:rPr>
                <w:rStyle w:val="Hiperveza"/>
                <w:rFonts w:cs="Times New Roman"/>
                <w:noProof/>
              </w:rPr>
              <w:t>8. IZRAČUN TROŠKOVA RESTRUKTURIRANJA</w:t>
            </w:r>
            <w:r>
              <w:rPr>
                <w:rStyle w:val="Hiperveza"/>
                <w:noProof/>
                <w:webHidden/>
              </w:rPr>
              <w:tab/>
            </w:r>
            <w:r>
              <w:rPr>
                <w:rStyle w:val="Hiperveza"/>
                <w:noProof/>
                <w:webHidden/>
              </w:rPr>
              <w:fldChar w:fldCharType="begin"/>
            </w:r>
            <w:r>
              <w:rPr>
                <w:rStyle w:val="Hiperveza"/>
                <w:noProof/>
                <w:webHidden/>
              </w:rPr>
              <w:instrText xml:space="preserve"> PAGEREF _Toc458436253 \h </w:instrText>
            </w:r>
            <w:r>
              <w:rPr>
                <w:rStyle w:val="Hiperveza"/>
                <w:noProof/>
                <w:webHidden/>
              </w:rPr>
            </w:r>
            <w:r>
              <w:rPr>
                <w:rStyle w:val="Hiperveza"/>
                <w:noProof/>
                <w:webHidden/>
              </w:rPr>
              <w:fldChar w:fldCharType="separate"/>
            </w:r>
            <w:r>
              <w:rPr>
                <w:rStyle w:val="Hiperveza"/>
                <w:noProof/>
                <w:webHidden/>
              </w:rPr>
              <w:t>47</w:t>
            </w:r>
            <w:r>
              <w:rPr>
                <w:rStyle w:val="Hiperveza"/>
                <w:noProof/>
                <w:webHidden/>
              </w:rPr>
              <w:fldChar w:fldCharType="end"/>
            </w:r>
          </w:hyperlink>
        </w:p>
        <w:p w:rsidRDefault="00924162" w:rsidP="00924162" w:rsidR="00924162">
          <w:pPr>
            <w:pStyle w:val="Sadraj1"/>
            <w:tabs>
              <w:tab w:pos="9062" w:leader="dot" w:val="right"/>
            </w:tabs>
            <w:rPr>
              <w:rFonts w:eastAsiaTheme="minorEastAsia"/>
              <w:noProof/>
              <w:lang w:eastAsia="hr-HR"/>
            </w:rPr>
          </w:pPr>
          <w:hyperlink r:id="rId27" w:anchor="_Toc458436254" w:history="true">
            <w:r>
              <w:rPr>
                <w:rStyle w:val="Hiperveza"/>
                <w:rFonts w:cs="Times New Roman"/>
                <w:noProof/>
              </w:rPr>
              <w:t>9. USPOREDBA S OČEKIVANIM NAMIRENJEM U SLUČAJU STEČAJA</w:t>
            </w:r>
            <w:r>
              <w:rPr>
                <w:rStyle w:val="Hiperveza"/>
                <w:noProof/>
                <w:webHidden/>
              </w:rPr>
              <w:tab/>
            </w:r>
            <w:r>
              <w:rPr>
                <w:rStyle w:val="Hiperveza"/>
                <w:noProof/>
                <w:webHidden/>
              </w:rPr>
              <w:fldChar w:fldCharType="begin"/>
            </w:r>
            <w:r>
              <w:rPr>
                <w:rStyle w:val="Hiperveza"/>
                <w:noProof/>
                <w:webHidden/>
              </w:rPr>
              <w:instrText xml:space="preserve"> PAGEREF _Toc458436254 \h </w:instrText>
            </w:r>
            <w:r>
              <w:rPr>
                <w:rStyle w:val="Hiperveza"/>
                <w:noProof/>
                <w:webHidden/>
              </w:rPr>
            </w:r>
            <w:r>
              <w:rPr>
                <w:rStyle w:val="Hiperveza"/>
                <w:noProof/>
                <w:webHidden/>
              </w:rPr>
              <w:fldChar w:fldCharType="separate"/>
            </w:r>
            <w:r>
              <w:rPr>
                <w:rStyle w:val="Hiperveza"/>
                <w:noProof/>
                <w:webHidden/>
              </w:rPr>
              <w:t>48</w:t>
            </w:r>
            <w:r>
              <w:rPr>
                <w:rStyle w:val="Hiperveza"/>
                <w:noProof/>
                <w:webHidden/>
              </w:rPr>
              <w:fldChar w:fldCharType="end"/>
            </w:r>
          </w:hyperlink>
        </w:p>
        <w:p w:rsidRDefault="00924162" w:rsidP="00924162" w:rsidR="00924162">
          <w:pPr>
            <w:rPr>
              <w:rFonts w:cs="Times New Roman"/>
            </w:rPr>
          </w:pPr>
          <w:r>
            <w:rPr>
              <w:rFonts w:cs="Times New Roman"/>
            </w:rPr>
            <w:fldChar w:fldCharType="end"/>
          </w:r>
        </w:p>
      </w:sdtContent>
    </w:sdt>
    <w:p w:rsidRDefault="00924162" w:rsidP="00924162" w:rsidR="00924162">
      <w:pPr>
        <w:rPr>
          <w:rFonts w:cs="Times New Roman"/>
        </w:rPr>
      </w:pPr>
    </w:p>
    <w:p w:rsidRDefault="00924162" w:rsidP="00924162" w:rsidR="00924162">
      <w:pPr>
        <w:rPr>
          <w:rFonts w:cs="Times New Roman"/>
        </w:rPr>
      </w:pPr>
      <w:r>
        <w:rPr>
          <w:rFonts w:cs="Times New Roman"/>
        </w:rPr>
        <w:br w:type="page"/>
      </w:r>
    </w:p>
    <w:p w:rsidRDefault="00924162" w:rsidP="00924162" w:rsidR="00924162">
      <w:pPr>
        <w:pStyle w:val="Naslov1"/>
        <w:rPr>
          <w:rFonts w:cs="Times New Roman"/>
          <w:sz w:val="24"/>
          <w:szCs w:val="24"/>
        </w:rPr>
      </w:pPr>
      <w:bookmarkStart w:name="_Toc458436238" w:id="0"/>
      <w:bookmarkStart w:name="_Toc432416048" w:id="1"/>
      <w:bookmarkStart w:name="_Toc430627146" w:id="2"/>
      <w:r>
        <w:rPr>
          <w:rFonts w:cs="Times New Roman"/>
          <w:sz w:val="24"/>
          <w:szCs w:val="24"/>
        </w:rPr>
        <w:lastRenderedPageBreak/>
        <w:t>1. OPIS ČINJENICA I OKOLNOSTI IZ KOJIH PROIZLAZI POSTOJANJE UVJETA ZA OTVARANJE POSTUPKA PREDSTEČAJNE NAGODBE</w:t>
      </w:r>
      <w:bookmarkEnd w:id="0"/>
      <w:bookmarkEnd w:id="1"/>
      <w:bookmarkEnd w:id="2"/>
    </w:p>
    <w:p w:rsidRDefault="00924162" w:rsidP="00924162" w:rsidR="00924162">
      <w:pPr>
        <w:pStyle w:val="Naslov2"/>
        <w:keepLines/>
        <w:numPr>
          <w:ilvl w:val="0"/>
          <w:numId w:val="44"/>
        </w:numPr>
        <w:spacing w:lineRule="auto" w:line="276" w:after="0" w:before="200"/>
        <w:jc w:val="left"/>
        <w:rPr>
          <w:rFonts w:cs="Times New Roman"/>
          <w:sz w:val="24"/>
          <w:szCs w:val="24"/>
        </w:rPr>
      </w:pPr>
      <w:bookmarkStart w:name="_Toc458436239" w:id="3"/>
      <w:bookmarkStart w:name="_Toc432416049" w:id="4"/>
      <w:bookmarkStart w:name="_Toc430627147" w:id="5"/>
      <w:r>
        <w:rPr>
          <w:rFonts w:cs="Times New Roman"/>
          <w:sz w:val="24"/>
          <w:szCs w:val="24"/>
        </w:rPr>
        <w:t>Opći podaci</w:t>
      </w:r>
      <w:bookmarkEnd w:id="3"/>
      <w:bookmarkEnd w:id="4"/>
      <w:bookmarkEnd w:id="5"/>
    </w:p>
    <w:p w:rsidRDefault="00924162" w:rsidP="00924162" w:rsidR="00924162">
      <w:pPr>
        <w:rPr>
          <w:rFonts w:cs="Times New Roman"/>
        </w:rPr>
      </w:pPr>
    </w:p>
    <w:p w:rsidRDefault="00924162" w:rsidP="00924162" w:rsidR="00924162">
      <w:pPr>
        <w:spacing w:lineRule="auto" w:line="360"/>
        <w:rPr>
          <w:rFonts w:cs="Times New Roman"/>
        </w:rPr>
      </w:pPr>
      <w:r>
        <w:rPr>
          <w:rFonts w:cs="Times New Roman"/>
        </w:rPr>
        <w:t>Naziv: RATARSTVO d.o.o.</w:t>
      </w:r>
    </w:p>
    <w:p w:rsidRDefault="00924162" w:rsidP="00924162" w:rsidR="00924162">
      <w:pPr>
        <w:spacing w:lineRule="auto" w:line="360"/>
        <w:rPr>
          <w:rFonts w:cs="Times New Roman"/>
        </w:rPr>
      </w:pPr>
      <w:r>
        <w:rPr>
          <w:rFonts w:cs="Times New Roman"/>
        </w:rPr>
        <w:t>Sjedište: Matice Hrvatske 4/I, 43 000 Bjelovar</w:t>
      </w:r>
    </w:p>
    <w:p w:rsidRDefault="00924162" w:rsidP="00924162" w:rsidR="00924162">
      <w:pPr>
        <w:spacing w:lineRule="auto" w:line="360"/>
        <w:rPr>
          <w:rFonts w:cs="Times New Roman"/>
        </w:rPr>
      </w:pPr>
      <w:r>
        <w:rPr>
          <w:rFonts w:cs="Times New Roman"/>
        </w:rPr>
        <w:t>MBS: 010006975</w:t>
      </w:r>
    </w:p>
    <w:p w:rsidRDefault="00924162" w:rsidP="00924162" w:rsidR="00924162">
      <w:pPr>
        <w:spacing w:lineRule="auto" w:line="360"/>
        <w:rPr>
          <w:rFonts w:cs="Times New Roman"/>
        </w:rPr>
      </w:pPr>
      <w:r>
        <w:rPr>
          <w:rFonts w:cs="Times New Roman"/>
        </w:rPr>
        <w:t>OIB: 39141474711</w:t>
      </w:r>
    </w:p>
    <w:p w:rsidRDefault="00924162" w:rsidP="00924162" w:rsidR="00924162">
      <w:pPr>
        <w:spacing w:lineRule="auto" w:line="360"/>
        <w:rPr>
          <w:rFonts w:cs="Times New Roman"/>
        </w:rPr>
      </w:pPr>
      <w:r>
        <w:rPr>
          <w:rFonts w:cs="Times New Roman"/>
        </w:rPr>
        <w:t xml:space="preserve">Šifra NKD-a: </w:t>
      </w:r>
      <w:r>
        <w:rPr>
          <w:rFonts w:cs="Times New Roman"/>
        </w:rPr>
        <w:tab/>
        <w:t>01.11 Uzgoj žitarica (osim riže), mahunarki i uljanog sjemenja (NKD 2007)</w:t>
      </w:r>
    </w:p>
    <w:p w:rsidRDefault="00924162" w:rsidP="00924162" w:rsidR="00924162">
      <w:pPr>
        <w:spacing w:lineRule="auto" w:line="360"/>
        <w:rPr>
          <w:rFonts w:cs="Times New Roman"/>
        </w:rPr>
      </w:pPr>
      <w:r>
        <w:rPr>
          <w:rFonts w:cs="Times New Roman"/>
        </w:rPr>
        <w:t>Datum osnivanja: 28.04.1995. godine</w:t>
      </w:r>
    </w:p>
    <w:p w:rsidRDefault="00924162" w:rsidP="00924162" w:rsidR="00924162">
      <w:pPr>
        <w:spacing w:lineRule="auto" w:line="360"/>
        <w:rPr>
          <w:rFonts w:cs="Times New Roman"/>
        </w:rPr>
      </w:pPr>
      <w:r>
        <w:rPr>
          <w:rFonts w:cs="Times New Roman"/>
        </w:rPr>
        <w:t xml:space="preserve">Osnivači: </w:t>
      </w:r>
    </w:p>
    <w:p w:rsidRDefault="00924162" w:rsidP="00924162" w:rsidR="00924162">
      <w:pPr>
        <w:pStyle w:val="Odlomakpopisa"/>
        <w:numPr>
          <w:ilvl w:val="0"/>
          <w:numId w:val="47"/>
        </w:numPr>
        <w:spacing w:lineRule="auto" w:line="276" w:after="200"/>
        <w:contextualSpacing/>
        <w:jc w:val="left"/>
        <w:rPr>
          <w:rFonts w:cs="Times New Roman"/>
        </w:rPr>
      </w:pPr>
      <w:r>
        <w:rPr>
          <w:rFonts w:cs="Times New Roman"/>
        </w:rPr>
        <w:t>Josip Belošević, OIB: 88477086610, Bjelovar, Krste Frankopana 70</w:t>
      </w:r>
    </w:p>
    <w:p w:rsidRDefault="00924162" w:rsidP="00924162" w:rsidR="00924162">
      <w:pPr>
        <w:ind w:left="1416"/>
        <w:contextualSpacing/>
        <w:rPr>
          <w:rFonts w:cs="Times New Roman"/>
        </w:rPr>
      </w:pPr>
      <w:r>
        <w:rPr>
          <w:rFonts w:cs="Times New Roman"/>
        </w:rPr>
        <w:t>- član društva</w:t>
      </w:r>
    </w:p>
    <w:p w:rsidRDefault="00924162" w:rsidP="00924162" w:rsidR="00924162">
      <w:pPr>
        <w:pStyle w:val="Odlomakpopisa"/>
        <w:numPr>
          <w:ilvl w:val="0"/>
          <w:numId w:val="47"/>
        </w:numPr>
        <w:spacing w:lineRule="auto" w:line="276" w:after="200"/>
        <w:contextualSpacing/>
        <w:jc w:val="left"/>
        <w:rPr>
          <w:rFonts w:cs="Times New Roman"/>
        </w:rPr>
      </w:pPr>
      <w:r>
        <w:rPr>
          <w:rFonts w:cs="Times New Roman"/>
        </w:rPr>
        <w:t xml:space="preserve">Ivan </w:t>
      </w:r>
      <w:proofErr w:type="spellStart"/>
      <w:r>
        <w:rPr>
          <w:rFonts w:cs="Times New Roman"/>
        </w:rPr>
        <w:t>Gjurović</w:t>
      </w:r>
      <w:proofErr w:type="spellEnd"/>
      <w:r>
        <w:rPr>
          <w:rFonts w:cs="Times New Roman"/>
        </w:rPr>
        <w:t>, OIB: 77968633304, Ždralovi, Daruvarska 21</w:t>
      </w:r>
    </w:p>
    <w:p w:rsidRDefault="00924162" w:rsidP="00924162" w:rsidR="00924162">
      <w:pPr>
        <w:ind w:left="1416"/>
        <w:contextualSpacing/>
        <w:rPr>
          <w:rFonts w:cs="Times New Roman"/>
        </w:rPr>
      </w:pPr>
      <w:r>
        <w:rPr>
          <w:rFonts w:cs="Times New Roman"/>
        </w:rPr>
        <w:t>- član društva</w:t>
      </w:r>
    </w:p>
    <w:p w:rsidRDefault="00924162" w:rsidP="00924162" w:rsidR="00924162">
      <w:pPr>
        <w:pStyle w:val="Odlomakpopisa"/>
        <w:numPr>
          <w:ilvl w:val="0"/>
          <w:numId w:val="47"/>
        </w:numPr>
        <w:spacing w:lineRule="auto" w:line="276" w:after="200"/>
        <w:contextualSpacing/>
        <w:jc w:val="left"/>
        <w:rPr>
          <w:rFonts w:cs="Times New Roman"/>
        </w:rPr>
      </w:pPr>
      <w:r>
        <w:rPr>
          <w:rFonts w:cs="Times New Roman"/>
        </w:rPr>
        <w:t xml:space="preserve">Antun </w:t>
      </w:r>
      <w:proofErr w:type="spellStart"/>
      <w:r>
        <w:rPr>
          <w:rFonts w:cs="Times New Roman"/>
        </w:rPr>
        <w:t>Grgičin</w:t>
      </w:r>
      <w:proofErr w:type="spellEnd"/>
      <w:r>
        <w:rPr>
          <w:rFonts w:cs="Times New Roman"/>
        </w:rPr>
        <w:t>, OIB: 84679819090, Ribnjačka, Ribnjačka 4</w:t>
      </w:r>
    </w:p>
    <w:p w:rsidRDefault="00924162" w:rsidP="00924162" w:rsidR="00924162">
      <w:pPr>
        <w:ind w:left="1416"/>
        <w:contextualSpacing/>
        <w:rPr>
          <w:rFonts w:cs="Times New Roman"/>
        </w:rPr>
      </w:pPr>
      <w:r>
        <w:rPr>
          <w:rFonts w:cs="Times New Roman"/>
        </w:rPr>
        <w:t>- član društva</w:t>
      </w:r>
    </w:p>
    <w:p w:rsidRDefault="00924162" w:rsidP="00924162" w:rsidR="00924162">
      <w:pPr>
        <w:pStyle w:val="Odlomakpopisa"/>
        <w:numPr>
          <w:ilvl w:val="0"/>
          <w:numId w:val="47"/>
        </w:numPr>
        <w:spacing w:lineRule="auto" w:line="276" w:after="200"/>
        <w:contextualSpacing/>
        <w:jc w:val="left"/>
        <w:rPr>
          <w:rFonts w:cs="Times New Roman"/>
        </w:rPr>
      </w:pPr>
      <w:r>
        <w:rPr>
          <w:rFonts w:cs="Times New Roman"/>
        </w:rPr>
        <w:t>HRVATSKI ZAVOD ZA MIROVINSKO OSIGURANJE, pod MBS: 080266914, upisan kod: Trgovački sud u Zagrebu, OIB: 84397956623, Zagreb, A. Mihanovića 3</w:t>
      </w:r>
    </w:p>
    <w:p w:rsidRDefault="00924162" w:rsidP="00924162" w:rsidR="00924162">
      <w:pPr>
        <w:ind w:left="1416"/>
        <w:contextualSpacing/>
        <w:rPr>
          <w:rFonts w:cs="Times New Roman"/>
        </w:rPr>
      </w:pPr>
      <w:r>
        <w:rPr>
          <w:rFonts w:cs="Times New Roman"/>
        </w:rPr>
        <w:t>- član društva</w:t>
      </w:r>
    </w:p>
    <w:p w:rsidRDefault="00924162" w:rsidP="00924162" w:rsidR="00924162">
      <w:pPr>
        <w:pStyle w:val="Odlomakpopisa"/>
        <w:numPr>
          <w:ilvl w:val="0"/>
          <w:numId w:val="47"/>
        </w:numPr>
        <w:spacing w:lineRule="auto" w:line="276" w:after="200"/>
        <w:contextualSpacing/>
        <w:jc w:val="left"/>
        <w:rPr>
          <w:rFonts w:cs="Times New Roman"/>
        </w:rPr>
      </w:pPr>
      <w:r>
        <w:rPr>
          <w:rFonts w:cs="Times New Roman"/>
        </w:rPr>
        <w:t xml:space="preserve">Kata </w:t>
      </w:r>
      <w:proofErr w:type="spellStart"/>
      <w:r>
        <w:rPr>
          <w:rFonts w:cs="Times New Roman"/>
        </w:rPr>
        <w:t>Hrvojčec</w:t>
      </w:r>
      <w:proofErr w:type="spellEnd"/>
      <w:r>
        <w:rPr>
          <w:rFonts w:cs="Times New Roman"/>
        </w:rPr>
        <w:t>, OIB: 15294238969, Ždralovi, Daruvarska 81</w:t>
      </w:r>
    </w:p>
    <w:p w:rsidRDefault="00924162" w:rsidP="00924162" w:rsidR="00924162">
      <w:pPr>
        <w:ind w:left="1416"/>
        <w:contextualSpacing/>
        <w:rPr>
          <w:rFonts w:cs="Times New Roman"/>
        </w:rPr>
      </w:pPr>
      <w:r>
        <w:rPr>
          <w:rFonts w:cs="Times New Roman"/>
        </w:rPr>
        <w:t>- član društva</w:t>
      </w:r>
    </w:p>
    <w:p w:rsidRDefault="00924162" w:rsidP="00924162" w:rsidR="00924162">
      <w:pPr>
        <w:pStyle w:val="Odlomakpopisa"/>
        <w:numPr>
          <w:ilvl w:val="0"/>
          <w:numId w:val="47"/>
        </w:numPr>
        <w:spacing w:lineRule="auto" w:line="276" w:after="200"/>
        <w:contextualSpacing/>
        <w:jc w:val="left"/>
        <w:rPr>
          <w:rFonts w:cs="Times New Roman"/>
        </w:rPr>
      </w:pPr>
      <w:r>
        <w:rPr>
          <w:rFonts w:cs="Times New Roman"/>
        </w:rPr>
        <w:t>Stipe Jukić, OIB: 64815686094, Brezovac, Vidikovac 95</w:t>
      </w:r>
    </w:p>
    <w:p w:rsidRDefault="00924162" w:rsidP="00924162" w:rsidR="00924162">
      <w:pPr>
        <w:ind w:left="1416"/>
        <w:contextualSpacing/>
        <w:rPr>
          <w:rFonts w:cs="Times New Roman"/>
        </w:rPr>
      </w:pPr>
      <w:r>
        <w:rPr>
          <w:rFonts w:cs="Times New Roman"/>
        </w:rPr>
        <w:t>- član društva</w:t>
      </w:r>
    </w:p>
    <w:p w:rsidRDefault="00924162" w:rsidP="00924162" w:rsidR="00924162">
      <w:pPr>
        <w:pStyle w:val="Odlomakpopisa"/>
        <w:numPr>
          <w:ilvl w:val="0"/>
          <w:numId w:val="47"/>
        </w:numPr>
        <w:spacing w:lineRule="auto" w:line="276" w:after="200"/>
        <w:contextualSpacing/>
        <w:jc w:val="left"/>
        <w:rPr>
          <w:rFonts w:cs="Times New Roman"/>
        </w:rPr>
      </w:pPr>
      <w:r>
        <w:rPr>
          <w:rFonts w:cs="Times New Roman"/>
        </w:rPr>
        <w:t xml:space="preserve">Dragutin </w:t>
      </w:r>
      <w:proofErr w:type="spellStart"/>
      <w:r>
        <w:rPr>
          <w:rFonts w:cs="Times New Roman"/>
        </w:rPr>
        <w:t>Kolaček</w:t>
      </w:r>
      <w:proofErr w:type="spellEnd"/>
      <w:r>
        <w:rPr>
          <w:rFonts w:cs="Times New Roman"/>
        </w:rPr>
        <w:t>, OIB: 20661782105, Bjelovar, Miroslava Krleže 2</w:t>
      </w:r>
    </w:p>
    <w:p w:rsidRDefault="00924162" w:rsidP="00924162" w:rsidR="00924162">
      <w:pPr>
        <w:ind w:left="1416"/>
        <w:contextualSpacing/>
        <w:rPr>
          <w:rFonts w:cs="Times New Roman"/>
        </w:rPr>
      </w:pPr>
      <w:r>
        <w:rPr>
          <w:rFonts w:cs="Times New Roman"/>
        </w:rPr>
        <w:t>- član društva</w:t>
      </w:r>
    </w:p>
    <w:p w:rsidRDefault="00924162" w:rsidP="00924162" w:rsidR="00924162">
      <w:pPr>
        <w:ind w:left="1416"/>
        <w:contextualSpacing/>
        <w:rPr>
          <w:rFonts w:cs="Times New Roman"/>
        </w:rPr>
      </w:pPr>
    </w:p>
    <w:p w:rsidRDefault="00924162" w:rsidP="00924162" w:rsidR="00924162">
      <w:pPr>
        <w:pStyle w:val="Odlomakpopisa"/>
        <w:numPr>
          <w:ilvl w:val="0"/>
          <w:numId w:val="47"/>
        </w:numPr>
        <w:spacing w:lineRule="auto" w:line="276" w:after="200"/>
        <w:contextualSpacing/>
        <w:jc w:val="left"/>
        <w:rPr>
          <w:rFonts w:cs="Times New Roman"/>
        </w:rPr>
      </w:pPr>
      <w:r>
        <w:rPr>
          <w:rFonts w:cs="Times New Roman"/>
        </w:rPr>
        <w:lastRenderedPageBreak/>
        <w:t xml:space="preserve">Suzana </w:t>
      </w:r>
      <w:proofErr w:type="spellStart"/>
      <w:r>
        <w:rPr>
          <w:rFonts w:cs="Times New Roman"/>
        </w:rPr>
        <w:t>Kultan</w:t>
      </w:r>
      <w:proofErr w:type="spellEnd"/>
      <w:r>
        <w:rPr>
          <w:rFonts w:cs="Times New Roman"/>
        </w:rPr>
        <w:t>, OIB: 86035304382, Brezik, Brezik 1/G</w:t>
      </w:r>
    </w:p>
    <w:p w:rsidRDefault="00924162" w:rsidP="00924162" w:rsidR="00924162">
      <w:pPr>
        <w:ind w:left="1416"/>
        <w:contextualSpacing/>
        <w:rPr>
          <w:rFonts w:cs="Times New Roman"/>
        </w:rPr>
      </w:pPr>
      <w:r>
        <w:rPr>
          <w:rFonts w:cs="Times New Roman"/>
        </w:rPr>
        <w:t>- član društva</w:t>
      </w:r>
    </w:p>
    <w:p w:rsidRDefault="00924162" w:rsidP="00924162" w:rsidR="00924162">
      <w:pPr>
        <w:pStyle w:val="Odlomakpopisa"/>
        <w:numPr>
          <w:ilvl w:val="0"/>
          <w:numId w:val="47"/>
        </w:numPr>
        <w:spacing w:lineRule="auto" w:line="276" w:after="200"/>
        <w:contextualSpacing/>
        <w:jc w:val="left"/>
        <w:rPr>
          <w:rFonts w:cs="Times New Roman"/>
        </w:rPr>
      </w:pPr>
      <w:r>
        <w:rPr>
          <w:rFonts w:cs="Times New Roman"/>
        </w:rPr>
        <w:t xml:space="preserve">Joso </w:t>
      </w:r>
      <w:proofErr w:type="spellStart"/>
      <w:r>
        <w:rPr>
          <w:rFonts w:cs="Times New Roman"/>
        </w:rPr>
        <w:t>Krečak</w:t>
      </w:r>
      <w:proofErr w:type="spellEnd"/>
      <w:r>
        <w:rPr>
          <w:rFonts w:cs="Times New Roman"/>
        </w:rPr>
        <w:t xml:space="preserve">, OIB: 88337247066, Nova </w:t>
      </w:r>
      <w:proofErr w:type="spellStart"/>
      <w:r>
        <w:rPr>
          <w:rFonts w:cs="Times New Roman"/>
        </w:rPr>
        <w:t>Rača</w:t>
      </w:r>
      <w:proofErr w:type="spellEnd"/>
      <w:r>
        <w:rPr>
          <w:rFonts w:cs="Times New Roman"/>
        </w:rPr>
        <w:t>, Ljeskova 11</w:t>
      </w:r>
    </w:p>
    <w:p w:rsidRDefault="00924162" w:rsidP="00924162" w:rsidR="00924162">
      <w:pPr>
        <w:ind w:left="1416"/>
        <w:contextualSpacing/>
        <w:rPr>
          <w:rFonts w:cs="Times New Roman"/>
        </w:rPr>
      </w:pPr>
      <w:r>
        <w:rPr>
          <w:rFonts w:cs="Times New Roman"/>
        </w:rPr>
        <w:t>- član društva</w:t>
      </w:r>
    </w:p>
    <w:p w:rsidRDefault="00924162" w:rsidP="00924162" w:rsidR="00924162">
      <w:pPr>
        <w:pStyle w:val="Odlomakpopisa"/>
        <w:numPr>
          <w:ilvl w:val="0"/>
          <w:numId w:val="47"/>
        </w:numPr>
        <w:spacing w:lineRule="auto" w:line="276" w:after="200"/>
        <w:contextualSpacing/>
        <w:jc w:val="left"/>
        <w:rPr>
          <w:rFonts w:cs="Times New Roman"/>
        </w:rPr>
      </w:pPr>
      <w:r>
        <w:rPr>
          <w:rFonts w:cs="Times New Roman"/>
        </w:rPr>
        <w:t xml:space="preserve">Vesna </w:t>
      </w:r>
      <w:proofErr w:type="spellStart"/>
      <w:r>
        <w:rPr>
          <w:rFonts w:cs="Times New Roman"/>
        </w:rPr>
        <w:t>Kunješić</w:t>
      </w:r>
      <w:proofErr w:type="spellEnd"/>
      <w:r>
        <w:rPr>
          <w:rFonts w:cs="Times New Roman"/>
        </w:rPr>
        <w:t xml:space="preserve">, OIB: 75656264346, Veliki </w:t>
      </w:r>
      <w:proofErr w:type="spellStart"/>
      <w:r>
        <w:rPr>
          <w:rFonts w:cs="Times New Roman"/>
        </w:rPr>
        <w:t>Grđevac</w:t>
      </w:r>
      <w:proofErr w:type="spellEnd"/>
      <w:r>
        <w:rPr>
          <w:rFonts w:cs="Times New Roman"/>
        </w:rPr>
        <w:t>, Bana Josipa Jelačića 8</w:t>
      </w:r>
    </w:p>
    <w:p w:rsidRDefault="00924162" w:rsidP="00924162" w:rsidR="00924162">
      <w:pPr>
        <w:ind w:left="1416"/>
        <w:contextualSpacing/>
        <w:rPr>
          <w:rFonts w:cs="Times New Roman"/>
        </w:rPr>
      </w:pPr>
      <w:r>
        <w:rPr>
          <w:rFonts w:cs="Times New Roman"/>
        </w:rPr>
        <w:t>- član društva</w:t>
      </w:r>
    </w:p>
    <w:p w:rsidRDefault="00924162" w:rsidP="00924162" w:rsidR="00924162">
      <w:pPr>
        <w:pStyle w:val="Odlomakpopisa"/>
        <w:numPr>
          <w:ilvl w:val="0"/>
          <w:numId w:val="47"/>
        </w:numPr>
        <w:spacing w:lineRule="auto" w:line="276" w:after="200"/>
        <w:contextualSpacing/>
        <w:jc w:val="left"/>
        <w:rPr>
          <w:rFonts w:cs="Times New Roman"/>
        </w:rPr>
      </w:pPr>
      <w:r>
        <w:rPr>
          <w:rFonts w:cs="Times New Roman"/>
        </w:rPr>
        <w:t xml:space="preserve">Milan </w:t>
      </w:r>
      <w:proofErr w:type="spellStart"/>
      <w:r>
        <w:rPr>
          <w:rFonts w:cs="Times New Roman"/>
        </w:rPr>
        <w:t>Laketić</w:t>
      </w:r>
      <w:proofErr w:type="spellEnd"/>
      <w:r>
        <w:rPr>
          <w:rFonts w:cs="Times New Roman"/>
        </w:rPr>
        <w:t xml:space="preserve">, OIB: 43177806610, Bjelovar, Ivana </w:t>
      </w:r>
      <w:proofErr w:type="spellStart"/>
      <w:r>
        <w:rPr>
          <w:rFonts w:cs="Times New Roman"/>
        </w:rPr>
        <w:t>Česmičkog</w:t>
      </w:r>
      <w:proofErr w:type="spellEnd"/>
      <w:r>
        <w:rPr>
          <w:rFonts w:cs="Times New Roman"/>
        </w:rPr>
        <w:t xml:space="preserve"> 7</w:t>
      </w:r>
    </w:p>
    <w:p w:rsidRDefault="00924162" w:rsidP="00924162" w:rsidR="00924162">
      <w:pPr>
        <w:ind w:left="1416"/>
        <w:contextualSpacing/>
        <w:rPr>
          <w:rFonts w:cs="Times New Roman"/>
        </w:rPr>
      </w:pPr>
      <w:r>
        <w:rPr>
          <w:rFonts w:cs="Times New Roman"/>
        </w:rPr>
        <w:t>- član društva</w:t>
      </w:r>
    </w:p>
    <w:p w:rsidRDefault="00924162" w:rsidP="00924162" w:rsidR="00924162">
      <w:pPr>
        <w:pStyle w:val="Odlomakpopisa"/>
        <w:numPr>
          <w:ilvl w:val="0"/>
          <w:numId w:val="47"/>
        </w:numPr>
        <w:spacing w:lineRule="auto" w:line="276" w:after="200"/>
        <w:contextualSpacing/>
        <w:jc w:val="left"/>
        <w:rPr>
          <w:rFonts w:cs="Times New Roman"/>
        </w:rPr>
      </w:pPr>
      <w:r>
        <w:rPr>
          <w:rFonts w:cs="Times New Roman"/>
        </w:rPr>
        <w:t xml:space="preserve">Petar </w:t>
      </w:r>
      <w:proofErr w:type="spellStart"/>
      <w:r>
        <w:rPr>
          <w:rFonts w:cs="Times New Roman"/>
        </w:rPr>
        <w:t>Mađerić</w:t>
      </w:r>
      <w:proofErr w:type="spellEnd"/>
      <w:r>
        <w:rPr>
          <w:rFonts w:cs="Times New Roman"/>
        </w:rPr>
        <w:t xml:space="preserve">, OIB: 32666047740, </w:t>
      </w:r>
      <w:proofErr w:type="spellStart"/>
      <w:r>
        <w:rPr>
          <w:rFonts w:cs="Times New Roman"/>
        </w:rPr>
        <w:t>Pupelica</w:t>
      </w:r>
      <w:proofErr w:type="spellEnd"/>
      <w:r>
        <w:rPr>
          <w:rFonts w:cs="Times New Roman"/>
        </w:rPr>
        <w:t xml:space="preserve">, </w:t>
      </w:r>
      <w:proofErr w:type="spellStart"/>
      <w:r>
        <w:rPr>
          <w:rFonts w:cs="Times New Roman"/>
        </w:rPr>
        <w:t>Pupelica</w:t>
      </w:r>
      <w:proofErr w:type="spellEnd"/>
      <w:r>
        <w:rPr>
          <w:rFonts w:cs="Times New Roman"/>
        </w:rPr>
        <w:t xml:space="preserve"> 18</w:t>
      </w:r>
    </w:p>
    <w:p w:rsidRDefault="00924162" w:rsidP="00924162" w:rsidR="00924162">
      <w:pPr>
        <w:ind w:left="1416"/>
        <w:contextualSpacing/>
        <w:rPr>
          <w:rFonts w:cs="Times New Roman"/>
        </w:rPr>
      </w:pPr>
      <w:r>
        <w:rPr>
          <w:rFonts w:cs="Times New Roman"/>
        </w:rPr>
        <w:t>- član društva</w:t>
      </w:r>
    </w:p>
    <w:p w:rsidRDefault="00924162" w:rsidP="00924162" w:rsidR="00924162">
      <w:pPr>
        <w:pStyle w:val="Odlomakpopisa"/>
        <w:numPr>
          <w:ilvl w:val="0"/>
          <w:numId w:val="47"/>
        </w:numPr>
        <w:spacing w:lineRule="auto" w:line="276" w:after="200"/>
        <w:contextualSpacing/>
        <w:jc w:val="left"/>
        <w:rPr>
          <w:rFonts w:cs="Times New Roman"/>
        </w:rPr>
      </w:pPr>
      <w:r>
        <w:rPr>
          <w:rFonts w:cs="Times New Roman"/>
        </w:rPr>
        <w:t xml:space="preserve">Marija </w:t>
      </w:r>
      <w:proofErr w:type="spellStart"/>
      <w:r>
        <w:rPr>
          <w:rFonts w:cs="Times New Roman"/>
        </w:rPr>
        <w:t>Pajtak</w:t>
      </w:r>
      <w:proofErr w:type="spellEnd"/>
      <w:r>
        <w:rPr>
          <w:rFonts w:cs="Times New Roman"/>
        </w:rPr>
        <w:t>, OIB: 46465319692, Bjelovar, Vukovarska 8/B</w:t>
      </w:r>
    </w:p>
    <w:p w:rsidRDefault="00924162" w:rsidP="00924162" w:rsidR="00924162">
      <w:pPr>
        <w:ind w:left="1416"/>
        <w:contextualSpacing/>
        <w:rPr>
          <w:rFonts w:cs="Times New Roman"/>
        </w:rPr>
      </w:pPr>
      <w:r>
        <w:rPr>
          <w:rFonts w:cs="Times New Roman"/>
        </w:rPr>
        <w:t>- član društva</w:t>
      </w:r>
    </w:p>
    <w:p w:rsidRDefault="00924162" w:rsidP="00924162" w:rsidR="00924162">
      <w:pPr>
        <w:pStyle w:val="Odlomakpopisa"/>
        <w:numPr>
          <w:ilvl w:val="0"/>
          <w:numId w:val="47"/>
        </w:numPr>
        <w:spacing w:lineRule="auto" w:line="276" w:after="200"/>
        <w:contextualSpacing/>
        <w:jc w:val="left"/>
        <w:rPr>
          <w:rFonts w:cs="Times New Roman"/>
        </w:rPr>
      </w:pPr>
      <w:r>
        <w:rPr>
          <w:rFonts w:cs="Times New Roman"/>
        </w:rPr>
        <w:t xml:space="preserve">Ljubo </w:t>
      </w:r>
      <w:proofErr w:type="spellStart"/>
      <w:r>
        <w:rPr>
          <w:rFonts w:cs="Times New Roman"/>
        </w:rPr>
        <w:t>Pojatina</w:t>
      </w:r>
      <w:proofErr w:type="spellEnd"/>
      <w:r>
        <w:rPr>
          <w:rFonts w:cs="Times New Roman"/>
        </w:rPr>
        <w:t>, OIB: 79153385220, Bjelovar, Mate Lovraka 2/A</w:t>
      </w:r>
    </w:p>
    <w:p w:rsidRDefault="00924162" w:rsidP="00924162" w:rsidR="00924162">
      <w:pPr>
        <w:ind w:left="1416"/>
        <w:contextualSpacing/>
        <w:rPr>
          <w:rFonts w:cs="Times New Roman"/>
        </w:rPr>
      </w:pPr>
      <w:r>
        <w:rPr>
          <w:rFonts w:cs="Times New Roman"/>
        </w:rPr>
        <w:t>- član društva</w:t>
      </w:r>
    </w:p>
    <w:p w:rsidRDefault="00924162" w:rsidP="00924162" w:rsidR="00924162">
      <w:pPr>
        <w:pStyle w:val="Odlomakpopisa"/>
        <w:numPr>
          <w:ilvl w:val="0"/>
          <w:numId w:val="47"/>
        </w:numPr>
        <w:spacing w:lineRule="auto" w:line="276" w:after="200"/>
        <w:contextualSpacing/>
        <w:jc w:val="left"/>
        <w:rPr>
          <w:rFonts w:cs="Times New Roman"/>
        </w:rPr>
      </w:pPr>
      <w:r>
        <w:rPr>
          <w:rFonts w:cs="Times New Roman"/>
        </w:rPr>
        <w:t xml:space="preserve">Nada </w:t>
      </w:r>
      <w:proofErr w:type="spellStart"/>
      <w:r>
        <w:rPr>
          <w:rFonts w:cs="Times New Roman"/>
        </w:rPr>
        <w:t>Polančec</w:t>
      </w:r>
      <w:proofErr w:type="spellEnd"/>
      <w:r>
        <w:rPr>
          <w:rFonts w:cs="Times New Roman"/>
        </w:rPr>
        <w:t>, OIB: 10934453204, Novi Skucani, Novi Skucani 7</w:t>
      </w:r>
    </w:p>
    <w:p w:rsidRDefault="00924162" w:rsidP="00924162" w:rsidR="00924162">
      <w:pPr>
        <w:ind w:left="1416"/>
        <w:contextualSpacing/>
        <w:rPr>
          <w:rFonts w:cs="Times New Roman"/>
        </w:rPr>
      </w:pPr>
      <w:r>
        <w:rPr>
          <w:rFonts w:cs="Times New Roman"/>
        </w:rPr>
        <w:t>- član društva</w:t>
      </w:r>
    </w:p>
    <w:p w:rsidRDefault="00924162" w:rsidP="00924162" w:rsidR="00924162">
      <w:pPr>
        <w:pStyle w:val="Odlomakpopisa"/>
        <w:numPr>
          <w:ilvl w:val="0"/>
          <w:numId w:val="47"/>
        </w:numPr>
        <w:spacing w:lineRule="auto" w:line="276" w:after="200"/>
        <w:contextualSpacing/>
        <w:jc w:val="left"/>
        <w:rPr>
          <w:rFonts w:cs="Times New Roman"/>
        </w:rPr>
      </w:pPr>
      <w:r>
        <w:rPr>
          <w:rFonts w:cs="Times New Roman"/>
        </w:rPr>
        <w:t xml:space="preserve">Damir </w:t>
      </w:r>
      <w:proofErr w:type="spellStart"/>
      <w:r>
        <w:rPr>
          <w:rFonts w:cs="Times New Roman"/>
        </w:rPr>
        <w:t>Rišanek</w:t>
      </w:r>
      <w:proofErr w:type="spellEnd"/>
      <w:r>
        <w:rPr>
          <w:rFonts w:cs="Times New Roman"/>
        </w:rPr>
        <w:t xml:space="preserve">, OIB: 84345710422, Donja </w:t>
      </w:r>
      <w:proofErr w:type="spellStart"/>
      <w:r>
        <w:rPr>
          <w:rFonts w:cs="Times New Roman"/>
        </w:rPr>
        <w:t>Kovačica</w:t>
      </w:r>
      <w:proofErr w:type="spellEnd"/>
      <w:r>
        <w:rPr>
          <w:rFonts w:cs="Times New Roman"/>
        </w:rPr>
        <w:t xml:space="preserve">, Donja </w:t>
      </w:r>
      <w:proofErr w:type="spellStart"/>
      <w:r>
        <w:rPr>
          <w:rFonts w:cs="Times New Roman"/>
        </w:rPr>
        <w:t>Kovačica</w:t>
      </w:r>
      <w:proofErr w:type="spellEnd"/>
      <w:r>
        <w:rPr>
          <w:rFonts w:cs="Times New Roman"/>
        </w:rPr>
        <w:t xml:space="preserve"> 80</w:t>
      </w:r>
    </w:p>
    <w:p w:rsidRDefault="00924162" w:rsidP="00924162" w:rsidR="00924162">
      <w:pPr>
        <w:ind w:left="1416"/>
        <w:contextualSpacing/>
        <w:rPr>
          <w:rFonts w:cs="Times New Roman"/>
        </w:rPr>
      </w:pPr>
      <w:r>
        <w:rPr>
          <w:rFonts w:cs="Times New Roman"/>
        </w:rPr>
        <w:t>- član društva</w:t>
      </w:r>
    </w:p>
    <w:p w:rsidRDefault="00924162" w:rsidP="00924162" w:rsidR="00924162">
      <w:pPr>
        <w:pStyle w:val="Odlomakpopisa"/>
        <w:numPr>
          <w:ilvl w:val="0"/>
          <w:numId w:val="47"/>
        </w:numPr>
        <w:spacing w:lineRule="auto" w:line="276" w:after="200"/>
        <w:contextualSpacing/>
        <w:jc w:val="left"/>
        <w:rPr>
          <w:rFonts w:cs="Times New Roman"/>
        </w:rPr>
      </w:pPr>
      <w:r>
        <w:rPr>
          <w:rFonts w:cs="Times New Roman"/>
        </w:rPr>
        <w:t xml:space="preserve">Tomislav </w:t>
      </w:r>
      <w:proofErr w:type="spellStart"/>
      <w:r>
        <w:rPr>
          <w:rFonts w:cs="Times New Roman"/>
        </w:rPr>
        <w:t>Slezak</w:t>
      </w:r>
      <w:proofErr w:type="spellEnd"/>
      <w:r>
        <w:rPr>
          <w:rFonts w:cs="Times New Roman"/>
        </w:rPr>
        <w:t>, OIB: 07430195982, Bjelovar, Mate Lovraka 4/A</w:t>
      </w:r>
    </w:p>
    <w:p w:rsidRDefault="00924162" w:rsidP="00924162" w:rsidR="00924162">
      <w:pPr>
        <w:ind w:left="1416"/>
        <w:contextualSpacing/>
        <w:rPr>
          <w:rFonts w:cs="Times New Roman"/>
        </w:rPr>
      </w:pPr>
      <w:r>
        <w:rPr>
          <w:rFonts w:cs="Times New Roman"/>
        </w:rPr>
        <w:t>- član društva</w:t>
      </w:r>
    </w:p>
    <w:p w:rsidRDefault="00924162" w:rsidP="00924162" w:rsidR="00924162">
      <w:pPr>
        <w:pStyle w:val="Odlomakpopisa"/>
        <w:numPr>
          <w:ilvl w:val="0"/>
          <w:numId w:val="47"/>
        </w:numPr>
        <w:spacing w:lineRule="auto" w:line="276" w:after="200"/>
        <w:contextualSpacing/>
        <w:jc w:val="left"/>
        <w:rPr>
          <w:rFonts w:cs="Times New Roman"/>
        </w:rPr>
      </w:pPr>
      <w:r>
        <w:rPr>
          <w:rFonts w:cs="Times New Roman"/>
        </w:rPr>
        <w:t>Slavko Šafar, OIB: 33430069932, Bjelovar, Ivana Volodera 14</w:t>
      </w:r>
    </w:p>
    <w:p w:rsidRDefault="00924162" w:rsidP="00924162" w:rsidR="00924162">
      <w:pPr>
        <w:ind w:left="1416"/>
        <w:contextualSpacing/>
        <w:rPr>
          <w:rFonts w:cs="Times New Roman"/>
        </w:rPr>
      </w:pPr>
      <w:r>
        <w:rPr>
          <w:rFonts w:cs="Times New Roman"/>
        </w:rPr>
        <w:t>- član društva</w:t>
      </w:r>
    </w:p>
    <w:p w:rsidRDefault="00924162" w:rsidP="00924162" w:rsidR="00924162">
      <w:pPr>
        <w:pStyle w:val="Odlomakpopisa"/>
        <w:numPr>
          <w:ilvl w:val="0"/>
          <w:numId w:val="47"/>
        </w:numPr>
        <w:spacing w:lineRule="auto" w:line="276" w:after="200"/>
        <w:contextualSpacing/>
        <w:jc w:val="left"/>
        <w:rPr>
          <w:rFonts w:cs="Times New Roman"/>
        </w:rPr>
      </w:pPr>
      <w:r>
        <w:rPr>
          <w:rFonts w:cs="Times New Roman"/>
        </w:rPr>
        <w:t xml:space="preserve">Josip </w:t>
      </w:r>
      <w:proofErr w:type="spellStart"/>
      <w:r>
        <w:rPr>
          <w:rFonts w:cs="Times New Roman"/>
        </w:rPr>
        <w:t>Vaclavek</w:t>
      </w:r>
      <w:proofErr w:type="spellEnd"/>
      <w:r>
        <w:rPr>
          <w:rFonts w:cs="Times New Roman"/>
        </w:rPr>
        <w:t>, OIB: 26202424623, Ždralovi, Daruvarska 67</w:t>
      </w:r>
    </w:p>
    <w:p w:rsidRDefault="00924162" w:rsidP="00924162" w:rsidR="00924162">
      <w:pPr>
        <w:ind w:left="1416"/>
        <w:contextualSpacing/>
        <w:rPr>
          <w:rFonts w:cs="Times New Roman"/>
        </w:rPr>
      </w:pPr>
      <w:r>
        <w:rPr>
          <w:rFonts w:cs="Times New Roman"/>
        </w:rPr>
        <w:t>- član društva</w:t>
      </w:r>
    </w:p>
    <w:p w:rsidRDefault="00924162" w:rsidP="00924162" w:rsidR="00924162">
      <w:pPr>
        <w:pStyle w:val="Odlomakpopisa"/>
        <w:numPr>
          <w:ilvl w:val="0"/>
          <w:numId w:val="47"/>
        </w:numPr>
        <w:spacing w:lineRule="auto" w:line="276" w:after="200"/>
        <w:contextualSpacing/>
        <w:jc w:val="left"/>
        <w:rPr>
          <w:rFonts w:cs="Times New Roman"/>
        </w:rPr>
      </w:pPr>
      <w:r>
        <w:rPr>
          <w:rFonts w:cs="Times New Roman"/>
        </w:rPr>
        <w:t xml:space="preserve">Žarko </w:t>
      </w:r>
      <w:proofErr w:type="spellStart"/>
      <w:r>
        <w:rPr>
          <w:rFonts w:cs="Times New Roman"/>
        </w:rPr>
        <w:t>Valadžija</w:t>
      </w:r>
      <w:proofErr w:type="spellEnd"/>
      <w:r>
        <w:rPr>
          <w:rFonts w:cs="Times New Roman"/>
        </w:rPr>
        <w:t xml:space="preserve">, OIB: 98603956362, </w:t>
      </w:r>
      <w:proofErr w:type="spellStart"/>
      <w:r>
        <w:rPr>
          <w:rFonts w:cs="Times New Roman"/>
        </w:rPr>
        <w:t>Ravneš</w:t>
      </w:r>
      <w:proofErr w:type="spellEnd"/>
      <w:r>
        <w:rPr>
          <w:rFonts w:cs="Times New Roman"/>
        </w:rPr>
        <w:t xml:space="preserve">, </w:t>
      </w:r>
      <w:proofErr w:type="spellStart"/>
      <w:r>
        <w:rPr>
          <w:rFonts w:cs="Times New Roman"/>
        </w:rPr>
        <w:t>Ravneš</w:t>
      </w:r>
      <w:proofErr w:type="spellEnd"/>
      <w:r>
        <w:rPr>
          <w:rFonts w:cs="Times New Roman"/>
        </w:rPr>
        <w:t xml:space="preserve"> 59</w:t>
      </w:r>
    </w:p>
    <w:p w:rsidRDefault="00924162" w:rsidP="00924162" w:rsidR="00924162">
      <w:pPr>
        <w:ind w:left="1416"/>
        <w:contextualSpacing/>
        <w:rPr>
          <w:rFonts w:cs="Times New Roman"/>
        </w:rPr>
      </w:pPr>
      <w:r>
        <w:rPr>
          <w:rFonts w:cs="Times New Roman"/>
        </w:rPr>
        <w:t>- član društva</w:t>
      </w:r>
    </w:p>
    <w:p w:rsidRDefault="00924162" w:rsidP="00924162" w:rsidR="00924162">
      <w:pPr>
        <w:ind w:left="1416"/>
        <w:contextualSpacing/>
        <w:rPr>
          <w:rFonts w:cs="Times New Roman"/>
        </w:rPr>
      </w:pPr>
    </w:p>
    <w:p w:rsidRDefault="00924162" w:rsidP="00924162" w:rsidR="00924162">
      <w:pPr>
        <w:pStyle w:val="Odlomakpopisa"/>
        <w:numPr>
          <w:ilvl w:val="0"/>
          <w:numId w:val="47"/>
        </w:numPr>
        <w:spacing w:lineRule="auto" w:line="276" w:after="200"/>
        <w:contextualSpacing/>
        <w:jc w:val="left"/>
        <w:rPr>
          <w:rFonts w:cs="Times New Roman"/>
        </w:rPr>
      </w:pPr>
      <w:r>
        <w:rPr>
          <w:rFonts w:cs="Times New Roman"/>
        </w:rPr>
        <w:lastRenderedPageBreak/>
        <w:t>Domagoj Belošević, OIB: 44070294656, Bjelovar, Krste Frankopana 70</w:t>
      </w:r>
    </w:p>
    <w:p w:rsidRDefault="00924162" w:rsidP="00924162" w:rsidR="00924162">
      <w:pPr>
        <w:ind w:left="1416"/>
        <w:contextualSpacing/>
        <w:rPr>
          <w:rFonts w:cs="Times New Roman"/>
        </w:rPr>
      </w:pPr>
      <w:r>
        <w:rPr>
          <w:rFonts w:cs="Times New Roman"/>
        </w:rPr>
        <w:t>- član društva</w:t>
      </w:r>
    </w:p>
    <w:p w:rsidRDefault="00924162" w:rsidP="00924162" w:rsidR="00924162">
      <w:pPr>
        <w:pStyle w:val="Odlomakpopisa"/>
        <w:numPr>
          <w:ilvl w:val="0"/>
          <w:numId w:val="47"/>
        </w:numPr>
        <w:spacing w:lineRule="auto" w:line="276" w:after="200"/>
        <w:contextualSpacing/>
        <w:jc w:val="left"/>
        <w:rPr>
          <w:rFonts w:cs="Times New Roman"/>
        </w:rPr>
      </w:pPr>
      <w:r>
        <w:rPr>
          <w:rFonts w:cs="Times New Roman"/>
        </w:rPr>
        <w:t xml:space="preserve">MARKO VUČEMILO, Malo </w:t>
      </w:r>
      <w:proofErr w:type="spellStart"/>
      <w:r>
        <w:rPr>
          <w:rFonts w:cs="Times New Roman"/>
        </w:rPr>
        <w:t>Korenovo</w:t>
      </w:r>
      <w:proofErr w:type="spellEnd"/>
      <w:r>
        <w:rPr>
          <w:rFonts w:cs="Times New Roman"/>
        </w:rPr>
        <w:t xml:space="preserve">, Malo </w:t>
      </w:r>
      <w:proofErr w:type="spellStart"/>
      <w:r>
        <w:rPr>
          <w:rFonts w:cs="Times New Roman"/>
        </w:rPr>
        <w:t>Korenovo</w:t>
      </w:r>
      <w:proofErr w:type="spellEnd"/>
      <w:r>
        <w:rPr>
          <w:rFonts w:cs="Times New Roman"/>
        </w:rPr>
        <w:t xml:space="preserve"> 1</w:t>
      </w:r>
    </w:p>
    <w:p w:rsidRDefault="00924162" w:rsidP="00924162" w:rsidR="00924162">
      <w:pPr>
        <w:ind w:left="1416"/>
        <w:contextualSpacing/>
        <w:rPr>
          <w:rFonts w:cs="Times New Roman"/>
        </w:rPr>
      </w:pPr>
      <w:r>
        <w:rPr>
          <w:rFonts w:cs="Times New Roman"/>
        </w:rPr>
        <w:t>- član društva</w:t>
      </w:r>
    </w:p>
    <w:p w:rsidRDefault="00924162" w:rsidP="00924162" w:rsidR="00924162">
      <w:pPr>
        <w:pStyle w:val="Odlomakpopisa"/>
        <w:numPr>
          <w:ilvl w:val="0"/>
          <w:numId w:val="47"/>
        </w:numPr>
        <w:spacing w:lineRule="auto" w:line="276" w:after="200"/>
        <w:contextualSpacing/>
        <w:jc w:val="left"/>
        <w:rPr>
          <w:rFonts w:cs="Times New Roman"/>
        </w:rPr>
      </w:pPr>
      <w:r>
        <w:rPr>
          <w:rFonts w:cs="Times New Roman"/>
        </w:rPr>
        <w:t xml:space="preserve">Milenko Vučković, OIB: 18347536633, Veliko </w:t>
      </w:r>
      <w:proofErr w:type="spellStart"/>
      <w:r>
        <w:rPr>
          <w:rFonts w:cs="Times New Roman"/>
        </w:rPr>
        <w:t>Korenovo</w:t>
      </w:r>
      <w:proofErr w:type="spellEnd"/>
      <w:r>
        <w:rPr>
          <w:rFonts w:cs="Times New Roman"/>
        </w:rPr>
        <w:t xml:space="preserve">, Veliko </w:t>
      </w:r>
      <w:proofErr w:type="spellStart"/>
      <w:r>
        <w:rPr>
          <w:rFonts w:cs="Times New Roman"/>
        </w:rPr>
        <w:t>Korenovo</w:t>
      </w:r>
      <w:proofErr w:type="spellEnd"/>
      <w:r>
        <w:rPr>
          <w:rFonts w:cs="Times New Roman"/>
        </w:rPr>
        <w:t xml:space="preserve"> 128</w:t>
      </w:r>
    </w:p>
    <w:p w:rsidRDefault="00924162" w:rsidP="00924162" w:rsidR="00924162">
      <w:pPr>
        <w:ind w:left="1416"/>
        <w:contextualSpacing/>
        <w:rPr>
          <w:rFonts w:cs="Times New Roman"/>
        </w:rPr>
      </w:pPr>
      <w:r>
        <w:rPr>
          <w:rFonts w:cs="Times New Roman"/>
        </w:rPr>
        <w:t>- član društva</w:t>
      </w:r>
    </w:p>
    <w:p w:rsidRDefault="00924162" w:rsidP="00924162" w:rsidR="00924162">
      <w:pPr>
        <w:pStyle w:val="Odlomakpopisa"/>
        <w:numPr>
          <w:ilvl w:val="0"/>
          <w:numId w:val="47"/>
        </w:numPr>
        <w:spacing w:lineRule="auto" w:line="276" w:after="200"/>
        <w:contextualSpacing/>
        <w:jc w:val="left"/>
        <w:rPr>
          <w:rFonts w:cs="Times New Roman"/>
        </w:rPr>
      </w:pPr>
      <w:r>
        <w:rPr>
          <w:rFonts w:cs="Times New Roman"/>
        </w:rPr>
        <w:t xml:space="preserve">Mladen Vukmanović, OIB: 20392730015, </w:t>
      </w:r>
      <w:proofErr w:type="spellStart"/>
      <w:r>
        <w:rPr>
          <w:rFonts w:cs="Times New Roman"/>
        </w:rPr>
        <w:t>Bulinac</w:t>
      </w:r>
      <w:proofErr w:type="spellEnd"/>
      <w:r>
        <w:rPr>
          <w:rFonts w:cs="Times New Roman"/>
        </w:rPr>
        <w:t xml:space="preserve">, </w:t>
      </w:r>
      <w:proofErr w:type="spellStart"/>
      <w:r>
        <w:rPr>
          <w:rFonts w:cs="Times New Roman"/>
        </w:rPr>
        <w:t>Bulinac</w:t>
      </w:r>
      <w:proofErr w:type="spellEnd"/>
      <w:r>
        <w:rPr>
          <w:rFonts w:cs="Times New Roman"/>
        </w:rPr>
        <w:t xml:space="preserve"> 79</w:t>
      </w:r>
    </w:p>
    <w:p w:rsidRDefault="00924162" w:rsidP="00924162" w:rsidR="00924162">
      <w:pPr>
        <w:ind w:left="1416"/>
        <w:contextualSpacing/>
        <w:rPr>
          <w:rFonts w:cs="Times New Roman"/>
        </w:rPr>
      </w:pPr>
      <w:r>
        <w:rPr>
          <w:rFonts w:cs="Times New Roman"/>
        </w:rPr>
        <w:t>- član društva</w:t>
      </w:r>
    </w:p>
    <w:p w:rsidRDefault="00924162" w:rsidP="00924162" w:rsidR="00924162">
      <w:pPr>
        <w:pStyle w:val="Odlomakpopisa"/>
        <w:numPr>
          <w:ilvl w:val="0"/>
          <w:numId w:val="47"/>
        </w:numPr>
        <w:spacing w:lineRule="auto" w:line="276" w:after="200"/>
        <w:contextualSpacing/>
        <w:jc w:val="left"/>
        <w:rPr>
          <w:rFonts w:cs="Times New Roman"/>
        </w:rPr>
      </w:pPr>
      <w:r>
        <w:rPr>
          <w:rFonts w:cs="Times New Roman"/>
        </w:rPr>
        <w:t xml:space="preserve">Danica </w:t>
      </w:r>
      <w:proofErr w:type="spellStart"/>
      <w:r>
        <w:rPr>
          <w:rFonts w:cs="Times New Roman"/>
        </w:rPr>
        <w:t>Vuko</w:t>
      </w:r>
      <w:proofErr w:type="spellEnd"/>
      <w:r>
        <w:rPr>
          <w:rFonts w:cs="Times New Roman"/>
        </w:rPr>
        <w:t xml:space="preserve">, OIB: 45408922600, Bjelovar, </w:t>
      </w:r>
      <w:proofErr w:type="spellStart"/>
      <w:r>
        <w:rPr>
          <w:rFonts w:cs="Times New Roman"/>
        </w:rPr>
        <w:t>Osvalda</w:t>
      </w:r>
      <w:proofErr w:type="spellEnd"/>
      <w:r>
        <w:rPr>
          <w:rFonts w:cs="Times New Roman"/>
        </w:rPr>
        <w:t xml:space="preserve"> </w:t>
      </w:r>
      <w:proofErr w:type="spellStart"/>
      <w:r>
        <w:rPr>
          <w:rFonts w:cs="Times New Roman"/>
        </w:rPr>
        <w:t>Totha</w:t>
      </w:r>
      <w:proofErr w:type="spellEnd"/>
      <w:r>
        <w:rPr>
          <w:rFonts w:cs="Times New Roman"/>
        </w:rPr>
        <w:t xml:space="preserve"> 8</w:t>
      </w:r>
    </w:p>
    <w:p w:rsidRDefault="00924162" w:rsidP="00924162" w:rsidR="00924162">
      <w:pPr>
        <w:ind w:left="1416"/>
        <w:contextualSpacing/>
        <w:rPr>
          <w:rFonts w:cs="Times New Roman"/>
        </w:rPr>
      </w:pPr>
      <w:r>
        <w:rPr>
          <w:rFonts w:cs="Times New Roman"/>
        </w:rPr>
        <w:t>- član društva</w:t>
      </w:r>
    </w:p>
    <w:p w:rsidRDefault="00924162" w:rsidP="00924162" w:rsidR="00924162">
      <w:pPr>
        <w:pStyle w:val="Odlomakpopisa"/>
        <w:numPr>
          <w:ilvl w:val="0"/>
          <w:numId w:val="47"/>
        </w:numPr>
        <w:spacing w:lineRule="auto" w:line="276" w:after="200"/>
        <w:contextualSpacing/>
        <w:jc w:val="left"/>
        <w:rPr>
          <w:rFonts w:cs="Times New Roman"/>
        </w:rPr>
      </w:pPr>
      <w:r>
        <w:rPr>
          <w:rFonts w:cs="Times New Roman"/>
        </w:rPr>
        <w:t xml:space="preserve">SLAVKO ZBOŽINEK, OIB: 22014021711, </w:t>
      </w:r>
      <w:proofErr w:type="spellStart"/>
      <w:r>
        <w:rPr>
          <w:rFonts w:cs="Times New Roman"/>
        </w:rPr>
        <w:t>Bulinac</w:t>
      </w:r>
      <w:proofErr w:type="spellEnd"/>
      <w:r>
        <w:rPr>
          <w:rFonts w:cs="Times New Roman"/>
        </w:rPr>
        <w:t xml:space="preserve">, </w:t>
      </w:r>
      <w:proofErr w:type="spellStart"/>
      <w:r>
        <w:rPr>
          <w:rFonts w:cs="Times New Roman"/>
        </w:rPr>
        <w:t>Bulinac</w:t>
      </w:r>
      <w:proofErr w:type="spellEnd"/>
      <w:r>
        <w:rPr>
          <w:rFonts w:cs="Times New Roman"/>
        </w:rPr>
        <w:t xml:space="preserve"> 174</w:t>
      </w:r>
    </w:p>
    <w:p w:rsidRDefault="00924162" w:rsidP="00924162" w:rsidR="00924162">
      <w:pPr>
        <w:ind w:left="1416"/>
        <w:contextualSpacing/>
        <w:rPr>
          <w:rFonts w:cs="Times New Roman"/>
        </w:rPr>
      </w:pPr>
      <w:r>
        <w:rPr>
          <w:rFonts w:cs="Times New Roman"/>
        </w:rPr>
        <w:t>- član društva</w:t>
      </w:r>
    </w:p>
    <w:p w:rsidRDefault="00924162" w:rsidP="00924162" w:rsidR="00924162">
      <w:pPr>
        <w:pStyle w:val="Odlomakpopisa"/>
        <w:numPr>
          <w:ilvl w:val="0"/>
          <w:numId w:val="47"/>
        </w:numPr>
        <w:spacing w:lineRule="auto" w:line="276" w:after="200"/>
        <w:contextualSpacing/>
        <w:jc w:val="left"/>
        <w:rPr>
          <w:rFonts w:cs="Times New Roman"/>
        </w:rPr>
      </w:pPr>
      <w:r>
        <w:rPr>
          <w:rFonts w:cs="Times New Roman"/>
        </w:rPr>
        <w:t xml:space="preserve">Jasenka Žaja, OIB: 68356497332, Bjelovar, </w:t>
      </w:r>
      <w:proofErr w:type="spellStart"/>
      <w:r>
        <w:rPr>
          <w:rFonts w:cs="Times New Roman"/>
        </w:rPr>
        <w:t>Vendelina</w:t>
      </w:r>
      <w:proofErr w:type="spellEnd"/>
      <w:r>
        <w:rPr>
          <w:rFonts w:cs="Times New Roman"/>
        </w:rPr>
        <w:t xml:space="preserve"> </w:t>
      </w:r>
      <w:proofErr w:type="spellStart"/>
      <w:r>
        <w:rPr>
          <w:rFonts w:cs="Times New Roman"/>
        </w:rPr>
        <w:t>Vošnjaka</w:t>
      </w:r>
      <w:proofErr w:type="spellEnd"/>
      <w:r>
        <w:rPr>
          <w:rFonts w:cs="Times New Roman"/>
        </w:rPr>
        <w:t xml:space="preserve"> 17</w:t>
      </w:r>
    </w:p>
    <w:p w:rsidRDefault="00924162" w:rsidP="00924162" w:rsidR="00924162">
      <w:pPr>
        <w:ind w:left="1416"/>
        <w:contextualSpacing/>
        <w:rPr>
          <w:rFonts w:cs="Times New Roman"/>
        </w:rPr>
      </w:pPr>
      <w:r>
        <w:rPr>
          <w:rFonts w:cs="Times New Roman"/>
        </w:rPr>
        <w:t>- član društva</w:t>
      </w:r>
    </w:p>
    <w:p w:rsidRDefault="00924162" w:rsidP="00924162" w:rsidR="00924162">
      <w:pPr>
        <w:pStyle w:val="Odlomakpopisa"/>
        <w:numPr>
          <w:ilvl w:val="0"/>
          <w:numId w:val="47"/>
        </w:numPr>
        <w:spacing w:lineRule="auto" w:line="276" w:after="200"/>
        <w:contextualSpacing/>
        <w:jc w:val="left"/>
        <w:rPr>
          <w:rFonts w:cs="Times New Roman"/>
        </w:rPr>
      </w:pPr>
      <w:r>
        <w:rPr>
          <w:rFonts w:cs="Times New Roman"/>
        </w:rPr>
        <w:t xml:space="preserve">Nada </w:t>
      </w:r>
      <w:proofErr w:type="spellStart"/>
      <w:r>
        <w:rPr>
          <w:rFonts w:cs="Times New Roman"/>
        </w:rPr>
        <w:t>Hegediš</w:t>
      </w:r>
      <w:proofErr w:type="spellEnd"/>
      <w:r>
        <w:rPr>
          <w:rFonts w:cs="Times New Roman"/>
        </w:rPr>
        <w:t>, OIB: 44467261413, Ždralovi, Daruvarska 21</w:t>
      </w:r>
    </w:p>
    <w:p w:rsidRDefault="00924162" w:rsidP="00924162" w:rsidR="00924162">
      <w:pPr>
        <w:ind w:left="1416"/>
        <w:contextualSpacing/>
        <w:rPr>
          <w:rFonts w:cs="Times New Roman"/>
        </w:rPr>
      </w:pPr>
      <w:r>
        <w:rPr>
          <w:rFonts w:cs="Times New Roman"/>
        </w:rPr>
        <w:t>- član društva</w:t>
      </w:r>
    </w:p>
    <w:p w:rsidRDefault="00924162" w:rsidP="00924162" w:rsidR="00924162">
      <w:pPr>
        <w:pStyle w:val="Odlomakpopisa"/>
        <w:numPr>
          <w:ilvl w:val="0"/>
          <w:numId w:val="47"/>
        </w:numPr>
        <w:spacing w:lineRule="auto" w:line="276" w:after="200"/>
        <w:contextualSpacing/>
        <w:jc w:val="left"/>
        <w:rPr>
          <w:rFonts w:cs="Times New Roman"/>
        </w:rPr>
      </w:pPr>
      <w:r>
        <w:rPr>
          <w:rFonts w:cs="Times New Roman"/>
        </w:rPr>
        <w:t>Gabrijela Belošević, OIB: 56077015541, Bjelovar, Krste Frankopana 70</w:t>
      </w:r>
    </w:p>
    <w:p w:rsidRDefault="00924162" w:rsidP="00924162" w:rsidR="00924162">
      <w:pPr>
        <w:ind w:left="1416"/>
        <w:contextualSpacing/>
        <w:rPr>
          <w:rFonts w:cs="Times New Roman"/>
        </w:rPr>
      </w:pPr>
      <w:r>
        <w:rPr>
          <w:rFonts w:cs="Times New Roman"/>
        </w:rPr>
        <w:t>- član društva</w:t>
      </w:r>
    </w:p>
    <w:p w:rsidRDefault="00924162" w:rsidP="00924162" w:rsidR="00924162">
      <w:pPr>
        <w:spacing w:lineRule="auto" w:line="360"/>
        <w:rPr>
          <w:rFonts w:cs="Times New Roman"/>
        </w:rPr>
      </w:pPr>
    </w:p>
    <w:p w:rsidRDefault="00924162" w:rsidP="00924162" w:rsidR="00924162">
      <w:pPr>
        <w:spacing w:lineRule="auto" w:line="360"/>
        <w:rPr>
          <w:rFonts w:cs="Times New Roman"/>
        </w:rPr>
      </w:pPr>
    </w:p>
    <w:p w:rsidRDefault="00924162" w:rsidP="00924162" w:rsidR="00924162">
      <w:pPr>
        <w:spacing w:lineRule="auto" w:line="360"/>
        <w:rPr>
          <w:rFonts w:cs="Times New Roman"/>
        </w:rPr>
      </w:pPr>
    </w:p>
    <w:p w:rsidRDefault="00924162" w:rsidP="00924162" w:rsidR="00924162">
      <w:pPr>
        <w:spacing w:lineRule="auto" w:line="360"/>
        <w:rPr>
          <w:rFonts w:cs="Times New Roman"/>
        </w:rPr>
      </w:pPr>
    </w:p>
    <w:p w:rsidRDefault="00924162" w:rsidP="00924162" w:rsidR="00924162">
      <w:pPr>
        <w:spacing w:lineRule="auto" w:line="360"/>
        <w:rPr>
          <w:rFonts w:cs="Times New Roman"/>
        </w:rPr>
      </w:pPr>
    </w:p>
    <w:p w:rsidRDefault="00924162" w:rsidP="00924162" w:rsidR="00924162">
      <w:pPr>
        <w:spacing w:lineRule="auto" w:line="360"/>
        <w:rPr>
          <w:rFonts w:cs="Times New Roman"/>
        </w:rPr>
      </w:pPr>
    </w:p>
    <w:p w:rsidRDefault="00924162" w:rsidP="00924162" w:rsidR="00924162">
      <w:pPr>
        <w:spacing w:lineRule="auto" w:line="360"/>
        <w:rPr>
          <w:rFonts w:cs="Times New Roman"/>
        </w:rPr>
      </w:pPr>
    </w:p>
    <w:p w:rsidRDefault="00924162" w:rsidP="00924162" w:rsidR="00924162">
      <w:pPr>
        <w:spacing w:lineRule="auto" w:line="360"/>
        <w:rPr>
          <w:rFonts w:cs="Times New Roman"/>
        </w:rPr>
      </w:pPr>
    </w:p>
    <w:p w:rsidRDefault="00924162" w:rsidP="00924162" w:rsidR="00924162">
      <w:pPr>
        <w:spacing w:lineRule="auto" w:line="360"/>
        <w:rPr>
          <w:rFonts w:cs="Times New Roman"/>
        </w:rPr>
      </w:pPr>
      <w:r>
        <w:rPr>
          <w:rFonts w:cs="Times New Roman"/>
        </w:rPr>
        <w:t>Osnivački akt:</w:t>
      </w:r>
    </w:p>
    <w:p w:rsidRDefault="00924162" w:rsidP="00924162" w:rsidR="00924162">
      <w:pPr>
        <w:spacing w:lineRule="auto" w:line="360"/>
        <w:jc w:val="both"/>
        <w:rPr>
          <w:rFonts w:cs="Times New Roman"/>
        </w:rPr>
      </w:pPr>
      <w:r>
        <w:rPr>
          <w:rFonts w:cs="Times New Roman"/>
        </w:rPr>
        <w:t>Statut društva usvojen je 28.04.1995. god. odlukom Skupštine</w:t>
      </w:r>
    </w:p>
    <w:p w:rsidRDefault="00924162" w:rsidP="00924162" w:rsidR="00924162">
      <w:pPr>
        <w:spacing w:lineRule="auto" w:line="360"/>
        <w:jc w:val="both"/>
        <w:rPr>
          <w:rFonts w:cs="Times New Roman"/>
        </w:rPr>
      </w:pPr>
      <w:r>
        <w:rPr>
          <w:rFonts w:cs="Times New Roman"/>
        </w:rPr>
        <w:t>Društveni ugovor od 14.kolovoza 2003. godine.</w:t>
      </w:r>
    </w:p>
    <w:p w:rsidRDefault="00924162" w:rsidP="00924162" w:rsidR="00924162">
      <w:pPr>
        <w:spacing w:lineRule="auto" w:line="360"/>
        <w:jc w:val="both"/>
        <w:rPr>
          <w:rFonts w:cs="Times New Roman"/>
        </w:rPr>
      </w:pPr>
      <w:r>
        <w:rPr>
          <w:rFonts w:cs="Times New Roman"/>
        </w:rPr>
        <w:t>Društveni ugovor - pročišćeni tekst od 25.srpnja 2006. godine. Odlukom o izmjenama i dopunama Društvenog ugovora od 25.srpnja 2006. godine, Skupština društva izmijenila je čl. 1. koji se odnosi na osnivače društva, čl. 6. koji se odnosi na iznose temeljnog uloga osnivača, te čl. 13. koji se odnosi na imenovanje direktora društva.</w:t>
      </w:r>
    </w:p>
    <w:p w:rsidRDefault="00924162" w:rsidP="00924162" w:rsidR="00924162">
      <w:pPr>
        <w:spacing w:lineRule="auto" w:line="360"/>
        <w:jc w:val="both"/>
        <w:rPr>
          <w:rFonts w:cs="Times New Roman"/>
        </w:rPr>
      </w:pPr>
      <w:r>
        <w:rPr>
          <w:rFonts w:cs="Times New Roman"/>
        </w:rPr>
        <w:t>Odlukom o promjeni Društvenog ugovora društva s ograničenom odgovornošću od 17.06.2011. godine Skupština društva je promijenila članke 1, 6, 7, 10, 15, 16. Društvenog ugovora koji se odnose na članove društva i nadzorni odbor koji je brisan, te su brisani članci 11. i 12., a dosadašnji članci 17., 18., 19., 20., 21., 22. i 23. postali su članci 15., 16., 17., 18., 19., 20. i 21.</w:t>
      </w:r>
    </w:p>
    <w:p w:rsidRDefault="00924162" w:rsidP="00924162" w:rsidR="00924162">
      <w:pPr>
        <w:spacing w:lineRule="auto" w:line="360"/>
        <w:jc w:val="both"/>
        <w:rPr>
          <w:rFonts w:cs="Times New Roman"/>
        </w:rPr>
      </w:pPr>
      <w:r>
        <w:rPr>
          <w:rFonts w:cs="Times New Roman"/>
        </w:rPr>
        <w:t>Društveni ugovor o osnivanju društva s ograničenom odgovornošću od 17.06.2011. godine - potpuni tekst.</w:t>
      </w:r>
    </w:p>
    <w:p w:rsidRDefault="00924162" w:rsidP="00924162" w:rsidR="00924162">
      <w:pPr>
        <w:spacing w:lineRule="auto" w:line="360"/>
        <w:jc w:val="both"/>
        <w:rPr>
          <w:rFonts w:cs="Times New Roman"/>
        </w:rPr>
      </w:pPr>
      <w:r>
        <w:rPr>
          <w:rFonts w:cs="Times New Roman"/>
        </w:rPr>
        <w:t xml:space="preserve">Odlukom o promjeni društvenog ugovora o osnivanju od 13.8.2012. godine skupština društva je promijenila čl. 1. </w:t>
      </w:r>
      <w:proofErr w:type="spellStart"/>
      <w:r>
        <w:rPr>
          <w:rFonts w:cs="Times New Roman"/>
        </w:rPr>
        <w:t>toč</w:t>
      </w:r>
      <w:proofErr w:type="spellEnd"/>
      <w:r>
        <w:rPr>
          <w:rFonts w:cs="Times New Roman"/>
        </w:rPr>
        <w:t xml:space="preserve">. 7. i 23. i čl. 6. </w:t>
      </w:r>
      <w:proofErr w:type="spellStart"/>
      <w:r>
        <w:rPr>
          <w:rFonts w:cs="Times New Roman"/>
        </w:rPr>
        <w:t>toč</w:t>
      </w:r>
      <w:proofErr w:type="spellEnd"/>
      <w:r>
        <w:rPr>
          <w:rFonts w:cs="Times New Roman"/>
        </w:rPr>
        <w:t>. 7. i 23. društvenog ugovora koji se odnose na osobne podatke članova društva, brisan je čl. 14. društvenog ugovora koji se odnosi na ustup dijela, promijenjen je čl. 15. koji je postao čl. 14. a odnosi se na prijenos udjela, brisan je čl. 16. koji se odnosi na povlačenje udjela, te su čl. 17., 18., 19., 20. i 21. postali čl. 15., 16., 17., 18. i 19.</w:t>
      </w:r>
    </w:p>
    <w:p w:rsidRDefault="00924162" w:rsidP="00924162" w:rsidR="00924162">
      <w:pPr>
        <w:spacing w:lineRule="auto" w:line="360"/>
        <w:jc w:val="both"/>
        <w:rPr>
          <w:rFonts w:cs="Times New Roman"/>
        </w:rPr>
      </w:pPr>
      <w:r>
        <w:rPr>
          <w:rFonts w:cs="Times New Roman"/>
        </w:rPr>
        <w:t>Društveni ugovor o osnivanju od 13.8.2012. godine - potpuni tekst.</w:t>
      </w:r>
    </w:p>
    <w:p w:rsidRDefault="00924162" w:rsidP="00924162" w:rsidR="00924162">
      <w:pPr>
        <w:spacing w:lineRule="auto" w:line="360"/>
        <w:jc w:val="both"/>
        <w:rPr>
          <w:rFonts w:cs="Times New Roman"/>
        </w:rPr>
      </w:pPr>
      <w:r>
        <w:rPr>
          <w:rFonts w:cs="Times New Roman"/>
        </w:rPr>
        <w:t>Odlukom o smanjenju temeljnog kapitala te promjeni društvenog ugovora o osnivanju društva s ograničenom odgovornošću od 05. lipnja 2013. godine skupština društva je promijenila članke 5. i 6. Društvenog ugovora o osnivanju društva s ograničenom odgovornošću koji se odnose na temeljni kapital i visinu poslovnih udjela društva.</w:t>
      </w:r>
    </w:p>
    <w:p w:rsidRDefault="00924162" w:rsidP="00924162" w:rsidR="00924162">
      <w:pPr>
        <w:spacing w:lineRule="auto" w:line="360"/>
        <w:jc w:val="both"/>
        <w:rPr>
          <w:rFonts w:cs="Times New Roman"/>
        </w:rPr>
      </w:pPr>
      <w:r>
        <w:rPr>
          <w:rFonts w:cs="Times New Roman"/>
        </w:rPr>
        <w:t xml:space="preserve">Odlukom o smanjenju temeljnog kapitala te promjeni </w:t>
      </w:r>
      <w:proofErr w:type="spellStart"/>
      <w:r>
        <w:rPr>
          <w:rFonts w:cs="Times New Roman"/>
        </w:rPr>
        <w:t>Duštvenog</w:t>
      </w:r>
      <w:proofErr w:type="spellEnd"/>
      <w:r>
        <w:rPr>
          <w:rFonts w:cs="Times New Roman"/>
        </w:rPr>
        <w:t xml:space="preserve"> ugovora o osnivanju društva s </w:t>
      </w:r>
      <w:proofErr w:type="spellStart"/>
      <w:r>
        <w:rPr>
          <w:rFonts w:cs="Times New Roman"/>
        </w:rPr>
        <w:t>oganičenom</w:t>
      </w:r>
      <w:proofErr w:type="spellEnd"/>
      <w:r>
        <w:rPr>
          <w:rFonts w:cs="Times New Roman"/>
        </w:rPr>
        <w:t xml:space="preserve"> odgovornošću od 5. lipnja 2013. godine skupština društva je promijenila članak </w:t>
      </w:r>
      <w:r>
        <w:rPr>
          <w:rFonts w:cs="Times New Roman"/>
        </w:rPr>
        <w:lastRenderedPageBreak/>
        <w:t>5. i 6. Društvenog ugovora o osnivanju društva s ograničenom odgovornošću koji se odnose na temeljni kapital i visinu poslovnih udjela društva.</w:t>
      </w:r>
    </w:p>
    <w:p w:rsidRDefault="00924162" w:rsidP="00924162" w:rsidR="00924162">
      <w:pPr>
        <w:spacing w:lineRule="auto" w:line="360"/>
        <w:jc w:val="both"/>
        <w:rPr>
          <w:rFonts w:cs="Times New Roman"/>
        </w:rPr>
      </w:pPr>
      <w:r>
        <w:rPr>
          <w:rFonts w:cs="Times New Roman"/>
        </w:rPr>
        <w:t>Društveni ugovor o osnivanju d.o.o. od 5. lipnja 2013. godine - potpuni tekst s potvrdom.</w:t>
      </w:r>
    </w:p>
    <w:p w:rsidRDefault="00924162" w:rsidP="00924162" w:rsidR="00924162">
      <w:pPr>
        <w:spacing w:lineRule="auto" w:line="360"/>
        <w:jc w:val="both"/>
        <w:rPr>
          <w:rFonts w:cs="Times New Roman"/>
        </w:rPr>
      </w:pPr>
      <w:r>
        <w:rPr>
          <w:rFonts w:cs="Times New Roman"/>
        </w:rPr>
        <w:t>Statut:</w:t>
      </w:r>
    </w:p>
    <w:p w:rsidRDefault="00924162" w:rsidP="00924162" w:rsidR="00924162">
      <w:pPr>
        <w:spacing w:lineRule="auto" w:line="360"/>
        <w:jc w:val="both"/>
        <w:rPr>
          <w:rFonts w:cs="Times New Roman"/>
        </w:rPr>
      </w:pPr>
      <w:r>
        <w:rPr>
          <w:rFonts w:cs="Times New Roman"/>
        </w:rPr>
        <w:t xml:space="preserve">Statut </w:t>
      </w:r>
      <w:proofErr w:type="spellStart"/>
      <w:r>
        <w:rPr>
          <w:rFonts w:cs="Times New Roman"/>
        </w:rPr>
        <w:t>izmjenjen</w:t>
      </w:r>
      <w:proofErr w:type="spellEnd"/>
      <w:r>
        <w:rPr>
          <w:rFonts w:cs="Times New Roman"/>
        </w:rPr>
        <w:t xml:space="preserve"> odlukom Glavne skupštine od 08.lipnja 1998. g. Statut je </w:t>
      </w:r>
      <w:proofErr w:type="spellStart"/>
      <w:r>
        <w:rPr>
          <w:rFonts w:cs="Times New Roman"/>
        </w:rPr>
        <w:t>izmjenjen</w:t>
      </w:r>
      <w:proofErr w:type="spellEnd"/>
      <w:r>
        <w:rPr>
          <w:rFonts w:cs="Times New Roman"/>
        </w:rPr>
        <w:t xml:space="preserve"> u dijelu koji regulira visinu temeljnog kapitala (čl. 12., 13. i 14.) , te visinu naknade članovima Nadzornog odbora (čl.33.st.1.)</w:t>
      </w:r>
    </w:p>
    <w:p w:rsidRDefault="00924162" w:rsidP="00924162" w:rsidR="00924162">
      <w:pPr>
        <w:spacing w:lineRule="auto" w:line="360"/>
        <w:jc w:val="both"/>
        <w:rPr>
          <w:rFonts w:cs="Times New Roman"/>
        </w:rPr>
      </w:pPr>
      <w:r>
        <w:rPr>
          <w:rFonts w:cs="Times New Roman"/>
        </w:rPr>
        <w:t xml:space="preserve">Statut </w:t>
      </w:r>
      <w:proofErr w:type="spellStart"/>
      <w:r>
        <w:rPr>
          <w:rFonts w:cs="Times New Roman"/>
        </w:rPr>
        <w:t>izmjenjen</w:t>
      </w:r>
      <w:proofErr w:type="spellEnd"/>
      <w:r>
        <w:rPr>
          <w:rFonts w:cs="Times New Roman"/>
        </w:rPr>
        <w:t xml:space="preserve"> odlukom Glavne skupštine od 10.9.1999.g.</w:t>
      </w:r>
    </w:p>
    <w:p w:rsidRDefault="00924162" w:rsidP="00924162" w:rsidR="00924162">
      <w:pPr>
        <w:spacing w:lineRule="auto" w:line="360"/>
        <w:jc w:val="both"/>
        <w:rPr>
          <w:rFonts w:cs="Times New Roman"/>
        </w:rPr>
      </w:pPr>
    </w:p>
    <w:p w:rsidRDefault="00924162" w:rsidP="00924162" w:rsidR="00924162">
      <w:pPr>
        <w:spacing w:lineRule="auto" w:line="360"/>
        <w:jc w:val="both"/>
        <w:rPr>
          <w:rFonts w:cs="Times New Roman"/>
        </w:rPr>
      </w:pPr>
    </w:p>
    <w:p w:rsidRDefault="00924162" w:rsidP="00924162" w:rsidR="00924162">
      <w:pPr>
        <w:spacing w:lineRule="auto" w:line="360"/>
        <w:jc w:val="both"/>
        <w:rPr>
          <w:rFonts w:cs="Times New Roman"/>
        </w:rPr>
      </w:pPr>
    </w:p>
    <w:p w:rsidRDefault="00924162" w:rsidP="00924162" w:rsidR="00924162">
      <w:pPr>
        <w:spacing w:lineRule="auto" w:line="360"/>
        <w:jc w:val="both"/>
        <w:rPr>
          <w:rFonts w:cs="Times New Roman"/>
        </w:rPr>
      </w:pPr>
    </w:p>
    <w:p w:rsidRDefault="00924162" w:rsidP="00924162" w:rsidR="00924162">
      <w:pPr>
        <w:spacing w:lineRule="auto" w:line="360"/>
        <w:jc w:val="both"/>
        <w:rPr>
          <w:rFonts w:cs="Times New Roman"/>
        </w:rPr>
      </w:pPr>
    </w:p>
    <w:p w:rsidRDefault="00924162" w:rsidP="00924162" w:rsidR="00924162">
      <w:pPr>
        <w:spacing w:lineRule="auto" w:line="360"/>
        <w:jc w:val="both"/>
        <w:rPr>
          <w:rFonts w:cs="Times New Roman"/>
        </w:rPr>
      </w:pPr>
    </w:p>
    <w:p w:rsidRDefault="00924162" w:rsidP="00924162" w:rsidR="00924162">
      <w:pPr>
        <w:spacing w:lineRule="auto" w:line="360"/>
        <w:jc w:val="both"/>
        <w:rPr>
          <w:rFonts w:cs="Times New Roman"/>
        </w:rPr>
      </w:pPr>
    </w:p>
    <w:p w:rsidRDefault="00924162" w:rsidP="00924162" w:rsidR="00924162">
      <w:pPr>
        <w:spacing w:lineRule="auto" w:line="360"/>
        <w:jc w:val="both"/>
        <w:rPr>
          <w:rFonts w:cs="Times New Roman"/>
        </w:rPr>
      </w:pPr>
    </w:p>
    <w:p w:rsidRDefault="00924162" w:rsidP="00924162" w:rsidR="00924162">
      <w:pPr>
        <w:spacing w:lineRule="auto" w:line="360"/>
        <w:jc w:val="both"/>
        <w:rPr>
          <w:rFonts w:cs="Times New Roman"/>
        </w:rPr>
      </w:pPr>
    </w:p>
    <w:p w:rsidRDefault="00924162" w:rsidP="00924162" w:rsidR="00924162">
      <w:pPr>
        <w:spacing w:lineRule="auto" w:line="360"/>
        <w:jc w:val="both"/>
        <w:rPr>
          <w:rFonts w:cs="Times New Roman"/>
        </w:rPr>
      </w:pPr>
    </w:p>
    <w:p w:rsidRDefault="00924162" w:rsidP="00924162" w:rsidR="00924162">
      <w:pPr>
        <w:spacing w:lineRule="auto" w:line="360"/>
        <w:jc w:val="both"/>
        <w:rPr>
          <w:rFonts w:cs="Times New Roman"/>
        </w:rPr>
      </w:pPr>
    </w:p>
    <w:p w:rsidRDefault="00924162" w:rsidP="00924162" w:rsidR="00924162">
      <w:pPr>
        <w:spacing w:lineRule="auto" w:line="360"/>
        <w:jc w:val="both"/>
        <w:rPr>
          <w:rFonts w:cs="Times New Roman"/>
        </w:rPr>
      </w:pPr>
    </w:p>
    <w:p w:rsidRDefault="00924162" w:rsidP="00924162" w:rsidR="00924162">
      <w:pPr>
        <w:spacing w:lineRule="auto" w:line="360"/>
        <w:jc w:val="both"/>
        <w:rPr>
          <w:rFonts w:cs="Times New Roman"/>
        </w:rPr>
      </w:pPr>
    </w:p>
    <w:p w:rsidRDefault="00924162" w:rsidP="00924162" w:rsidR="00924162">
      <w:pPr>
        <w:spacing w:lineRule="auto" w:line="360"/>
        <w:jc w:val="both"/>
        <w:rPr>
          <w:rFonts w:cs="Times New Roman"/>
        </w:rPr>
      </w:pPr>
    </w:p>
    <w:p w:rsidRDefault="00924162" w:rsidP="00924162" w:rsidR="00924162">
      <w:pPr>
        <w:spacing w:lineRule="auto" w:line="360"/>
        <w:jc w:val="both"/>
        <w:rPr>
          <w:rFonts w:cs="Times New Roman"/>
        </w:rPr>
      </w:pPr>
    </w:p>
    <w:p w:rsidRDefault="00924162" w:rsidP="00924162" w:rsidR="00924162">
      <w:pPr>
        <w:spacing w:lineRule="auto" w:line="360"/>
        <w:jc w:val="both"/>
        <w:rPr>
          <w:rFonts w:cs="Times New Roman"/>
        </w:rPr>
      </w:pPr>
    </w:p>
    <w:p w:rsidRDefault="00924162" w:rsidP="00924162" w:rsidR="00924162">
      <w:pPr>
        <w:spacing w:lineRule="auto" w:line="360"/>
        <w:jc w:val="both"/>
        <w:rPr>
          <w:rFonts w:cs="Times New Roman"/>
        </w:rPr>
      </w:pPr>
    </w:p>
    <w:p w:rsidRDefault="00924162" w:rsidP="00924162" w:rsidR="00924162">
      <w:pPr>
        <w:spacing w:lineRule="auto" w:line="360"/>
        <w:jc w:val="both"/>
        <w:rPr>
          <w:rFonts w:cs="Times New Roman"/>
        </w:rPr>
      </w:pPr>
    </w:p>
    <w:p w:rsidRDefault="00924162" w:rsidP="00924162" w:rsidR="00924162">
      <w:pPr>
        <w:spacing w:lineRule="auto" w:line="360"/>
        <w:rPr>
          <w:rFonts w:cs="Times New Roman"/>
        </w:rPr>
      </w:pPr>
      <w:r>
        <w:rPr>
          <w:rFonts w:cs="Times New Roman"/>
        </w:rPr>
        <w:t>Temeljni kapital:  1.223.000,00 kuna</w:t>
      </w:r>
    </w:p>
    <w:p w:rsidRDefault="00924162" w:rsidP="00924162" w:rsidR="00924162">
      <w:pPr>
        <w:spacing w:lineRule="auto" w:line="360"/>
        <w:jc w:val="both"/>
        <w:rPr>
          <w:rFonts w:cs="Times New Roman"/>
        </w:rPr>
      </w:pPr>
      <w:r>
        <w:rPr>
          <w:rFonts w:cs="Times New Roman"/>
        </w:rPr>
        <w:t>Promjene temeljnog kapitala:</w:t>
      </w:r>
    </w:p>
    <w:p w:rsidRDefault="00924162" w:rsidP="00924162" w:rsidR="00924162">
      <w:pPr>
        <w:spacing w:lineRule="auto" w:line="360"/>
        <w:jc w:val="both"/>
        <w:rPr>
          <w:rFonts w:cs="Times New Roman"/>
        </w:rPr>
      </w:pPr>
      <w:r>
        <w:rPr>
          <w:rFonts w:cs="Times New Roman"/>
        </w:rPr>
        <w:t>Odlukom Glavne skupštine od 08.lipnja 1998.g. temeljni kapital je povećan sa 8.664.000,00 kn na 9.294.800,00 kn Ukupan broj dionica povećan je za novoemitiranu ˝B˝ seriju redovnih dionica u ukupnom iznosu od 166 komada nominalne vrijednosti 3.800,00 kn</w:t>
      </w:r>
    </w:p>
    <w:p w:rsidRDefault="00924162" w:rsidP="00924162" w:rsidR="00924162">
      <w:pPr>
        <w:spacing w:lineRule="auto" w:line="360"/>
        <w:jc w:val="both"/>
        <w:rPr>
          <w:rFonts w:cs="Times New Roman"/>
        </w:rPr>
      </w:pPr>
      <w:r>
        <w:rPr>
          <w:rFonts w:cs="Times New Roman"/>
        </w:rPr>
        <w:t>Temeljni kapital smanjen sa 9.924.800,00 kn na 6.115.000,00 kn. Nominalna vrijednost jedne dionice smanjena sa 3.800,00 kn na 2.500,00 kn. Broj dionica ostao je isti.</w:t>
      </w:r>
    </w:p>
    <w:p w:rsidRDefault="00924162" w:rsidP="00924162" w:rsidR="00924162">
      <w:pPr>
        <w:spacing w:lineRule="auto" w:line="360"/>
        <w:jc w:val="both"/>
        <w:rPr>
          <w:rFonts w:cs="Times New Roman"/>
        </w:rPr>
      </w:pPr>
      <w:r>
        <w:rPr>
          <w:rFonts w:cs="Times New Roman"/>
        </w:rPr>
        <w:t>Odlukom o smanjenju temeljnog kapitala te promjeni društvenog ugovora o osnivanju društva s ograničenom odgovornošću od 05. lipnja 2013. godine članovi društva na skupštini smanjuju temeljni kapital društva sa iznosa od 6.115.000,00 kn za iznos od 4.892.000,00 kn na iznos od 1.223.000,00 kn, sniženjem nominalnih iznosa poslovnih udjela članova društva sa svrhom formiranja rezervi kapitala.</w:t>
      </w:r>
    </w:p>
    <w:p w:rsidRDefault="00924162" w:rsidP="00924162" w:rsidR="00924162">
      <w:pPr>
        <w:spacing w:lineRule="auto" w:line="360"/>
        <w:jc w:val="both"/>
        <w:rPr>
          <w:rFonts w:cs="Times New Roman"/>
        </w:rPr>
      </w:pPr>
      <w:r>
        <w:rPr>
          <w:rFonts w:cs="Times New Roman"/>
        </w:rPr>
        <w:t>Odlukom o smanjenju temeljnog kapitala, te promjeni Društvenog ugovora o osnivanju društva s ograničenom odgovornošću od 5. lipnja 2013. godine članovi društva na skupštini smanjuju temeljni kapital društva s iznosa 6.115.000,00 kuna za iznos 4.892.000,00 kuna na iznos od 1.223.000,00 kuna, sniženjem nominalnih iznosa poslovnih udjela članova društva sa svrhom formiranja rezervi kapitala.</w:t>
      </w:r>
    </w:p>
    <w:p w:rsidRDefault="00924162" w:rsidP="00924162" w:rsidR="00924162">
      <w:pPr>
        <w:spacing w:lineRule="auto" w:line="360"/>
        <w:rPr>
          <w:rFonts w:cs="Times New Roman"/>
        </w:rPr>
      </w:pPr>
      <w:r>
        <w:rPr>
          <w:rFonts w:cs="Times New Roman"/>
        </w:rPr>
        <w:t>Osobe ovlaštene za zastupanje: Josip Belošević, OIB: 88477086610</w:t>
      </w:r>
    </w:p>
    <w:p w:rsidRDefault="00924162" w:rsidP="00924162" w:rsidR="00924162">
      <w:pPr>
        <w:spacing w:lineRule="auto" w:line="360"/>
        <w:ind w:firstLine="708" w:left="2832"/>
        <w:contextualSpacing/>
        <w:rPr>
          <w:rFonts w:cs="Times New Roman"/>
        </w:rPr>
      </w:pPr>
      <w:r>
        <w:rPr>
          <w:rFonts w:cs="Times New Roman"/>
        </w:rPr>
        <w:t>Bjelovar, Krste Frankopana 70</w:t>
      </w:r>
    </w:p>
    <w:p w:rsidRDefault="00924162" w:rsidP="00924162" w:rsidR="00924162">
      <w:pPr>
        <w:spacing w:lineRule="auto" w:line="360"/>
        <w:ind w:firstLine="708" w:left="2832"/>
        <w:contextualSpacing/>
        <w:rPr>
          <w:rFonts w:cs="Times New Roman"/>
        </w:rPr>
      </w:pPr>
      <w:r>
        <w:rPr>
          <w:rFonts w:cs="Times New Roman"/>
        </w:rPr>
        <w:t>- direktor</w:t>
      </w:r>
    </w:p>
    <w:p w:rsidRDefault="00924162" w:rsidP="00924162" w:rsidR="00924162">
      <w:pPr>
        <w:spacing w:lineRule="auto" w:line="360"/>
        <w:ind w:firstLine="708" w:left="2832"/>
        <w:contextualSpacing/>
        <w:rPr>
          <w:rFonts w:cs="Times New Roman"/>
        </w:rPr>
      </w:pPr>
      <w:r>
        <w:rPr>
          <w:rFonts w:cs="Times New Roman"/>
        </w:rPr>
        <w:t>- zastupa društvo samostalno i pojedinačno</w:t>
      </w:r>
    </w:p>
    <w:p w:rsidRDefault="00924162" w:rsidP="00924162" w:rsidR="00924162">
      <w:pPr>
        <w:spacing w:lineRule="auto" w:line="360"/>
        <w:rPr>
          <w:rFonts w:cs="Times New Roman"/>
        </w:rPr>
      </w:pPr>
    </w:p>
    <w:p w:rsidRDefault="00924162" w:rsidP="00924162" w:rsidR="00924162">
      <w:pPr>
        <w:spacing w:lineRule="auto" w:line="360"/>
        <w:rPr>
          <w:rFonts w:cs="Times New Roman" w:eastAsia="Times New Roman"/>
          <w:lang w:eastAsia="hr-HR"/>
        </w:rPr>
      </w:pPr>
      <w:r>
        <w:rPr>
          <w:rFonts w:cs="Times New Roman" w:eastAsia="Times New Roman"/>
          <w:lang w:eastAsia="hr-HR"/>
        </w:rPr>
        <w:t>Broj zaposlenih na dan (30.06.2016.): 13</w:t>
      </w:r>
    </w:p>
    <w:p w:rsidRDefault="00924162" w:rsidP="00924162" w:rsidR="00924162">
      <w:pPr>
        <w:rPr>
          <w:rFonts w:cs="Times New Roman" w:eastAsia="Times New Roman"/>
          <w:lang w:eastAsia="hr-HR"/>
        </w:rPr>
      </w:pPr>
    </w:p>
    <w:p w:rsidRDefault="00924162" w:rsidP="00924162" w:rsidR="00924162">
      <w:pPr>
        <w:rPr>
          <w:rFonts w:cs="Times New Roman" w:eastAsia="Times New Roman"/>
          <w:lang w:eastAsia="hr-HR"/>
        </w:rPr>
      </w:pPr>
    </w:p>
    <w:p w:rsidRDefault="00924162" w:rsidP="00924162" w:rsidR="00924162">
      <w:pPr>
        <w:rPr>
          <w:rFonts w:cs="Times New Roman" w:eastAsia="Times New Roman"/>
          <w:lang w:eastAsia="hr-HR"/>
        </w:rPr>
      </w:pPr>
    </w:p>
    <w:p w:rsidRDefault="00924162" w:rsidP="00924162" w:rsidR="00924162">
      <w:pPr>
        <w:rPr>
          <w:rFonts w:cs="Times New Roman" w:eastAsia="Times New Roman"/>
          <w:lang w:eastAsia="hr-HR"/>
        </w:rPr>
      </w:pPr>
    </w:p>
    <w:p w:rsidRDefault="00924162" w:rsidP="00924162" w:rsidR="00924162">
      <w:pPr>
        <w:rPr>
          <w:rFonts w:cs="Times New Roman" w:eastAsia="Times New Roman"/>
          <w:lang w:eastAsia="hr-HR"/>
        </w:rPr>
      </w:pPr>
    </w:p>
    <w:p w:rsidRDefault="00924162" w:rsidP="00924162" w:rsidR="00924162">
      <w:pPr>
        <w:pStyle w:val="Naslov3"/>
        <w:numPr>
          <w:ilvl w:val="0"/>
          <w:numId w:val="45"/>
        </w:numPr>
        <w:spacing w:lineRule="auto" w:line="276" w:after="0"/>
        <w:rPr>
          <w:rFonts w:cs="Times New Roman" w:eastAsia="Times New Roman"/>
          <w:lang w:eastAsia="hr-HR"/>
        </w:rPr>
      </w:pPr>
      <w:bookmarkStart w:name="_Toc458436240" w:id="6"/>
      <w:bookmarkStart w:name="_Toc432416050" w:id="7"/>
      <w:bookmarkStart w:name="_Toc430627148" w:id="8"/>
      <w:r>
        <w:rPr>
          <w:rFonts w:cs="Times New Roman" w:eastAsia="Times New Roman"/>
          <w:lang w:eastAsia="hr-HR"/>
        </w:rPr>
        <w:t>Predmet poslovanja</w:t>
      </w:r>
      <w:bookmarkEnd w:id="6"/>
      <w:bookmarkEnd w:id="7"/>
      <w:bookmarkEnd w:id="8"/>
    </w:p>
    <w:p w:rsidRDefault="00924162" w:rsidP="00924162" w:rsidR="00924162">
      <w:pPr>
        <w:rPr>
          <w:rFonts w:cs="Times New Roman"/>
        </w:rPr>
      </w:pPr>
      <w:r>
        <w:rPr>
          <w:rFonts w:cs="Times New Roman"/>
          <w:lang w:eastAsia="hr-HR"/>
        </w:rPr>
        <w:br/>
        <w:t>D</w:t>
      </w:r>
      <w:r>
        <w:rPr>
          <w:rFonts w:cs="Times New Roman"/>
        </w:rPr>
        <w:t xml:space="preserve">ruštvo RATARSTVO d.o.o. je registrirano za sljedeće djelatnosti: </w:t>
      </w:r>
    </w:p>
    <w:p w:rsidRDefault="00924162" w:rsidP="00924162" w:rsidR="00924162">
      <w:pPr>
        <w:rPr>
          <w:rFonts w:cs="Times New Roman"/>
        </w:rPr>
      </w:pPr>
      <w:r>
        <w:rPr>
          <w:rFonts w:cs="Times New Roman"/>
        </w:rPr>
        <w:t>01.11</w:t>
      </w:r>
      <w:r>
        <w:rPr>
          <w:rFonts w:cs="Times New Roman"/>
        </w:rPr>
        <w:tab/>
        <w:t>Uzgoj žitarica i drugih usjeva, d. n.*</w:t>
      </w:r>
    </w:p>
    <w:p w:rsidRDefault="00924162" w:rsidP="00924162" w:rsidR="00924162">
      <w:pPr>
        <w:rPr>
          <w:rFonts w:cs="Times New Roman"/>
        </w:rPr>
      </w:pPr>
      <w:r>
        <w:rPr>
          <w:rFonts w:cs="Times New Roman"/>
        </w:rPr>
        <w:t>01.12.1</w:t>
      </w:r>
      <w:r>
        <w:rPr>
          <w:rFonts w:cs="Times New Roman"/>
        </w:rPr>
        <w:tab/>
        <w:t>Uzgoj povrća, cvijeća, ukras. bilja i rasada</w:t>
      </w:r>
    </w:p>
    <w:p w:rsidRDefault="00924162" w:rsidP="00924162" w:rsidR="00924162">
      <w:pPr>
        <w:rPr>
          <w:rFonts w:cs="Times New Roman"/>
        </w:rPr>
      </w:pPr>
      <w:r>
        <w:rPr>
          <w:rFonts w:cs="Times New Roman"/>
        </w:rPr>
        <w:t>01.13.2</w:t>
      </w:r>
      <w:r>
        <w:rPr>
          <w:rFonts w:cs="Times New Roman"/>
        </w:rPr>
        <w:tab/>
        <w:t>Uzgoj voća, oraha i sl. za začine i napitke</w:t>
      </w:r>
    </w:p>
    <w:p w:rsidRDefault="00924162" w:rsidP="00924162" w:rsidR="00924162">
      <w:pPr>
        <w:rPr>
          <w:rFonts w:cs="Times New Roman"/>
        </w:rPr>
      </w:pPr>
      <w:r>
        <w:rPr>
          <w:rFonts w:cs="Times New Roman"/>
        </w:rPr>
        <w:t>01.21.1</w:t>
      </w:r>
      <w:r>
        <w:rPr>
          <w:rFonts w:cs="Times New Roman"/>
        </w:rPr>
        <w:tab/>
        <w:t>Uzgoj goveda za proizvodnju mesa</w:t>
      </w:r>
    </w:p>
    <w:p w:rsidRDefault="00924162" w:rsidP="00924162" w:rsidR="00924162">
      <w:pPr>
        <w:rPr>
          <w:rFonts w:cs="Times New Roman"/>
        </w:rPr>
      </w:pPr>
      <w:r>
        <w:rPr>
          <w:rFonts w:cs="Times New Roman"/>
        </w:rPr>
        <w:t>01.22.1</w:t>
      </w:r>
      <w:r>
        <w:rPr>
          <w:rFonts w:cs="Times New Roman"/>
        </w:rPr>
        <w:tab/>
        <w:t>Uzgoj ovaca i koza</w:t>
      </w:r>
    </w:p>
    <w:p w:rsidRDefault="00924162" w:rsidP="00924162" w:rsidR="00924162">
      <w:pPr>
        <w:rPr>
          <w:rFonts w:cs="Times New Roman"/>
        </w:rPr>
      </w:pPr>
      <w:r>
        <w:rPr>
          <w:rFonts w:cs="Times New Roman"/>
        </w:rPr>
        <w:t>01.41</w:t>
      </w:r>
      <w:r>
        <w:rPr>
          <w:rFonts w:cs="Times New Roman"/>
        </w:rPr>
        <w:tab/>
        <w:t>Uslužne djelatnosti u biljnoj proizvodnji</w:t>
      </w:r>
    </w:p>
    <w:p w:rsidRDefault="00924162" w:rsidP="00924162" w:rsidR="00924162">
      <w:pPr>
        <w:rPr>
          <w:rFonts w:cs="Times New Roman"/>
        </w:rPr>
      </w:pPr>
      <w:r>
        <w:rPr>
          <w:rFonts w:cs="Times New Roman"/>
        </w:rPr>
        <w:t>01.42.2</w:t>
      </w:r>
      <w:r>
        <w:rPr>
          <w:rFonts w:cs="Times New Roman"/>
        </w:rPr>
        <w:tab/>
        <w:t>Usluge u stočarstvu, osim veterinarskih</w:t>
      </w:r>
    </w:p>
    <w:p w:rsidRDefault="00924162" w:rsidP="00924162" w:rsidR="00924162">
      <w:pPr>
        <w:rPr>
          <w:rFonts w:cs="Times New Roman"/>
        </w:rPr>
      </w:pPr>
      <w:r>
        <w:rPr>
          <w:rFonts w:cs="Times New Roman"/>
        </w:rPr>
        <w:t>50.20</w:t>
      </w:r>
      <w:r>
        <w:rPr>
          <w:rFonts w:cs="Times New Roman"/>
        </w:rPr>
        <w:tab/>
        <w:t>Održavanje i popravak motornih vozila</w:t>
      </w:r>
    </w:p>
    <w:p w:rsidRDefault="00924162" w:rsidP="00924162" w:rsidR="00924162">
      <w:pPr>
        <w:rPr>
          <w:rFonts w:cs="Times New Roman"/>
        </w:rPr>
      </w:pPr>
      <w:r>
        <w:rPr>
          <w:rFonts w:cs="Times New Roman"/>
        </w:rPr>
        <w:t>51.21</w:t>
      </w:r>
      <w:r>
        <w:rPr>
          <w:rFonts w:cs="Times New Roman"/>
        </w:rPr>
        <w:tab/>
        <w:t>Trg. na veliko žitaricama, sjemenjem i sl.</w:t>
      </w:r>
    </w:p>
    <w:p w:rsidRDefault="00924162" w:rsidP="00924162" w:rsidR="00924162">
      <w:pPr>
        <w:rPr>
          <w:rFonts w:cs="Times New Roman"/>
        </w:rPr>
      </w:pPr>
      <w:r>
        <w:rPr>
          <w:rFonts w:cs="Times New Roman"/>
        </w:rPr>
        <w:t>51.23</w:t>
      </w:r>
      <w:r>
        <w:rPr>
          <w:rFonts w:cs="Times New Roman"/>
        </w:rPr>
        <w:tab/>
        <w:t>Trgovina na veliko živom stokom</w:t>
      </w:r>
    </w:p>
    <w:p w:rsidRDefault="00924162" w:rsidP="00924162" w:rsidR="00924162">
      <w:pPr>
        <w:rPr>
          <w:rFonts w:cs="Times New Roman"/>
        </w:rPr>
      </w:pPr>
      <w:r>
        <w:rPr>
          <w:rFonts w:cs="Times New Roman"/>
        </w:rPr>
        <w:t>51.38.2</w:t>
      </w:r>
      <w:r>
        <w:rPr>
          <w:rFonts w:cs="Times New Roman"/>
        </w:rPr>
        <w:tab/>
        <w:t xml:space="preserve">Trg. na veliko mlinarskim i pekarskim </w:t>
      </w:r>
      <w:proofErr w:type="spellStart"/>
      <w:r>
        <w:rPr>
          <w:rFonts w:cs="Times New Roman"/>
        </w:rPr>
        <w:t>proizv</w:t>
      </w:r>
      <w:proofErr w:type="spellEnd"/>
      <w:r>
        <w:rPr>
          <w:rFonts w:cs="Times New Roman"/>
        </w:rPr>
        <w:t>.</w:t>
      </w:r>
    </w:p>
    <w:p w:rsidRDefault="00924162" w:rsidP="00924162" w:rsidR="00924162">
      <w:pPr>
        <w:rPr>
          <w:rFonts w:cs="Times New Roman"/>
        </w:rPr>
      </w:pPr>
      <w:r>
        <w:rPr>
          <w:rFonts w:cs="Times New Roman"/>
        </w:rPr>
        <w:t>51.55</w:t>
      </w:r>
      <w:r>
        <w:rPr>
          <w:rFonts w:cs="Times New Roman"/>
        </w:rPr>
        <w:tab/>
        <w:t>Trgovina na veliko kemijskim proizvodima</w:t>
      </w:r>
    </w:p>
    <w:p w:rsidRDefault="00924162" w:rsidP="00924162" w:rsidR="00924162">
      <w:pPr>
        <w:rPr>
          <w:rFonts w:cs="Times New Roman"/>
        </w:rPr>
      </w:pPr>
      <w:r>
        <w:rPr>
          <w:rFonts w:cs="Times New Roman"/>
        </w:rPr>
        <w:t>51.70</w:t>
      </w:r>
      <w:r>
        <w:rPr>
          <w:rFonts w:cs="Times New Roman"/>
        </w:rPr>
        <w:tab/>
        <w:t>Ostala trgovina na veliko</w:t>
      </w:r>
    </w:p>
    <w:p w:rsidRDefault="00924162" w:rsidP="00924162" w:rsidR="00924162">
      <w:pPr>
        <w:rPr>
          <w:rFonts w:cs="Times New Roman"/>
        </w:rPr>
      </w:pPr>
      <w:r>
        <w:rPr>
          <w:rFonts w:cs="Times New Roman"/>
        </w:rPr>
        <w:t>52.21</w:t>
      </w:r>
      <w:r>
        <w:rPr>
          <w:rFonts w:cs="Times New Roman"/>
        </w:rPr>
        <w:tab/>
        <w:t>Trgovina na malo voćem i povrćem</w:t>
      </w:r>
    </w:p>
    <w:p w:rsidRDefault="00924162" w:rsidP="00924162" w:rsidR="00924162">
      <w:pPr>
        <w:rPr>
          <w:rFonts w:cs="Times New Roman"/>
        </w:rPr>
      </w:pPr>
      <w:r>
        <w:rPr>
          <w:rFonts w:cs="Times New Roman"/>
        </w:rPr>
        <w:t>52.22</w:t>
      </w:r>
      <w:r>
        <w:rPr>
          <w:rFonts w:cs="Times New Roman"/>
        </w:rPr>
        <w:tab/>
        <w:t>Trgovina na malo mesom i mesnim proizvodima</w:t>
      </w:r>
    </w:p>
    <w:p w:rsidRDefault="00924162" w:rsidP="00924162" w:rsidR="00924162">
      <w:pPr>
        <w:rPr>
          <w:rFonts w:cs="Times New Roman"/>
        </w:rPr>
      </w:pPr>
      <w:r>
        <w:rPr>
          <w:rFonts w:cs="Times New Roman"/>
        </w:rPr>
        <w:t>60.24</w:t>
      </w:r>
      <w:r>
        <w:rPr>
          <w:rFonts w:cs="Times New Roman"/>
        </w:rPr>
        <w:tab/>
        <w:t>Prijevoz robe (tereta) cestom</w:t>
      </w:r>
    </w:p>
    <w:p w:rsidRDefault="00924162" w:rsidP="00924162" w:rsidR="00924162">
      <w:pPr>
        <w:rPr>
          <w:rFonts w:cs="Times New Roman"/>
        </w:rPr>
      </w:pPr>
      <w:r>
        <w:rPr>
          <w:rFonts w:cs="Times New Roman"/>
        </w:rPr>
        <w:t>63.12</w:t>
      </w:r>
      <w:r>
        <w:rPr>
          <w:rFonts w:cs="Times New Roman"/>
        </w:rPr>
        <w:tab/>
        <w:t>Skladištenje robe</w:t>
      </w:r>
    </w:p>
    <w:p w:rsidRDefault="00924162" w:rsidP="00924162" w:rsidR="00924162">
      <w:pPr>
        <w:rPr>
          <w:rFonts w:cs="Times New Roman"/>
        </w:rPr>
      </w:pPr>
      <w:r>
        <w:rPr>
          <w:rFonts w:cs="Times New Roman"/>
        </w:rPr>
        <w:t>70.12</w:t>
      </w:r>
      <w:r>
        <w:rPr>
          <w:rFonts w:cs="Times New Roman"/>
        </w:rPr>
        <w:tab/>
        <w:t>Kupnja i prodaja vlastitih nekretnina</w:t>
      </w:r>
    </w:p>
    <w:p w:rsidRDefault="00924162" w:rsidP="00924162" w:rsidR="00924162">
      <w:pPr>
        <w:rPr>
          <w:rFonts w:cs="Times New Roman"/>
        </w:rPr>
      </w:pPr>
      <w:r>
        <w:rPr>
          <w:rFonts w:cs="Times New Roman"/>
        </w:rPr>
        <w:t>70.20</w:t>
      </w:r>
      <w:r>
        <w:rPr>
          <w:rFonts w:cs="Times New Roman"/>
        </w:rPr>
        <w:tab/>
        <w:t>Iznajmljivanje vlastitih nekretnina</w:t>
      </w:r>
    </w:p>
    <w:p w:rsidRDefault="00924162" w:rsidP="00924162" w:rsidR="00924162">
      <w:pPr>
        <w:rPr>
          <w:rFonts w:cs="Times New Roman"/>
        </w:rPr>
      </w:pPr>
      <w:r>
        <w:rPr>
          <w:rFonts w:cs="Times New Roman"/>
        </w:rPr>
        <w:t>*</w:t>
      </w:r>
      <w:r>
        <w:rPr>
          <w:rFonts w:cs="Times New Roman"/>
        </w:rPr>
        <w:tab/>
        <w:t>Računovodstveni poslovi</w:t>
      </w:r>
    </w:p>
    <w:p w:rsidRDefault="00924162" w:rsidP="00924162" w:rsidR="00924162">
      <w:pPr>
        <w:rPr>
          <w:rFonts w:cs="Times New Roman"/>
        </w:rPr>
      </w:pPr>
      <w:r>
        <w:rPr>
          <w:rFonts w:cs="Times New Roman"/>
        </w:rPr>
        <w:lastRenderedPageBreak/>
        <w:t>*</w:t>
      </w:r>
      <w:r>
        <w:rPr>
          <w:rFonts w:cs="Times New Roman"/>
        </w:rPr>
        <w:tab/>
        <w:t>Specijalizirana trgovina na malo sjemenjem, gnojivom, kućnim ljubimcima i hranom za kućne ljubimce</w:t>
      </w:r>
    </w:p>
    <w:p w:rsidRDefault="00924162" w:rsidP="00924162" w:rsidR="00924162">
      <w:pPr>
        <w:rPr>
          <w:rFonts w:cs="Times New Roman"/>
        </w:rPr>
      </w:pPr>
      <w:r>
        <w:rPr>
          <w:rFonts w:cs="Times New Roman"/>
        </w:rPr>
        <w:t>*</w:t>
      </w:r>
      <w:r>
        <w:rPr>
          <w:rFonts w:cs="Times New Roman"/>
        </w:rPr>
        <w:tab/>
        <w:t xml:space="preserve">Specijalizirana trgovina na malo neprehrambenim proizvodima, </w:t>
      </w:r>
      <w:proofErr w:type="spellStart"/>
      <w:r>
        <w:rPr>
          <w:rFonts w:cs="Times New Roman"/>
        </w:rPr>
        <w:t>d.n</w:t>
      </w:r>
      <w:proofErr w:type="spellEnd"/>
      <w:r>
        <w:rPr>
          <w:rFonts w:cs="Times New Roman"/>
        </w:rPr>
        <w:t>.</w:t>
      </w:r>
    </w:p>
    <w:p w:rsidRDefault="00924162" w:rsidP="00924162" w:rsidR="00924162">
      <w:pPr>
        <w:pStyle w:val="Naslov3"/>
        <w:numPr>
          <w:ilvl w:val="0"/>
          <w:numId w:val="45"/>
        </w:numPr>
        <w:spacing w:lineRule="auto" w:line="360" w:before="240"/>
        <w:rPr>
          <w:rFonts w:cs="Times New Roman"/>
        </w:rPr>
      </w:pPr>
      <w:bookmarkStart w:name="_Toc458436241" w:id="9"/>
      <w:bookmarkStart w:name="_Toc432416051" w:id="10"/>
      <w:bookmarkStart w:name="_Toc430627149" w:id="11"/>
      <w:r>
        <w:rPr>
          <w:rFonts w:cs="Times New Roman"/>
        </w:rPr>
        <w:t>Uprava društva</w:t>
      </w:r>
      <w:bookmarkEnd w:id="9"/>
      <w:bookmarkEnd w:id="10"/>
      <w:bookmarkEnd w:id="11"/>
    </w:p>
    <w:p w:rsidRDefault="00924162" w:rsidP="00924162" w:rsidR="00924162">
      <w:pPr>
        <w:spacing w:lineRule="auto" w:line="360"/>
        <w:jc w:val="both"/>
        <w:rPr>
          <w:rFonts w:cs="Times New Roman"/>
        </w:rPr>
      </w:pPr>
      <w:r>
        <w:rPr>
          <w:rFonts w:cs="Times New Roman"/>
        </w:rPr>
        <w:t>Osoba ovlaštena za zastupanje je Josip Belošević, OIB: 88477086610, Bjelovar, Krste Frankopana 70, koji vrši funkciju direktora te zastupa društvo pojedinačno i samostalno, imenovana odlukom o imenovanju direktora od 10.05.2016. godine.</w:t>
      </w:r>
    </w:p>
    <w:p w:rsidRDefault="00924162" w:rsidP="00924162" w:rsidR="00924162">
      <w:pPr>
        <w:spacing w:lineRule="auto" w:line="360"/>
        <w:rPr>
          <w:rFonts w:cs="Times New Roman"/>
        </w:rPr>
      </w:pPr>
      <w:r>
        <w:rPr>
          <w:rFonts w:cs="Times New Roman"/>
        </w:rPr>
        <w:br/>
      </w:r>
    </w:p>
    <w:p w:rsidRDefault="00924162" w:rsidP="00924162" w:rsidR="00924162">
      <w:pPr>
        <w:pStyle w:val="Naslov3"/>
        <w:numPr>
          <w:ilvl w:val="0"/>
          <w:numId w:val="45"/>
        </w:numPr>
        <w:spacing w:lineRule="auto" w:line="360" w:before="240"/>
        <w:jc w:val="both"/>
        <w:rPr>
          <w:rFonts w:cs="Times New Roman"/>
        </w:rPr>
      </w:pPr>
      <w:bookmarkStart w:name="_Toc458436242" w:id="12"/>
      <w:bookmarkStart w:name="_Toc432416052" w:id="13"/>
      <w:bookmarkStart w:name="_Toc430627150" w:id="14"/>
      <w:r>
        <w:rPr>
          <w:rFonts w:cs="Times New Roman"/>
        </w:rPr>
        <w:t>Vlasnička struktura</w:t>
      </w:r>
      <w:bookmarkEnd w:id="12"/>
      <w:bookmarkEnd w:id="13"/>
      <w:bookmarkEnd w:id="14"/>
      <w:r>
        <w:rPr>
          <w:rFonts w:cs="Times New Roman"/>
        </w:rPr>
        <w:t xml:space="preserve"> </w:t>
      </w:r>
    </w:p>
    <w:p w:rsidRDefault="00924162" w:rsidP="00924162" w:rsidR="00924162">
      <w:pPr>
        <w:spacing w:lineRule="auto" w:line="360"/>
        <w:jc w:val="both"/>
        <w:rPr>
          <w:rFonts w:cs="Times New Roman"/>
        </w:rPr>
      </w:pPr>
      <w:r>
        <w:rPr>
          <w:rFonts w:cs="Times New Roman"/>
        </w:rPr>
        <w:t xml:space="preserve">Društvo je u 100% privatnom vlasništvu, članovi društva su: Josip Belošević, OIB: 88477086610, Bjelovar, Krste Frankopana 70, Ivan </w:t>
      </w:r>
      <w:proofErr w:type="spellStart"/>
      <w:r>
        <w:rPr>
          <w:rFonts w:cs="Times New Roman"/>
        </w:rPr>
        <w:t>Gjurović</w:t>
      </w:r>
      <w:proofErr w:type="spellEnd"/>
      <w:r>
        <w:rPr>
          <w:rFonts w:cs="Times New Roman"/>
        </w:rPr>
        <w:t xml:space="preserve">, OIB: 77968633304, Ždralovi, Daruvarska 21, Antun </w:t>
      </w:r>
      <w:proofErr w:type="spellStart"/>
      <w:r>
        <w:rPr>
          <w:rFonts w:cs="Times New Roman"/>
        </w:rPr>
        <w:t>Grgičin</w:t>
      </w:r>
      <w:proofErr w:type="spellEnd"/>
      <w:r>
        <w:rPr>
          <w:rFonts w:cs="Times New Roman"/>
        </w:rPr>
        <w:t xml:space="preserve">, OIB: 84679819090, Ribnjačka, Ribnjačka 4, HRVATSKI ZAVOD ZA MIROVINSKO OSIGURANJE, pod MBS: 080266914, upisan kod: Trgovački sud u Zagrebu, OIB: 84397956623, Zagreb, A. Mihanovića 3, Kata </w:t>
      </w:r>
      <w:proofErr w:type="spellStart"/>
      <w:r>
        <w:rPr>
          <w:rFonts w:cs="Times New Roman"/>
        </w:rPr>
        <w:t>Hrvojčec</w:t>
      </w:r>
      <w:proofErr w:type="spellEnd"/>
      <w:r>
        <w:rPr>
          <w:rFonts w:cs="Times New Roman"/>
        </w:rPr>
        <w:t xml:space="preserve">, OIB: 15294238969, Ždralovi, Daruvarska 81, Stipe Jukić, OIB: 64815686094, Brezovac, Vidikovac 95, Dragutin </w:t>
      </w:r>
      <w:proofErr w:type="spellStart"/>
      <w:r>
        <w:rPr>
          <w:rFonts w:cs="Times New Roman"/>
        </w:rPr>
        <w:t>Kolaček</w:t>
      </w:r>
      <w:proofErr w:type="spellEnd"/>
      <w:r>
        <w:rPr>
          <w:rFonts w:cs="Times New Roman"/>
        </w:rPr>
        <w:t xml:space="preserve">, OIB: 20661782105, Bjelovar, Miroslava Krleže 2, Suzana </w:t>
      </w:r>
      <w:proofErr w:type="spellStart"/>
      <w:r>
        <w:rPr>
          <w:rFonts w:cs="Times New Roman"/>
        </w:rPr>
        <w:t>Kultan</w:t>
      </w:r>
      <w:proofErr w:type="spellEnd"/>
      <w:r>
        <w:rPr>
          <w:rFonts w:cs="Times New Roman"/>
        </w:rPr>
        <w:t xml:space="preserve">, OIB: 86035304382, Brezik, Brezik 1/G, Joso </w:t>
      </w:r>
      <w:proofErr w:type="spellStart"/>
      <w:r>
        <w:rPr>
          <w:rFonts w:cs="Times New Roman"/>
        </w:rPr>
        <w:t>Krečak</w:t>
      </w:r>
      <w:proofErr w:type="spellEnd"/>
      <w:r>
        <w:rPr>
          <w:rFonts w:cs="Times New Roman"/>
        </w:rPr>
        <w:t xml:space="preserve">, OIB: 88337247066, Nova </w:t>
      </w:r>
      <w:proofErr w:type="spellStart"/>
      <w:r>
        <w:rPr>
          <w:rFonts w:cs="Times New Roman"/>
        </w:rPr>
        <w:t>Rača</w:t>
      </w:r>
      <w:proofErr w:type="spellEnd"/>
      <w:r>
        <w:rPr>
          <w:rFonts w:cs="Times New Roman"/>
        </w:rPr>
        <w:t xml:space="preserve">, Ljeskova 11, Vesna </w:t>
      </w:r>
      <w:proofErr w:type="spellStart"/>
      <w:r>
        <w:rPr>
          <w:rFonts w:cs="Times New Roman"/>
        </w:rPr>
        <w:t>Kunješić</w:t>
      </w:r>
      <w:proofErr w:type="spellEnd"/>
      <w:r>
        <w:rPr>
          <w:rFonts w:cs="Times New Roman"/>
        </w:rPr>
        <w:t xml:space="preserve">, OIB: 75656264346, Veliki </w:t>
      </w:r>
      <w:proofErr w:type="spellStart"/>
      <w:r>
        <w:rPr>
          <w:rFonts w:cs="Times New Roman"/>
        </w:rPr>
        <w:t>Grđevac</w:t>
      </w:r>
      <w:proofErr w:type="spellEnd"/>
      <w:r>
        <w:rPr>
          <w:rFonts w:cs="Times New Roman"/>
        </w:rPr>
        <w:t xml:space="preserve">, Bana Josipa Jelačića 8, Milan </w:t>
      </w:r>
      <w:proofErr w:type="spellStart"/>
      <w:r>
        <w:rPr>
          <w:rFonts w:cs="Times New Roman"/>
        </w:rPr>
        <w:t>Laketić</w:t>
      </w:r>
      <w:proofErr w:type="spellEnd"/>
      <w:r>
        <w:rPr>
          <w:rFonts w:cs="Times New Roman"/>
        </w:rPr>
        <w:t xml:space="preserve">, OIB: 43177806610, Bjelovar, Ivana </w:t>
      </w:r>
      <w:proofErr w:type="spellStart"/>
      <w:r>
        <w:rPr>
          <w:rFonts w:cs="Times New Roman"/>
        </w:rPr>
        <w:t>Česmičkog</w:t>
      </w:r>
      <w:proofErr w:type="spellEnd"/>
      <w:r>
        <w:rPr>
          <w:rFonts w:cs="Times New Roman"/>
        </w:rPr>
        <w:t xml:space="preserve"> 7, Petar </w:t>
      </w:r>
      <w:proofErr w:type="spellStart"/>
      <w:r>
        <w:rPr>
          <w:rFonts w:cs="Times New Roman"/>
        </w:rPr>
        <w:t>Mađerić</w:t>
      </w:r>
      <w:proofErr w:type="spellEnd"/>
      <w:r>
        <w:rPr>
          <w:rFonts w:cs="Times New Roman"/>
        </w:rPr>
        <w:t xml:space="preserve">, OIB: 32666047740, </w:t>
      </w:r>
      <w:proofErr w:type="spellStart"/>
      <w:r>
        <w:rPr>
          <w:rFonts w:cs="Times New Roman"/>
        </w:rPr>
        <w:t>Pupelica</w:t>
      </w:r>
      <w:proofErr w:type="spellEnd"/>
      <w:r>
        <w:rPr>
          <w:rFonts w:cs="Times New Roman"/>
        </w:rPr>
        <w:t xml:space="preserve">, </w:t>
      </w:r>
      <w:proofErr w:type="spellStart"/>
      <w:r>
        <w:rPr>
          <w:rFonts w:cs="Times New Roman"/>
        </w:rPr>
        <w:t>Pupelica</w:t>
      </w:r>
      <w:proofErr w:type="spellEnd"/>
      <w:r>
        <w:rPr>
          <w:rFonts w:cs="Times New Roman"/>
        </w:rPr>
        <w:t xml:space="preserve"> 18, Marija </w:t>
      </w:r>
      <w:proofErr w:type="spellStart"/>
      <w:r>
        <w:rPr>
          <w:rFonts w:cs="Times New Roman"/>
        </w:rPr>
        <w:t>Pajtak</w:t>
      </w:r>
      <w:proofErr w:type="spellEnd"/>
      <w:r>
        <w:rPr>
          <w:rFonts w:cs="Times New Roman"/>
        </w:rPr>
        <w:t xml:space="preserve">, OIB: 46465319692, Bjelovar, Vukovarska 8/B, Ljubo </w:t>
      </w:r>
      <w:proofErr w:type="spellStart"/>
      <w:r>
        <w:rPr>
          <w:rFonts w:cs="Times New Roman"/>
        </w:rPr>
        <w:t>Pojatina</w:t>
      </w:r>
      <w:proofErr w:type="spellEnd"/>
      <w:r>
        <w:rPr>
          <w:rFonts w:cs="Times New Roman"/>
        </w:rPr>
        <w:t xml:space="preserve">, OIB: 79153385220, Bjelovar, Mate Lovraka 2/A, Nada </w:t>
      </w:r>
      <w:proofErr w:type="spellStart"/>
      <w:r>
        <w:rPr>
          <w:rFonts w:cs="Times New Roman"/>
        </w:rPr>
        <w:t>Polančec</w:t>
      </w:r>
      <w:proofErr w:type="spellEnd"/>
      <w:r>
        <w:rPr>
          <w:rFonts w:cs="Times New Roman"/>
        </w:rPr>
        <w:t xml:space="preserve">, OIB: 10934453204, Novi Skucani, Novi Skucani 7, Damir </w:t>
      </w:r>
      <w:proofErr w:type="spellStart"/>
      <w:r>
        <w:rPr>
          <w:rFonts w:cs="Times New Roman"/>
        </w:rPr>
        <w:t>Rišanek</w:t>
      </w:r>
      <w:proofErr w:type="spellEnd"/>
      <w:r>
        <w:rPr>
          <w:rFonts w:cs="Times New Roman"/>
        </w:rPr>
        <w:t xml:space="preserve">, OIB: 84345710422, Donja </w:t>
      </w:r>
      <w:proofErr w:type="spellStart"/>
      <w:r>
        <w:rPr>
          <w:rFonts w:cs="Times New Roman"/>
        </w:rPr>
        <w:t>Kovačica</w:t>
      </w:r>
      <w:proofErr w:type="spellEnd"/>
      <w:r>
        <w:rPr>
          <w:rFonts w:cs="Times New Roman"/>
        </w:rPr>
        <w:t xml:space="preserve">, Donja </w:t>
      </w:r>
      <w:proofErr w:type="spellStart"/>
      <w:r>
        <w:rPr>
          <w:rFonts w:cs="Times New Roman"/>
        </w:rPr>
        <w:t>Kovačica</w:t>
      </w:r>
      <w:proofErr w:type="spellEnd"/>
      <w:r>
        <w:rPr>
          <w:rFonts w:cs="Times New Roman"/>
        </w:rPr>
        <w:t xml:space="preserve"> 80, Tomislav </w:t>
      </w:r>
      <w:proofErr w:type="spellStart"/>
      <w:r>
        <w:rPr>
          <w:rFonts w:cs="Times New Roman"/>
        </w:rPr>
        <w:t>Slezak</w:t>
      </w:r>
      <w:proofErr w:type="spellEnd"/>
      <w:r>
        <w:rPr>
          <w:rFonts w:cs="Times New Roman"/>
        </w:rPr>
        <w:t xml:space="preserve">, OIB: 07430195982, Bjelovar, Mate Lovraka 4/A, Slavko Šafar, OIB: 33430069932, Bjelovar, Ivana Volodera 14, Josip </w:t>
      </w:r>
      <w:proofErr w:type="spellStart"/>
      <w:r>
        <w:rPr>
          <w:rFonts w:cs="Times New Roman"/>
        </w:rPr>
        <w:t>Vaclavek</w:t>
      </w:r>
      <w:proofErr w:type="spellEnd"/>
      <w:r>
        <w:rPr>
          <w:rFonts w:cs="Times New Roman"/>
        </w:rPr>
        <w:t xml:space="preserve">, OIB: 26202424623, Ždralovi, Daruvarska 67, Žarko </w:t>
      </w:r>
      <w:proofErr w:type="spellStart"/>
      <w:r>
        <w:rPr>
          <w:rFonts w:cs="Times New Roman"/>
        </w:rPr>
        <w:t>Valadžija</w:t>
      </w:r>
      <w:proofErr w:type="spellEnd"/>
      <w:r>
        <w:rPr>
          <w:rFonts w:cs="Times New Roman"/>
        </w:rPr>
        <w:t xml:space="preserve">, OIB: 98603956362, </w:t>
      </w:r>
      <w:proofErr w:type="spellStart"/>
      <w:r>
        <w:rPr>
          <w:rFonts w:cs="Times New Roman"/>
        </w:rPr>
        <w:t>Ravneš</w:t>
      </w:r>
      <w:proofErr w:type="spellEnd"/>
      <w:r>
        <w:rPr>
          <w:rFonts w:cs="Times New Roman"/>
        </w:rPr>
        <w:t xml:space="preserve">, </w:t>
      </w:r>
      <w:proofErr w:type="spellStart"/>
      <w:r>
        <w:rPr>
          <w:rFonts w:cs="Times New Roman"/>
        </w:rPr>
        <w:t>Ravneš</w:t>
      </w:r>
      <w:proofErr w:type="spellEnd"/>
      <w:r>
        <w:rPr>
          <w:rFonts w:cs="Times New Roman"/>
        </w:rPr>
        <w:t xml:space="preserve"> 59, Domagoj Belošević, OIB: 44070294656, Bjelovar, Krste Frankopana 70, MARKO VUČEMILO, Malo </w:t>
      </w:r>
      <w:proofErr w:type="spellStart"/>
      <w:r>
        <w:rPr>
          <w:rFonts w:cs="Times New Roman"/>
        </w:rPr>
        <w:t>Korenovo</w:t>
      </w:r>
      <w:proofErr w:type="spellEnd"/>
      <w:r>
        <w:rPr>
          <w:rFonts w:cs="Times New Roman"/>
        </w:rPr>
        <w:t xml:space="preserve">, Malo </w:t>
      </w:r>
      <w:proofErr w:type="spellStart"/>
      <w:r>
        <w:rPr>
          <w:rFonts w:cs="Times New Roman"/>
        </w:rPr>
        <w:t>Korenovo</w:t>
      </w:r>
      <w:proofErr w:type="spellEnd"/>
      <w:r>
        <w:rPr>
          <w:rFonts w:cs="Times New Roman"/>
        </w:rPr>
        <w:t xml:space="preserve"> 1, Milenko Vučković, OIB: 18347536633, Veliko </w:t>
      </w:r>
      <w:proofErr w:type="spellStart"/>
      <w:r>
        <w:rPr>
          <w:rFonts w:cs="Times New Roman"/>
        </w:rPr>
        <w:t>Korenovo</w:t>
      </w:r>
      <w:proofErr w:type="spellEnd"/>
      <w:r>
        <w:rPr>
          <w:rFonts w:cs="Times New Roman"/>
        </w:rPr>
        <w:t xml:space="preserve">, Veliko </w:t>
      </w:r>
      <w:proofErr w:type="spellStart"/>
      <w:r>
        <w:rPr>
          <w:rFonts w:cs="Times New Roman"/>
        </w:rPr>
        <w:t>Korenovo</w:t>
      </w:r>
      <w:proofErr w:type="spellEnd"/>
      <w:r>
        <w:rPr>
          <w:rFonts w:cs="Times New Roman"/>
        </w:rPr>
        <w:t xml:space="preserve"> 128, Mladen Vukmanović, OIB: 20392730015, </w:t>
      </w:r>
      <w:proofErr w:type="spellStart"/>
      <w:r>
        <w:rPr>
          <w:rFonts w:cs="Times New Roman"/>
        </w:rPr>
        <w:t>Bulinac</w:t>
      </w:r>
      <w:proofErr w:type="spellEnd"/>
      <w:r>
        <w:rPr>
          <w:rFonts w:cs="Times New Roman"/>
        </w:rPr>
        <w:t xml:space="preserve">, </w:t>
      </w:r>
      <w:proofErr w:type="spellStart"/>
      <w:r>
        <w:rPr>
          <w:rFonts w:cs="Times New Roman"/>
        </w:rPr>
        <w:t>Bulinac</w:t>
      </w:r>
      <w:proofErr w:type="spellEnd"/>
      <w:r>
        <w:rPr>
          <w:rFonts w:cs="Times New Roman"/>
        </w:rPr>
        <w:t xml:space="preserve"> 79, Danica </w:t>
      </w:r>
      <w:proofErr w:type="spellStart"/>
      <w:r>
        <w:rPr>
          <w:rFonts w:cs="Times New Roman"/>
        </w:rPr>
        <w:t>Vuko</w:t>
      </w:r>
      <w:proofErr w:type="spellEnd"/>
      <w:r>
        <w:rPr>
          <w:rFonts w:cs="Times New Roman"/>
        </w:rPr>
        <w:t xml:space="preserve">, OIB: 45408922600, Bjelovar, </w:t>
      </w:r>
      <w:proofErr w:type="spellStart"/>
      <w:r>
        <w:rPr>
          <w:rFonts w:cs="Times New Roman"/>
        </w:rPr>
        <w:t>Osvalda</w:t>
      </w:r>
      <w:proofErr w:type="spellEnd"/>
      <w:r>
        <w:rPr>
          <w:rFonts w:cs="Times New Roman"/>
        </w:rPr>
        <w:t xml:space="preserve"> </w:t>
      </w:r>
      <w:proofErr w:type="spellStart"/>
      <w:r>
        <w:rPr>
          <w:rFonts w:cs="Times New Roman"/>
        </w:rPr>
        <w:t>Totha</w:t>
      </w:r>
      <w:proofErr w:type="spellEnd"/>
      <w:r>
        <w:rPr>
          <w:rFonts w:cs="Times New Roman"/>
        </w:rPr>
        <w:t xml:space="preserve"> 8, SLAVKO ZBOŽINEK, OIB: 22014021711, </w:t>
      </w:r>
      <w:proofErr w:type="spellStart"/>
      <w:r>
        <w:rPr>
          <w:rFonts w:cs="Times New Roman"/>
        </w:rPr>
        <w:t>Bulinac</w:t>
      </w:r>
      <w:proofErr w:type="spellEnd"/>
      <w:r>
        <w:rPr>
          <w:rFonts w:cs="Times New Roman"/>
        </w:rPr>
        <w:t xml:space="preserve">, </w:t>
      </w:r>
      <w:proofErr w:type="spellStart"/>
      <w:r>
        <w:rPr>
          <w:rFonts w:cs="Times New Roman"/>
        </w:rPr>
        <w:t>Bulinac</w:t>
      </w:r>
      <w:proofErr w:type="spellEnd"/>
      <w:r>
        <w:rPr>
          <w:rFonts w:cs="Times New Roman"/>
        </w:rPr>
        <w:t xml:space="preserve"> </w:t>
      </w:r>
      <w:r>
        <w:rPr>
          <w:rFonts w:cs="Times New Roman"/>
        </w:rPr>
        <w:lastRenderedPageBreak/>
        <w:t xml:space="preserve">174, Jasenka Žaja, OIB: 68356497332, Bjelovar, </w:t>
      </w:r>
      <w:proofErr w:type="spellStart"/>
      <w:r>
        <w:rPr>
          <w:rFonts w:cs="Times New Roman"/>
        </w:rPr>
        <w:t>Vendelina</w:t>
      </w:r>
      <w:proofErr w:type="spellEnd"/>
      <w:r>
        <w:rPr>
          <w:rFonts w:cs="Times New Roman"/>
        </w:rPr>
        <w:t xml:space="preserve"> </w:t>
      </w:r>
      <w:proofErr w:type="spellStart"/>
      <w:r>
        <w:rPr>
          <w:rFonts w:cs="Times New Roman"/>
        </w:rPr>
        <w:t>Vošnjaka</w:t>
      </w:r>
      <w:proofErr w:type="spellEnd"/>
      <w:r>
        <w:rPr>
          <w:rFonts w:cs="Times New Roman"/>
        </w:rPr>
        <w:t xml:space="preserve"> 17, Nada </w:t>
      </w:r>
      <w:proofErr w:type="spellStart"/>
      <w:r>
        <w:rPr>
          <w:rFonts w:cs="Times New Roman"/>
        </w:rPr>
        <w:t>Hegediš</w:t>
      </w:r>
      <w:proofErr w:type="spellEnd"/>
      <w:r>
        <w:rPr>
          <w:rFonts w:cs="Times New Roman"/>
        </w:rPr>
        <w:t>, OIB: 44467261413, Ždralovi, Daruvarska 21, Gabrijela Belošević, OIB: 56077015541, Bjelovar, Krste Frankopana 70</w:t>
      </w:r>
      <w:r>
        <w:rPr>
          <w:rFonts w:cs="Times New Roman" w:eastAsia="Times New Roman"/>
          <w:lang w:eastAsia="hr-HR"/>
        </w:rPr>
        <w:t xml:space="preserve">. Nakon restrukturiranja vlasnička struktura se neće mijenjati. U nastavku slijedi grafički prikaz vlasničke strukture prije i poslije restrukturiranja. </w:t>
      </w:r>
    </w:p>
    <w:p w:rsidRDefault="00924162" w:rsidP="00924162" w:rsidR="00924162">
      <w:pPr>
        <w:spacing w:lineRule="auto" w:line="360"/>
        <w:jc w:val="both"/>
        <w:rPr>
          <w:rFonts w:cs="Times New Roman" w:eastAsia="Times New Roman"/>
          <w:lang w:eastAsia="hr-HR"/>
        </w:rPr>
      </w:pPr>
      <w:r>
        <w:rPr>
          <w:rFonts w:cs="Times New Roman" w:eastAsia="Times New Roman"/>
          <w:lang w:eastAsia="hr-HR"/>
        </w:rPr>
        <w:t>U nastavku se nalazi grafički prikaz vlasničke strukture prije i poslije mjera restrukturiranja.</w:t>
      </w:r>
    </w:p>
    <w:p w:rsidRDefault="00924162" w:rsidP="00924162" w:rsidR="00924162">
      <w:pPr>
        <w:spacing w:lineRule="auto" w:line="360"/>
        <w:rPr>
          <w:rFonts w:cs="Times New Roman" w:eastAsia="Times New Roman"/>
          <w:lang w:eastAsia="hr-HR"/>
        </w:rPr>
      </w:pPr>
      <w:r>
        <w:rPr>
          <w:rFonts w:hAnsiTheme="minorHAnsi" w:asciiTheme="minorHAnsi"/>
          <w:noProof/>
          <w:sz w:val="22"/>
          <w:szCs w:val="22"/>
          <w:lang w:eastAsia="hr-HR"/>
        </w:rPr>
        <w:drawing>
          <wp:inline distR="0" distL="0" distB="0" distT="0">
            <wp:extent cy="6840220" cx="5693410"/>
            <wp:effectExtent b="17780" r="21590" t="0" l="0"/>
            <wp:docPr name="Grafikon 1" id="1"/>
            <wp:cNvGraphicFramePr/>
            <a:graphic>
              <a:graphicData uri="http://schemas.openxmlformats.org/drawingml/2006/chart">
                <c:chart r:id="rId28"/>
              </a:graphicData>
            </a:graphic>
          </wp:inline>
        </w:drawing>
      </w:r>
      <w:r>
        <w:rPr>
          <w:rFonts w:cs="Times New Roman" w:eastAsia="Times New Roman"/>
          <w:lang w:eastAsia="hr-HR"/>
        </w:rPr>
        <w:br/>
      </w:r>
      <w:r>
        <w:rPr>
          <w:rFonts w:cs="Times New Roman"/>
          <w:i/>
        </w:rPr>
        <w:t>Vlasnička struktura prije i nakon restrukturiranja</w:t>
      </w:r>
    </w:p>
    <w:p w:rsidRDefault="00924162" w:rsidP="00924162" w:rsidR="00924162">
      <w:pPr>
        <w:rPr>
          <w:rFonts w:cs="Times New Roman"/>
        </w:rPr>
      </w:pPr>
    </w:p>
    <w:p w:rsidRDefault="00924162" w:rsidP="00924162" w:rsidR="00924162">
      <w:pPr>
        <w:rPr>
          <w:rFonts w:cs="Times New Roman"/>
        </w:rPr>
      </w:pPr>
    </w:p>
    <w:p w:rsidRDefault="00924162" w:rsidP="00924162" w:rsidR="00924162">
      <w:pPr>
        <w:pStyle w:val="Naslov3"/>
        <w:numPr>
          <w:ilvl w:val="0"/>
          <w:numId w:val="45"/>
        </w:numPr>
        <w:spacing w:lineRule="auto" w:line="480" w:after="0"/>
        <w:jc w:val="both"/>
        <w:rPr>
          <w:rFonts w:cs="Times New Roman"/>
        </w:rPr>
      </w:pPr>
      <w:bookmarkStart w:name="_Toc458436243" w:id="15"/>
      <w:bookmarkStart w:name="_Toc432416053" w:id="16"/>
      <w:bookmarkStart w:name="_Toc430627151" w:id="17"/>
      <w:r>
        <w:rPr>
          <w:rFonts w:cs="Times New Roman"/>
        </w:rPr>
        <w:t>Analiza zaposlenih</w:t>
      </w:r>
      <w:bookmarkEnd w:id="15"/>
      <w:bookmarkEnd w:id="16"/>
      <w:bookmarkEnd w:id="17"/>
    </w:p>
    <w:p w:rsidRDefault="00924162" w:rsidP="00924162" w:rsidR="00924162">
      <w:pPr>
        <w:spacing w:lineRule="auto" w:line="360"/>
        <w:jc w:val="both"/>
        <w:rPr>
          <w:rFonts w:cs="Times New Roman"/>
        </w:rPr>
      </w:pPr>
      <w:r>
        <w:rPr>
          <w:rFonts w:cs="Times New Roman"/>
        </w:rPr>
        <w:t>Društvo RATARSTVO d.o.o.  u 2011. godini je imalo 25 zaposlenih (prosječan broj zaposlenih tijekom godine, temeljem sati rada). U 2012. godini društvo je zapošljavalo 4 radnika, te se broj zaposlenika nije mijenjao do 2015. godine, kada društvo zapošljava još 9 radnika. Zaključno s datumom 30.06.2016. godine broj zaposlenih je ostao isti, te je društvo zapošljavalo 13 radnika, ali taj broj se smanjio sa datumom 09.08.2016. kada društvo ima 4 zaposlenika. Razlog smanjenja broja zaposlenih u 2012. godini u odnosu na prethodne proizlazi iz gubitka koncesije na državnom poljoprivrednom zemljištu i drastičnog smanjenja obujma posla u sektoru ratarstva.</w:t>
      </w:r>
      <w:r>
        <w:rPr>
          <w:rFonts w:cs="Times New Roman"/>
          <w:sz w:val="20"/>
          <w:szCs w:val="20"/>
        </w:rPr>
        <w:t xml:space="preserve"> </w:t>
      </w:r>
      <w:r>
        <w:rPr>
          <w:rFonts w:cs="Times New Roman"/>
        </w:rPr>
        <w:t>Povećanje broja zaposlenih u 2015. godini do danas rezultat je zapošljavanja 9 osoba na određeno, a radi privremenog povećanja obujma poslova u ratarskoj i voćarskoj proizvodnji te priprema terena za početak investicije podizanja nasada jabuke. S obzirom na financijske neprilike u kojima se društvo nalazi, investicija je na čekanju, a broj zaposlenih vraćen je na minimalan potreban za odvijanje poslovanja društva. Trenutno ne postoji namjera povećanja broja zaposlenih, tako da će društvo do 2019. godine društvo zapošljavati 4 radnika.</w:t>
      </w:r>
    </w:p>
    <w:p w:rsidRDefault="00924162" w:rsidP="00924162" w:rsidR="00924162">
      <w:pPr>
        <w:spacing w:lineRule="auto" w:line="360"/>
        <w:jc w:val="both"/>
        <w:rPr>
          <w:rFonts w:cs="Times New Roman"/>
        </w:rPr>
      </w:pPr>
    </w:p>
    <w:p w:rsidRDefault="00924162" w:rsidP="00924162" w:rsidR="00924162">
      <w:pPr>
        <w:spacing w:lineRule="auto" w:line="360"/>
        <w:jc w:val="both"/>
        <w:rPr>
          <w:rFonts w:cs="Times New Roman"/>
        </w:rPr>
      </w:pPr>
    </w:p>
    <w:p w:rsidRDefault="00924162" w:rsidP="00924162" w:rsidR="00924162">
      <w:pPr>
        <w:spacing w:lineRule="auto" w:line="360"/>
        <w:jc w:val="both"/>
        <w:rPr>
          <w:rFonts w:cs="Times New Roman"/>
        </w:rPr>
      </w:pPr>
      <w:r>
        <w:rPr>
          <w:rFonts w:hAnsiTheme="minorHAnsi" w:asciiTheme="minorHAnsi"/>
          <w:noProof/>
          <w:sz w:val="22"/>
          <w:szCs w:val="22"/>
          <w:lang w:eastAsia="hr-HR"/>
        </w:rPr>
        <w:drawing>
          <wp:inline distR="0" distL="0" distB="0" distT="0">
            <wp:extent cy="2526030" cx="5506720"/>
            <wp:effectExtent b="26670" r="17780" t="0" l="0"/>
            <wp:docPr name="Grafikon 3" id="3"/>
            <wp:cNvGraphicFramePr/>
            <a:graphic>
              <a:graphicData uri="http://schemas.openxmlformats.org/drawingml/2006/chart">
                <c:chart r:id="rId29"/>
              </a:graphicData>
            </a:graphic>
          </wp:inline>
        </w:drawing>
      </w:r>
    </w:p>
    <w:p w:rsidRDefault="00924162" w:rsidP="00924162" w:rsidR="00924162">
      <w:pPr>
        <w:rPr>
          <w:rFonts w:cs="Times New Roman"/>
          <w:i/>
          <w:lang w:eastAsia="hr-HR"/>
        </w:rPr>
      </w:pPr>
      <w:r>
        <w:rPr>
          <w:rFonts w:cs="Times New Roman"/>
          <w:i/>
          <w:lang w:eastAsia="hr-HR"/>
        </w:rPr>
        <w:t>Grafički prikaz kretanja broja zaposlenih od 2011. do 30.06.2016.</w:t>
      </w:r>
    </w:p>
    <w:p w:rsidRDefault="00924162" w:rsidP="00924162" w:rsidR="00924162">
      <w:pPr>
        <w:rPr>
          <w:rFonts w:cs="Times New Roman"/>
          <w:lang w:eastAsia="hr-HR"/>
        </w:rPr>
      </w:pPr>
      <w:r>
        <w:rPr>
          <w:rFonts w:hAnsiTheme="minorHAnsi" w:asciiTheme="minorHAnsi"/>
          <w:noProof/>
          <w:sz w:val="22"/>
          <w:szCs w:val="22"/>
          <w:lang w:eastAsia="hr-HR"/>
        </w:rPr>
        <w:lastRenderedPageBreak/>
        <w:drawing>
          <wp:inline distR="0" distL="0" distB="0" distT="0">
            <wp:extent cy="2526030" cx="5516880"/>
            <wp:effectExtent b="26670" r="26670" t="0" l="0"/>
            <wp:docPr name="Grafikon 5" id="5"/>
            <wp:cNvGraphicFramePr/>
            <a:graphic>
              <a:graphicData uri="http://schemas.openxmlformats.org/drawingml/2006/chart">
                <c:chart r:id="rId30"/>
              </a:graphicData>
            </a:graphic>
          </wp:inline>
        </w:drawing>
      </w:r>
    </w:p>
    <w:p w:rsidRDefault="00924162" w:rsidP="00924162" w:rsidR="00924162">
      <w:pPr>
        <w:rPr>
          <w:rFonts w:cs="Times New Roman"/>
          <w:i/>
        </w:rPr>
      </w:pPr>
      <w:r>
        <w:rPr>
          <w:rFonts w:cs="Times New Roman"/>
          <w:i/>
        </w:rPr>
        <w:t>Grafički prikaz projekcije kretanja broja zaposlenih od 2016. do 2019.</w:t>
      </w:r>
    </w:p>
    <w:p w:rsidRDefault="00924162" w:rsidP="00924162" w:rsidR="00924162">
      <w:pPr>
        <w:rPr>
          <w:rFonts w:cs="Times New Roman"/>
          <w:i/>
        </w:rPr>
      </w:pPr>
    </w:p>
    <w:p w:rsidRDefault="00924162" w:rsidP="00924162" w:rsidR="00924162">
      <w:pPr>
        <w:rPr>
          <w:rFonts w:cs="Times New Roman"/>
          <w:i/>
        </w:rPr>
      </w:pPr>
    </w:p>
    <w:p w:rsidRDefault="00924162" w:rsidP="00924162" w:rsidR="00924162">
      <w:pPr>
        <w:rPr>
          <w:rFonts w:cs="Times New Roman"/>
          <w:i/>
        </w:rPr>
      </w:pPr>
    </w:p>
    <w:p w:rsidRDefault="00924162" w:rsidP="00924162" w:rsidR="00924162">
      <w:pPr>
        <w:rPr>
          <w:rFonts w:cs="Times New Roman"/>
          <w:i/>
        </w:rPr>
      </w:pPr>
    </w:p>
    <w:p w:rsidRDefault="00924162" w:rsidP="00924162" w:rsidR="00924162">
      <w:pPr>
        <w:rPr>
          <w:rFonts w:cs="Times New Roman"/>
          <w:i/>
        </w:rPr>
      </w:pPr>
    </w:p>
    <w:p w:rsidRDefault="00924162" w:rsidP="00924162" w:rsidR="00924162">
      <w:pPr>
        <w:spacing w:after="0"/>
        <w:rPr>
          <w:rFonts w:cs="Times New Roman"/>
          <w:i/>
        </w:rPr>
        <w:sectPr w:rsidR="00924162">
          <w:pgSz w:h="16838" w:w="11906"/>
          <w:pgMar w:gutter="0" w:footer="708" w:header="708" w:left="1417" w:bottom="1417" w:right="1417" w:top="1417"/>
          <w:cols w:space="720"/>
        </w:sectPr>
      </w:pPr>
    </w:p>
    <w:p w:rsidRDefault="00924162" w:rsidP="00924162" w:rsidR="00924162">
      <w:pPr>
        <w:rPr>
          <w:rFonts w:cs="Times New Roman"/>
          <w:i/>
        </w:rPr>
      </w:pPr>
    </w:p>
    <w:p w:rsidRDefault="00924162" w:rsidP="00924162" w:rsidR="00924162">
      <w:pPr>
        <w:spacing w:lineRule="auto" w:line="360"/>
        <w:rPr>
          <w:rFonts w:cs="Times New Roman"/>
        </w:rPr>
      </w:pPr>
      <w:r>
        <w:rPr>
          <w:rFonts w:cs="Times New Roman"/>
        </w:rPr>
        <w:t>Radna mjesta koja će se otvoriti restrukturiranjem kako bi društvo moglo nastaviti svoje poslovanje su:</w:t>
      </w:r>
    </w:p>
    <w:p w:rsidRDefault="00924162" w:rsidP="00924162" w:rsidR="00924162">
      <w:pPr>
        <w:spacing w:lineRule="auto" w:line="360"/>
        <w:rPr>
          <w:rFonts w:cs="Times New Roman"/>
        </w:rPr>
      </w:pPr>
      <w:r>
        <w:rPr>
          <w:rFonts w:cs="Times New Roman"/>
          <w:noProof/>
          <w:lang w:eastAsia="hr-HR"/>
        </w:rPr>
        <w:drawing>
          <wp:inline distR="0" distL="0" distB="0" distT="0">
            <wp:extent cy="4354830" cx="9144000"/>
            <wp:effectExtent b="0" r="0" t="19050" l="0"/>
            <wp:docPr name="Dijagram 9" id="9"/>
            <wp:cNvGraphicFramePr>
              <a:graphicFrameLocks/>
            </wp:cNvGraphicFramePr>
            <a:graphic>
              <a:graphicData uri="http://schemas.openxmlformats.org/drawingml/2006/diagram">
                <dgm:relIds r:cs="rId34" r:qs="rId33" r:lo="rId32" r:dm="rId31"/>
              </a:graphicData>
            </a:graphic>
          </wp:inline>
        </w:drawing>
      </w:r>
    </w:p>
    <w:p w:rsidRDefault="00924162" w:rsidP="00924162" w:rsidR="00924162">
      <w:pPr>
        <w:spacing w:lineRule="auto" w:line="360" w:after="0"/>
        <w:rPr>
          <w:rFonts w:cs="Times New Roman"/>
        </w:rPr>
        <w:sectPr w:rsidR="00924162">
          <w:pgSz w:orient="landscape" w:h="11906" w:w="16838"/>
          <w:pgMar w:gutter="0" w:footer="708" w:header="708" w:left="1417" w:bottom="1417" w:right="1417" w:top="1417"/>
          <w:cols w:space="720"/>
        </w:sectPr>
      </w:pPr>
    </w:p>
    <w:p w:rsidRDefault="00924162" w:rsidP="00924162" w:rsidR="00924162">
      <w:pPr>
        <w:spacing w:lineRule="auto" w:line="360"/>
        <w:rPr>
          <w:rFonts w:cs="Times New Roman"/>
        </w:rPr>
      </w:pPr>
    </w:p>
    <w:p w:rsidRDefault="00924162" w:rsidP="00924162" w:rsidR="00924162">
      <w:pPr>
        <w:pStyle w:val="Naslov2"/>
        <w:keepLines/>
        <w:numPr>
          <w:ilvl w:val="0"/>
          <w:numId w:val="44"/>
        </w:numPr>
        <w:spacing w:lineRule="auto" w:line="276" w:after="0" w:before="200"/>
        <w:jc w:val="left"/>
        <w:rPr>
          <w:rFonts w:cs="Times New Roman"/>
          <w:sz w:val="24"/>
          <w:szCs w:val="24"/>
        </w:rPr>
      </w:pPr>
      <w:bookmarkStart w:name="_Toc458436244" w:id="18"/>
      <w:bookmarkStart w:name="_Toc432416054" w:id="19"/>
      <w:r>
        <w:rPr>
          <w:rFonts w:cs="Times New Roman"/>
          <w:sz w:val="24"/>
          <w:szCs w:val="24"/>
        </w:rPr>
        <w:t>Operativno poslovanje i tržišna situacija</w:t>
      </w:r>
      <w:bookmarkEnd w:id="18"/>
      <w:bookmarkEnd w:id="19"/>
    </w:p>
    <w:p w:rsidRDefault="00924162" w:rsidP="00924162" w:rsidR="00924162">
      <w:pPr>
        <w:rPr>
          <w:rFonts w:cs="Times New Roman"/>
        </w:rPr>
      </w:pPr>
    </w:p>
    <w:p w:rsidRDefault="00924162" w:rsidP="00924162" w:rsidR="00924162">
      <w:pPr>
        <w:spacing w:lineRule="auto" w:line="360"/>
        <w:jc w:val="both"/>
        <w:rPr>
          <w:rFonts w:cs="Times New Roman"/>
        </w:rPr>
      </w:pPr>
      <w:r>
        <w:rPr>
          <w:rFonts w:cs="Times New Roman"/>
        </w:rPr>
        <w:t xml:space="preserve">Društvo RATARSTVO d.o.o. osnovano je i posluje od 28.04.1995. godine. Tvrtka je upisana na Trgovačkom sudu u Bjelovaru pod matičnim brojem 010006975. Društvo je registrirano za obavljanje djelatnosti Uzgoj žitarica (osim riže), mahunarki i uljanog sjemenja (01.11). Temeljna djelatnost je voćarstvo, ovčarstvo i ratarstvo. RATARSTVO d.o.o. je mali poduzetnik </w:t>
      </w:r>
      <w:r>
        <w:rPr>
          <w:rFonts w:cs="Times New Roman"/>
          <w:shd w:fill="FFFFFF" w:color="auto" w:val="clear"/>
        </w:rPr>
        <w:t>u privatnom vlasništvu. Temeljni kapital poslovnog subjekta financiran je 100% domaćim kapitalom.</w:t>
      </w:r>
      <w:r>
        <w:rPr>
          <w:rFonts w:cs="Times New Roman"/>
        </w:rPr>
        <w:t xml:space="preserve"> Uprava društva se nalazi u Upravnoj zgradi u vlasništvu povezane tvrtke Ratarstvo d.o.o. na adresi Marice Hrvatske 4/I, 43 000 Bjelovar. </w:t>
      </w:r>
    </w:p>
    <w:p w:rsidRDefault="00924162" w:rsidP="00924162" w:rsidR="00924162">
      <w:pPr>
        <w:spacing w:lineRule="auto" w:line="360"/>
        <w:jc w:val="both"/>
        <w:rPr>
          <w:rFonts w:cs="Times New Roman"/>
        </w:rPr>
      </w:pPr>
      <w:r>
        <w:rPr>
          <w:rFonts w:cs="Times New Roman"/>
        </w:rPr>
        <w:t xml:space="preserve">Proizvodnja obuhvaća ratarstvo, ovčarstvo i </w:t>
      </w:r>
      <w:proofErr w:type="spellStart"/>
      <w:r>
        <w:rPr>
          <w:rFonts w:cs="Times New Roman"/>
        </w:rPr>
        <w:t>voćarsto</w:t>
      </w:r>
      <w:proofErr w:type="spellEnd"/>
      <w:r>
        <w:rPr>
          <w:rFonts w:cs="Times New Roman"/>
        </w:rPr>
        <w:t xml:space="preserve">. Ratarska proizvodnja odvija se na poljoprivrednoj površini u </w:t>
      </w:r>
      <w:proofErr w:type="spellStart"/>
      <w:r>
        <w:rPr>
          <w:rFonts w:cs="Times New Roman"/>
        </w:rPr>
        <w:t>Bačkovici</w:t>
      </w:r>
      <w:proofErr w:type="spellEnd"/>
      <w:r>
        <w:rPr>
          <w:rFonts w:cs="Times New Roman"/>
        </w:rPr>
        <w:t xml:space="preserve">, a obuhvaća ukupno 28,13 ha zemlje. Ovčarstvo se nalazi na istoj lokaciji i </w:t>
      </w:r>
      <w:proofErr w:type="spellStart"/>
      <w:r>
        <w:rPr>
          <w:rFonts w:cs="Times New Roman"/>
        </w:rPr>
        <w:t>poradzumijeva</w:t>
      </w:r>
      <w:proofErr w:type="spellEnd"/>
      <w:r>
        <w:rPr>
          <w:rFonts w:cs="Times New Roman"/>
        </w:rPr>
        <w:t xml:space="preserve"> i pašnjak od 9,47 ha. Voćarstvo obuhvaća 10,92 ha nasada lješnjaka, također u </w:t>
      </w:r>
      <w:proofErr w:type="spellStart"/>
      <w:r>
        <w:rPr>
          <w:rFonts w:cs="Times New Roman"/>
        </w:rPr>
        <w:t>Bačkovici</w:t>
      </w:r>
      <w:proofErr w:type="spellEnd"/>
      <w:r>
        <w:rPr>
          <w:rFonts w:cs="Times New Roman"/>
        </w:rPr>
        <w:t xml:space="preserve">. </w:t>
      </w:r>
    </w:p>
    <w:p w:rsidRDefault="00924162" w:rsidP="00924162" w:rsidR="00924162">
      <w:pPr>
        <w:spacing w:lineRule="auto" w:line="360"/>
        <w:jc w:val="both"/>
        <w:rPr>
          <w:rFonts w:cs="Times New Roman"/>
        </w:rPr>
      </w:pPr>
      <w:r>
        <w:rPr>
          <w:rFonts w:cs="Times New Roman"/>
        </w:rPr>
        <w:t xml:space="preserve">Posluje na području Kontinentalne Hrvatske, a svoje poslove društvo sklapa direktnim pogodbama i dogovorima. </w:t>
      </w:r>
      <w:r>
        <w:rPr>
          <w:rFonts w:cs="Times New Roman" w:eastAsia="Calibri"/>
          <w:shd w:fill="FFFFFF" w:color="auto" w:val="clear"/>
        </w:rPr>
        <w:t>Među najvećim dosadašnjim kupcima društva RATARSTVO d.o.o. su VRT d.o.o. i PPK d.o.o..</w:t>
      </w:r>
    </w:p>
    <w:p w:rsidRDefault="00924162" w:rsidP="00924162" w:rsidR="00924162">
      <w:pPr>
        <w:spacing w:lineRule="auto" w:line="360" w:after="0"/>
        <w:rPr>
          <w:rFonts w:cs="Times New Roman"/>
        </w:rPr>
        <w:sectPr w:rsidR="00924162">
          <w:pgSz w:h="16838" w:w="11906"/>
          <w:pgMar w:gutter="0" w:footer="708" w:header="708" w:left="1417" w:bottom="1417" w:right="1417" w:top="1417"/>
          <w:cols w:space="720"/>
        </w:sectPr>
      </w:pPr>
    </w:p>
    <w:p w:rsidRDefault="00924162" w:rsidP="00924162" w:rsidR="00924162">
      <w:pPr>
        <w:spacing w:lineRule="auto" w:line="360"/>
        <w:jc w:val="both"/>
        <w:rPr>
          <w:rFonts w:cs="Times New Roman"/>
          <w:bCs/>
        </w:rPr>
      </w:pPr>
      <w:r>
        <w:rPr>
          <w:rFonts w:cs="Times New Roman"/>
          <w:bCs/>
        </w:rPr>
        <w:lastRenderedPageBreak/>
        <w:t>Cilj Ratarstva d.o.o. je pozicionirati se u sektoru voćarstva kao vodeći centar za sortiranje i pakiranje voća na području Sjeverne i Istočne Hrvatske. Navedeno planira ostvariti kroz usku suradnju sa relevantnim hrvatskim proizvođačima jabuka u narednih 10 godina, a nakon toga stečeno iskustvo proširiti na druge vrste voća, povećati kapacitete sortiranja i postati sinonim kvalitete i idealnog partnera u plasiranju proizvoda na tržište.</w:t>
      </w:r>
    </w:p>
    <w:p w:rsidRDefault="00924162" w:rsidP="00924162" w:rsidR="00924162">
      <w:pPr>
        <w:spacing w:lineRule="auto" w:line="360"/>
        <w:jc w:val="both"/>
        <w:rPr>
          <w:rFonts w:cs="Times New Roman"/>
          <w:bCs/>
        </w:rPr>
      </w:pPr>
      <w:r>
        <w:rPr>
          <w:rFonts w:cs="Times New Roman"/>
          <w:bCs/>
        </w:rPr>
        <w:t xml:space="preserve">Društvo je apliciralo na natječaj Mjere 4.1.1. s projektom nabave </w:t>
      </w:r>
      <w:proofErr w:type="spellStart"/>
      <w:r>
        <w:rPr>
          <w:rFonts w:cs="Times New Roman"/>
          <w:bCs/>
        </w:rPr>
        <w:t>sortirnice</w:t>
      </w:r>
      <w:proofErr w:type="spellEnd"/>
      <w:r>
        <w:rPr>
          <w:rFonts w:cs="Times New Roman"/>
          <w:bCs/>
        </w:rPr>
        <w:t xml:space="preserve">. Rezultati natječaja još </w:t>
      </w:r>
      <w:proofErr w:type="spellStart"/>
      <w:r>
        <w:rPr>
          <w:rFonts w:cs="Times New Roman"/>
          <w:bCs/>
        </w:rPr>
        <w:t>uijek</w:t>
      </w:r>
      <w:proofErr w:type="spellEnd"/>
      <w:r>
        <w:rPr>
          <w:rFonts w:cs="Times New Roman"/>
          <w:bCs/>
        </w:rPr>
        <w:t xml:space="preserve"> nisu </w:t>
      </w:r>
      <w:proofErr w:type="spellStart"/>
      <w:r>
        <w:rPr>
          <w:rFonts w:cs="Times New Roman"/>
          <w:bCs/>
        </w:rPr>
        <w:t>poznati.</w:t>
      </w:r>
      <w:proofErr w:type="spellEnd"/>
      <w:r>
        <w:rPr>
          <w:rFonts w:cs="Times New Roman"/>
          <w:bCs/>
        </w:rPr>
        <w:t>.</w:t>
      </w:r>
    </w:p>
    <w:p w:rsidRDefault="00924162" w:rsidP="00924162" w:rsidR="00924162">
      <w:pPr>
        <w:spacing w:lineRule="auto" w:line="360"/>
        <w:jc w:val="both"/>
        <w:rPr>
          <w:rFonts w:cs="Times New Roman"/>
          <w:bCs/>
        </w:rPr>
      </w:pPr>
      <w:r>
        <w:rPr>
          <w:rFonts w:cs="Times New Roman"/>
          <w:bCs/>
        </w:rPr>
        <w:t>Temeljna pretpostavka razvoja poslovanja Ratarstva kao centra za sortiranje i pakiranje voća je razvoj voćarske proizvodnje povezanih društava te izgradnja hladnjače kapaciteta 5.000 tona na vlastitoj nekretnini u Ždralovima kraj Bjelovara.</w:t>
      </w:r>
    </w:p>
    <w:p w:rsidRDefault="00924162" w:rsidP="00924162" w:rsidR="00924162">
      <w:pPr>
        <w:spacing w:lineRule="auto" w:line="360"/>
        <w:jc w:val="both"/>
        <w:rPr>
          <w:rFonts w:cs="Times New Roman"/>
          <w:bCs/>
        </w:rPr>
      </w:pPr>
      <w:r>
        <w:rPr>
          <w:rFonts w:cs="Times New Roman"/>
          <w:bCs/>
        </w:rPr>
        <w:t xml:space="preserve">Projekt je planiran kao zajednički investicijski projekt povezanih društava VRT d.o.o. (Nositelj projekta) i Voćnjak d.o.o. (Partner u projektu) kojim je tvrtka VRT d.o.o. aplicirala </w:t>
      </w:r>
      <w:r>
        <w:rPr>
          <w:rFonts w:cs="Times New Roman"/>
          <w:bCs/>
        </w:rPr>
        <w:lastRenderedPageBreak/>
        <w:t xml:space="preserve">na EAFRD - Mjeru 4.1.1. (Restrukturiranje, modernizacija i povećanje konkurentnosti poljoprivrednih gospodarstava) pod nazivom “Prijem, sortiranje, prerada i skladištenje voća”. </w:t>
      </w:r>
    </w:p>
    <w:p w:rsidRDefault="00924162" w:rsidP="00924162" w:rsidR="00924162">
      <w:pPr>
        <w:spacing w:lineRule="auto" w:line="360"/>
        <w:jc w:val="both"/>
        <w:rPr>
          <w:rFonts w:cs="Times New Roman"/>
          <w:bCs/>
        </w:rPr>
      </w:pPr>
      <w:r>
        <w:rPr>
          <w:rFonts w:cs="Times New Roman"/>
          <w:bCs/>
        </w:rPr>
        <w:t>Svrha investicije je postizanje konkurentnije pozicije kroz povećanje učinkovitosti proizvodnje, stvaranje novih skladišnih kapaciteta, uvođenje tehnologije i razvijanje tehnoloških procesa s ciljem postizanja kvalitetnije kontrole procesa, smanjenje utroška energije i poboljšavanje energetske učinkovitosti, te stvaranja uvjeta koji omogućavaju efikasniju kontrolu nad vlastitom kvalitetom jabuke nakon čega slijedi prodaja i distribucija visoko kvalitetnog proizvoda maksimalno prilagođenog kupcu (način sortiranja i pakiranja) u trenutku kada je tržišna cijena najprihvatljivija.</w:t>
      </w:r>
    </w:p>
    <w:p w:rsidRDefault="00924162" w:rsidP="00924162" w:rsidR="00924162">
      <w:pPr>
        <w:spacing w:lineRule="auto" w:line="360"/>
        <w:jc w:val="both"/>
        <w:rPr>
          <w:rFonts w:cs="Times New Roman"/>
          <w:bCs/>
        </w:rPr>
      </w:pPr>
      <w:r>
        <w:rPr>
          <w:rFonts w:cs="Times New Roman"/>
          <w:bCs/>
        </w:rPr>
        <w:t xml:space="preserve">Investicija se sastoji od izgradnje i opremanja ULO hladnjače (ULO = </w:t>
      </w:r>
      <w:proofErr w:type="spellStart"/>
      <w:r>
        <w:rPr>
          <w:rFonts w:cs="Times New Roman"/>
          <w:bCs/>
        </w:rPr>
        <w:t>Ultra</w:t>
      </w:r>
      <w:proofErr w:type="spellEnd"/>
      <w:r>
        <w:rPr>
          <w:rFonts w:cs="Times New Roman"/>
          <w:bCs/>
        </w:rPr>
        <w:t xml:space="preserve"> </w:t>
      </w:r>
      <w:proofErr w:type="spellStart"/>
      <w:r>
        <w:rPr>
          <w:rFonts w:cs="Times New Roman"/>
          <w:bCs/>
        </w:rPr>
        <w:t>low</w:t>
      </w:r>
      <w:proofErr w:type="spellEnd"/>
      <w:r>
        <w:rPr>
          <w:rFonts w:cs="Times New Roman"/>
          <w:bCs/>
        </w:rPr>
        <w:t xml:space="preserve"> </w:t>
      </w:r>
      <w:proofErr w:type="spellStart"/>
      <w:r>
        <w:rPr>
          <w:rFonts w:cs="Times New Roman"/>
          <w:bCs/>
        </w:rPr>
        <w:t>oxygen</w:t>
      </w:r>
      <w:proofErr w:type="spellEnd"/>
      <w:r>
        <w:rPr>
          <w:rFonts w:cs="Times New Roman"/>
          <w:bCs/>
        </w:rPr>
        <w:t>) za skladištenje jabuka i gotovih proizvoda te izgradnje i opremanja pogona za preradu voća, odnosno proizvodnju soka i ostalih gotovih proizvoda od jabuke.</w:t>
      </w:r>
    </w:p>
    <w:p w:rsidRDefault="00924162" w:rsidP="00924162" w:rsidR="00924162">
      <w:pPr>
        <w:spacing w:lineRule="auto" w:line="360"/>
        <w:jc w:val="both"/>
        <w:rPr>
          <w:rFonts w:cs="Times New Roman"/>
          <w:bCs/>
        </w:rPr>
      </w:pPr>
      <w:r>
        <w:rPr>
          <w:rFonts w:cs="Times New Roman"/>
          <w:bCs/>
        </w:rPr>
        <w:t xml:space="preserve">Vrijednost investicijskog projekta iznosi 5.555.555,00 EUR, a iz EAFRD-a se očekuje povrat novčanih sredstava u iznosu 90% vrijednosti investicije, odnosno 5.000.000,00 EUR. </w:t>
      </w:r>
    </w:p>
    <w:p w:rsidRDefault="00924162" w:rsidP="00924162" w:rsidR="00924162">
      <w:pPr>
        <w:spacing w:lineRule="auto" w:line="360"/>
        <w:jc w:val="both"/>
        <w:rPr>
          <w:rFonts w:cs="Times New Roman"/>
          <w:bCs/>
        </w:rPr>
      </w:pPr>
      <w:r>
        <w:rPr>
          <w:rFonts w:cs="Times New Roman"/>
          <w:bCs/>
        </w:rPr>
        <w:t xml:space="preserve">Naime, sukladno Kriterijima odabira zahtjeva za potporu u Tipu operacije 4.1.1. navedenima u Prilogu III. Pravilnika o provedbi mjere M04 “Ulaganja u fizičku imovinu”, </w:t>
      </w:r>
      <w:proofErr w:type="spellStart"/>
      <w:r>
        <w:rPr>
          <w:rFonts w:cs="Times New Roman"/>
          <w:bCs/>
        </w:rPr>
        <w:t>podmjere</w:t>
      </w:r>
      <w:proofErr w:type="spellEnd"/>
      <w:r>
        <w:rPr>
          <w:rFonts w:cs="Times New Roman"/>
          <w:bCs/>
        </w:rPr>
        <w:t xml:space="preserve"> 4.1. “Potpora za ulaganja u poljoprivredna gospodarstva” iz Programa Ruralnog razvoja Republike Hrvatske za razdoblje 2014.-2020. godine”,  planirani investicijski projekt je ostvario 75 bodova od maksimalnih 100 bodova, a sukladno članku 10. Pravilnika ima preduvjete ostvarivanja 90% bespovratnih sredstava na temelju sljedećih karakteristika projekta:</w:t>
      </w:r>
    </w:p>
    <w:p w:rsidRDefault="00924162" w:rsidP="00924162" w:rsidR="00924162">
      <w:pPr>
        <w:spacing w:lineRule="auto" w:line="360"/>
        <w:jc w:val="both"/>
        <w:rPr>
          <w:rFonts w:cs="Times New Roman"/>
          <w:bCs/>
        </w:rPr>
      </w:pPr>
      <w:r>
        <w:rPr>
          <w:rFonts w:cs="Times New Roman"/>
          <w:bCs/>
        </w:rPr>
        <w:t> </w:t>
      </w:r>
    </w:p>
    <w:tbl>
      <w:tblPr>
        <w:tblW w:type="dxa" w:w="6258"/>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left w:type="dxa" w:w="0"/>
          <w:right w:type="dxa" w:w="0"/>
        </w:tblCellMar>
        <w:tblLook w:val="04A0" w:noVBand="1" w:noHBand="0" w:lastColumn="0" w:firstColumn="1" w:lastRow="0" w:firstRow="1"/>
      </w:tblPr>
      <w:tblGrid>
        <w:gridCol w:w="3402"/>
        <w:gridCol w:w="1800"/>
        <w:gridCol w:w="1056"/>
      </w:tblGrid>
      <w:tr w:rsidTr="00924162" w:rsidR="00924162">
        <w:trPr>
          <w:trHeight w:val="252"/>
          <w:jc w:val="center"/>
        </w:trPr>
        <w:tc>
          <w:tcPr>
            <w:tcW w:type="dxa" w:w="3402"/>
            <w:tcBorders>
              <w:top w:space="0" w:sz="4" w:color="auto" w:val="single"/>
              <w:left w:space="0" w:sz="4" w:color="auto" w:val="single"/>
              <w:bottom w:space="0" w:sz="4" w:color="auto" w:val="single"/>
              <w:right w:space="0" w:sz="4" w:color="auto" w:val="single"/>
            </w:tcBorders>
            <w:tcMar>
              <w:top w:type="dxa" w:w="15"/>
              <w:left w:type="dxa" w:w="15"/>
              <w:bottom w:type="dxa" w:w="0"/>
              <w:right w:type="dxa" w:w="15"/>
            </w:tcMar>
            <w:vAlign w:val="bottom"/>
            <w:hideMark/>
          </w:tcPr>
          <w:p w:rsidRDefault="00924162" w:rsidR="00924162">
            <w:pPr>
              <w:spacing w:lineRule="auto" w:line="360" w:after="200"/>
              <w:jc w:val="both"/>
              <w:rPr>
                <w:rFonts w:cs="Times New Roman"/>
                <w:bCs/>
              </w:rPr>
            </w:pPr>
            <w:r>
              <w:rPr>
                <w:rFonts w:cs="Times New Roman"/>
                <w:bCs/>
              </w:rPr>
              <w:t>minimalan (osnovni)  povrat</w:t>
            </w:r>
          </w:p>
        </w:tc>
        <w:tc>
          <w:tcPr>
            <w:tcW w:type="dxa" w:w="1800"/>
            <w:tcBorders>
              <w:top w:space="0" w:sz="4" w:color="auto" w:val="single"/>
              <w:left w:space="0" w:sz="4" w:color="auto" w:val="single"/>
              <w:bottom w:space="0" w:sz="4" w:color="auto" w:val="single"/>
              <w:right w:space="0" w:sz="4" w:color="auto" w:val="single"/>
            </w:tcBorders>
            <w:tcMar>
              <w:top w:type="dxa" w:w="15"/>
              <w:left w:type="dxa" w:w="15"/>
              <w:bottom w:type="dxa" w:w="0"/>
              <w:right w:type="dxa" w:w="15"/>
            </w:tcMar>
            <w:vAlign w:val="bottom"/>
            <w:hideMark/>
          </w:tcPr>
          <w:p w:rsidRDefault="00924162" w:rsidR="00924162">
            <w:pPr>
              <w:spacing w:lineRule="auto" w:line="360" w:after="200"/>
              <w:jc w:val="both"/>
              <w:rPr>
                <w:rFonts w:cs="Times New Roman"/>
                <w:bCs/>
              </w:rPr>
            </w:pPr>
            <w:r>
              <w:rPr>
                <w:rFonts w:cs="Times New Roman"/>
                <w:bCs/>
              </w:rPr>
              <w:t>2.777.778 EUR</w:t>
            </w:r>
          </w:p>
        </w:tc>
        <w:tc>
          <w:tcPr>
            <w:tcW w:type="dxa" w:w="1056"/>
            <w:tcBorders>
              <w:top w:space="0" w:sz="4" w:color="auto" w:val="single"/>
              <w:left w:space="0" w:sz="4" w:color="auto" w:val="single"/>
              <w:bottom w:space="0" w:sz="4" w:color="auto" w:val="single"/>
              <w:right w:space="0" w:sz="4" w:color="auto" w:val="single"/>
            </w:tcBorders>
            <w:tcMar>
              <w:top w:type="dxa" w:w="15"/>
              <w:left w:type="dxa" w:w="15"/>
              <w:bottom w:type="dxa" w:w="0"/>
              <w:right w:type="dxa" w:w="15"/>
            </w:tcMar>
            <w:vAlign w:val="bottom"/>
            <w:hideMark/>
          </w:tcPr>
          <w:p w:rsidRDefault="00924162" w:rsidR="00924162">
            <w:pPr>
              <w:spacing w:lineRule="auto" w:line="360" w:after="200"/>
              <w:jc w:val="both"/>
              <w:rPr>
                <w:rFonts w:cs="Times New Roman"/>
                <w:bCs/>
              </w:rPr>
            </w:pPr>
            <w:r>
              <w:rPr>
                <w:rFonts w:cs="Times New Roman"/>
                <w:bCs/>
              </w:rPr>
              <w:t>50%</w:t>
            </w:r>
          </w:p>
        </w:tc>
      </w:tr>
      <w:tr w:rsidTr="00924162" w:rsidR="00924162">
        <w:trPr>
          <w:trHeight w:val="252"/>
          <w:jc w:val="center"/>
        </w:trPr>
        <w:tc>
          <w:tcPr>
            <w:tcW w:type="dxa" w:w="3402"/>
            <w:tcBorders>
              <w:top w:space="0" w:sz="4" w:color="auto" w:val="single"/>
              <w:left w:space="0" w:sz="4" w:color="auto" w:val="single"/>
              <w:bottom w:space="0" w:sz="4" w:color="auto" w:val="single"/>
              <w:right w:space="0" w:sz="4" w:color="auto" w:val="single"/>
            </w:tcBorders>
            <w:tcMar>
              <w:top w:type="dxa" w:w="15"/>
              <w:left w:type="dxa" w:w="15"/>
              <w:bottom w:type="dxa" w:w="0"/>
              <w:right w:type="dxa" w:w="15"/>
            </w:tcMar>
            <w:vAlign w:val="bottom"/>
            <w:hideMark/>
          </w:tcPr>
          <w:p w:rsidRDefault="00924162" w:rsidR="00924162">
            <w:pPr>
              <w:spacing w:lineRule="auto" w:line="360" w:after="200"/>
              <w:jc w:val="both"/>
              <w:rPr>
                <w:rFonts w:cs="Times New Roman"/>
                <w:bCs/>
              </w:rPr>
            </w:pPr>
            <w:r>
              <w:rPr>
                <w:rFonts w:cs="Times New Roman"/>
                <w:bCs/>
              </w:rPr>
              <w:t>mladi poljoprivrednik</w:t>
            </w:r>
          </w:p>
        </w:tc>
        <w:tc>
          <w:tcPr>
            <w:tcW w:type="auto" w:w="0"/>
            <w:tcBorders>
              <w:top w:space="0" w:sz="4" w:color="auto" w:val="single"/>
              <w:left w:space="0" w:sz="4" w:color="auto" w:val="single"/>
              <w:bottom w:space="0" w:sz="4" w:color="auto" w:val="single"/>
              <w:right w:space="0" w:sz="4" w:color="auto" w:val="single"/>
            </w:tcBorders>
            <w:tcMar>
              <w:top w:type="dxa" w:w="15"/>
              <w:left w:type="dxa" w:w="15"/>
              <w:bottom w:type="dxa" w:w="0"/>
              <w:right w:type="dxa" w:w="15"/>
            </w:tcMar>
            <w:vAlign w:val="bottom"/>
            <w:hideMark/>
          </w:tcPr>
          <w:p w:rsidRDefault="00924162" w:rsidR="00924162">
            <w:pPr>
              <w:spacing w:lineRule="auto" w:line="360" w:after="200"/>
              <w:jc w:val="both"/>
              <w:rPr>
                <w:rFonts w:cs="Times New Roman"/>
                <w:bCs/>
              </w:rPr>
            </w:pPr>
            <w:r>
              <w:rPr>
                <w:rFonts w:cs="Times New Roman"/>
                <w:bCs/>
              </w:rPr>
              <w:t>1.111.111 EUR</w:t>
            </w:r>
          </w:p>
        </w:tc>
        <w:tc>
          <w:tcPr>
            <w:tcW w:type="auto" w:w="0"/>
            <w:tcBorders>
              <w:top w:space="0" w:sz="4" w:color="auto" w:val="single"/>
              <w:left w:space="0" w:sz="4" w:color="auto" w:val="single"/>
              <w:bottom w:space="0" w:sz="4" w:color="auto" w:val="single"/>
              <w:right w:space="0" w:sz="4" w:color="auto" w:val="single"/>
            </w:tcBorders>
            <w:tcMar>
              <w:top w:type="dxa" w:w="15"/>
              <w:left w:type="dxa" w:w="15"/>
              <w:bottom w:type="dxa" w:w="0"/>
              <w:right w:type="dxa" w:w="15"/>
            </w:tcMar>
            <w:vAlign w:val="bottom"/>
            <w:hideMark/>
          </w:tcPr>
          <w:p w:rsidRDefault="00924162" w:rsidR="00924162">
            <w:pPr>
              <w:spacing w:lineRule="auto" w:line="360" w:after="200"/>
              <w:jc w:val="both"/>
              <w:rPr>
                <w:rFonts w:cs="Times New Roman"/>
                <w:bCs/>
              </w:rPr>
            </w:pPr>
            <w:r>
              <w:rPr>
                <w:rFonts w:cs="Times New Roman"/>
                <w:bCs/>
              </w:rPr>
              <w:t>20%</w:t>
            </w:r>
          </w:p>
        </w:tc>
      </w:tr>
      <w:tr w:rsidTr="00924162" w:rsidR="00924162">
        <w:trPr>
          <w:trHeight w:val="276"/>
          <w:jc w:val="center"/>
        </w:trPr>
        <w:tc>
          <w:tcPr>
            <w:tcW w:type="dxa" w:w="3402"/>
            <w:tcBorders>
              <w:top w:space="0" w:sz="4" w:color="auto" w:val="single"/>
              <w:left w:space="0" w:sz="4" w:color="auto" w:val="single"/>
              <w:bottom w:space="0" w:sz="4" w:color="auto" w:val="single"/>
              <w:right w:space="0" w:sz="4" w:color="auto" w:val="single"/>
            </w:tcBorders>
            <w:tcMar>
              <w:top w:type="dxa" w:w="15"/>
              <w:left w:type="dxa" w:w="15"/>
              <w:bottom w:type="dxa" w:w="0"/>
              <w:right w:type="dxa" w:w="15"/>
            </w:tcMar>
            <w:vAlign w:val="bottom"/>
            <w:hideMark/>
          </w:tcPr>
          <w:p w:rsidRDefault="00924162" w:rsidR="00924162">
            <w:pPr>
              <w:spacing w:lineRule="auto" w:line="360" w:after="200"/>
              <w:jc w:val="both"/>
              <w:rPr>
                <w:rFonts w:cs="Times New Roman"/>
                <w:bCs/>
              </w:rPr>
            </w:pPr>
            <w:r>
              <w:rPr>
                <w:rFonts w:cs="Times New Roman"/>
                <w:bCs/>
              </w:rPr>
              <w:t>zajednički projekt</w:t>
            </w:r>
          </w:p>
        </w:tc>
        <w:tc>
          <w:tcPr>
            <w:tcW w:type="auto" w:w="0"/>
            <w:tcBorders>
              <w:top w:space="0" w:sz="4" w:color="auto" w:val="single"/>
              <w:left w:space="0" w:sz="4" w:color="auto" w:val="single"/>
              <w:bottom w:space="0" w:sz="4" w:color="auto" w:val="single"/>
              <w:right w:space="0" w:sz="4" w:color="auto" w:val="single"/>
            </w:tcBorders>
            <w:tcMar>
              <w:top w:type="dxa" w:w="15"/>
              <w:left w:type="dxa" w:w="15"/>
              <w:bottom w:type="dxa" w:w="0"/>
              <w:right w:type="dxa" w:w="15"/>
            </w:tcMar>
            <w:vAlign w:val="bottom"/>
            <w:hideMark/>
          </w:tcPr>
          <w:p w:rsidRDefault="00924162" w:rsidR="00924162">
            <w:pPr>
              <w:spacing w:lineRule="auto" w:line="360" w:after="200"/>
              <w:jc w:val="both"/>
              <w:rPr>
                <w:rFonts w:cs="Times New Roman"/>
                <w:bCs/>
              </w:rPr>
            </w:pPr>
            <w:r>
              <w:rPr>
                <w:rFonts w:cs="Times New Roman"/>
                <w:bCs/>
              </w:rPr>
              <w:t>1.111.111 EUR</w:t>
            </w:r>
          </w:p>
        </w:tc>
        <w:tc>
          <w:tcPr>
            <w:tcW w:type="auto" w:w="0"/>
            <w:tcBorders>
              <w:top w:space="0" w:sz="4" w:color="auto" w:val="single"/>
              <w:left w:space="0" w:sz="4" w:color="auto" w:val="single"/>
              <w:bottom w:space="0" w:sz="4" w:color="auto" w:val="single"/>
              <w:right w:space="0" w:sz="4" w:color="auto" w:val="single"/>
            </w:tcBorders>
            <w:tcMar>
              <w:top w:type="dxa" w:w="15"/>
              <w:left w:type="dxa" w:w="15"/>
              <w:bottom w:type="dxa" w:w="0"/>
              <w:right w:type="dxa" w:w="15"/>
            </w:tcMar>
            <w:vAlign w:val="bottom"/>
            <w:hideMark/>
          </w:tcPr>
          <w:p w:rsidRDefault="00924162" w:rsidR="00924162">
            <w:pPr>
              <w:spacing w:lineRule="auto" w:line="360" w:after="200"/>
              <w:jc w:val="both"/>
              <w:rPr>
                <w:rFonts w:cs="Times New Roman"/>
                <w:bCs/>
              </w:rPr>
            </w:pPr>
            <w:r>
              <w:rPr>
                <w:rFonts w:cs="Times New Roman"/>
                <w:bCs/>
              </w:rPr>
              <w:t>20%</w:t>
            </w:r>
          </w:p>
        </w:tc>
      </w:tr>
      <w:tr w:rsidTr="00924162" w:rsidR="00924162">
        <w:trPr>
          <w:trHeight w:val="276"/>
          <w:jc w:val="center"/>
        </w:trPr>
        <w:tc>
          <w:tcPr>
            <w:tcW w:type="dxa" w:w="3402"/>
            <w:tcBorders>
              <w:top w:space="0" w:sz="4" w:color="auto" w:val="single"/>
              <w:left w:space="0" w:sz="4" w:color="auto" w:val="single"/>
              <w:bottom w:space="0" w:sz="4" w:color="auto" w:val="single"/>
              <w:right w:space="0" w:sz="4" w:color="auto" w:val="single"/>
            </w:tcBorders>
            <w:tcMar>
              <w:top w:type="dxa" w:w="15"/>
              <w:left w:type="dxa" w:w="15"/>
              <w:bottom w:type="dxa" w:w="0"/>
              <w:right w:type="dxa" w:w="15"/>
            </w:tcMar>
            <w:vAlign w:val="bottom"/>
            <w:hideMark/>
          </w:tcPr>
          <w:p w:rsidRDefault="00924162" w:rsidR="00924162">
            <w:pPr>
              <w:spacing w:lineRule="auto" w:line="360" w:after="200"/>
              <w:jc w:val="both"/>
              <w:rPr>
                <w:rFonts w:cs="Times New Roman"/>
                <w:bCs/>
              </w:rPr>
            </w:pPr>
            <w:r>
              <w:rPr>
                <w:rFonts w:cs="Times New Roman"/>
                <w:bCs/>
              </w:rPr>
              <w:t>Povrat EAFRD - GRANT</w:t>
            </w:r>
          </w:p>
        </w:tc>
        <w:tc>
          <w:tcPr>
            <w:tcW w:type="auto" w:w="0"/>
            <w:tcBorders>
              <w:top w:space="0" w:sz="4" w:color="auto" w:val="single"/>
              <w:left w:space="0" w:sz="4" w:color="auto" w:val="single"/>
              <w:bottom w:space="0" w:sz="4" w:color="auto" w:val="single"/>
              <w:right w:space="0" w:sz="4" w:color="auto" w:val="single"/>
            </w:tcBorders>
            <w:tcMar>
              <w:top w:type="dxa" w:w="15"/>
              <w:left w:type="dxa" w:w="15"/>
              <w:bottom w:type="dxa" w:w="0"/>
              <w:right w:type="dxa" w:w="15"/>
            </w:tcMar>
            <w:vAlign w:val="bottom"/>
            <w:hideMark/>
          </w:tcPr>
          <w:p w:rsidRDefault="00924162" w:rsidR="00924162">
            <w:pPr>
              <w:spacing w:lineRule="auto" w:line="360" w:after="200"/>
              <w:jc w:val="both"/>
              <w:rPr>
                <w:rFonts w:cs="Times New Roman"/>
                <w:bCs/>
              </w:rPr>
            </w:pPr>
            <w:r>
              <w:rPr>
                <w:rFonts w:cs="Times New Roman"/>
                <w:bCs/>
              </w:rPr>
              <w:t>5.000.000 EUR</w:t>
            </w:r>
          </w:p>
        </w:tc>
        <w:tc>
          <w:tcPr>
            <w:tcW w:type="auto" w:w="0"/>
            <w:tcBorders>
              <w:top w:space="0" w:sz="4" w:color="auto" w:val="single"/>
              <w:left w:space="0" w:sz="4" w:color="auto" w:val="single"/>
              <w:bottom w:space="0" w:sz="4" w:color="auto" w:val="single"/>
              <w:right w:space="0" w:sz="4" w:color="auto" w:val="single"/>
            </w:tcBorders>
            <w:tcMar>
              <w:top w:type="dxa" w:w="15"/>
              <w:left w:type="dxa" w:w="15"/>
              <w:bottom w:type="dxa" w:w="0"/>
              <w:right w:type="dxa" w:w="15"/>
            </w:tcMar>
            <w:vAlign w:val="bottom"/>
            <w:hideMark/>
          </w:tcPr>
          <w:p w:rsidRDefault="00924162" w:rsidR="00924162">
            <w:pPr>
              <w:spacing w:lineRule="auto" w:line="360" w:after="200"/>
              <w:jc w:val="both"/>
              <w:rPr>
                <w:rFonts w:cs="Times New Roman"/>
                <w:bCs/>
              </w:rPr>
            </w:pPr>
            <w:r>
              <w:rPr>
                <w:rFonts w:cs="Times New Roman"/>
                <w:bCs/>
              </w:rPr>
              <w:t>90%</w:t>
            </w:r>
          </w:p>
        </w:tc>
      </w:tr>
    </w:tbl>
    <w:p w:rsidRDefault="00924162" w:rsidP="00924162" w:rsidR="00924162">
      <w:pPr>
        <w:spacing w:lineRule="auto" w:line="360"/>
        <w:jc w:val="both"/>
        <w:rPr>
          <w:rFonts w:cs="Times New Roman"/>
          <w:bCs/>
        </w:rPr>
      </w:pPr>
      <w:r>
        <w:rPr>
          <w:rFonts w:cs="Times New Roman"/>
          <w:bCs/>
        </w:rPr>
        <w:t> </w:t>
      </w:r>
    </w:p>
    <w:tbl>
      <w:tblPr>
        <w:tblW w:type="dxa" w:w="5472"/>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left w:type="dxa" w:w="0"/>
          <w:right w:type="dxa" w:w="0"/>
        </w:tblCellMar>
        <w:tblLook w:val="04A0" w:noVBand="1" w:noHBand="0" w:lastColumn="0" w:firstColumn="1" w:lastRow="0" w:firstRow="1"/>
      </w:tblPr>
      <w:tblGrid>
        <w:gridCol w:w="2616"/>
        <w:gridCol w:w="1800"/>
        <w:gridCol w:w="1056"/>
      </w:tblGrid>
      <w:tr w:rsidTr="00924162" w:rsidR="00924162">
        <w:trPr>
          <w:trHeight w:val="252"/>
          <w:jc w:val="center"/>
        </w:trPr>
        <w:tc>
          <w:tcPr>
            <w:tcW w:type="dxa" w:w="2616"/>
            <w:tcBorders>
              <w:top w:space="0" w:sz="4" w:color="auto" w:val="single"/>
              <w:left w:space="0" w:sz="4" w:color="auto" w:val="single"/>
              <w:bottom w:space="0" w:sz="4" w:color="auto" w:val="single"/>
              <w:right w:space="0" w:sz="4" w:color="auto" w:val="single"/>
            </w:tcBorders>
            <w:tcMar>
              <w:top w:type="dxa" w:w="15"/>
              <w:left w:type="dxa" w:w="15"/>
              <w:bottom w:type="dxa" w:w="0"/>
              <w:right w:type="dxa" w:w="15"/>
            </w:tcMar>
            <w:vAlign w:val="bottom"/>
            <w:hideMark/>
          </w:tcPr>
          <w:p w:rsidRDefault="00924162" w:rsidR="00924162">
            <w:pPr>
              <w:spacing w:lineRule="auto" w:line="360" w:after="200"/>
              <w:jc w:val="both"/>
              <w:rPr>
                <w:rFonts w:cs="Times New Roman"/>
                <w:bCs/>
              </w:rPr>
            </w:pPr>
            <w:r>
              <w:rPr>
                <w:rFonts w:cs="Times New Roman"/>
                <w:bCs/>
              </w:rPr>
              <w:lastRenderedPageBreak/>
              <w:t>Vrijednost investicije</w:t>
            </w:r>
          </w:p>
        </w:tc>
        <w:tc>
          <w:tcPr>
            <w:tcW w:type="dxa" w:w="1800"/>
            <w:tcBorders>
              <w:top w:space="0" w:sz="4" w:color="auto" w:val="single"/>
              <w:left w:space="0" w:sz="4" w:color="auto" w:val="single"/>
              <w:bottom w:space="0" w:sz="4" w:color="auto" w:val="single"/>
              <w:right w:space="0" w:sz="4" w:color="auto" w:val="single"/>
            </w:tcBorders>
            <w:tcMar>
              <w:top w:type="dxa" w:w="15"/>
              <w:left w:type="dxa" w:w="15"/>
              <w:bottom w:type="dxa" w:w="0"/>
              <w:right w:type="dxa" w:w="15"/>
            </w:tcMar>
            <w:vAlign w:val="bottom"/>
            <w:hideMark/>
          </w:tcPr>
          <w:p w:rsidRDefault="00924162" w:rsidR="00924162">
            <w:pPr>
              <w:spacing w:lineRule="auto" w:line="360" w:after="200"/>
              <w:jc w:val="both"/>
              <w:rPr>
                <w:rFonts w:cs="Times New Roman"/>
                <w:bCs/>
              </w:rPr>
            </w:pPr>
            <w:r>
              <w:rPr>
                <w:rFonts w:cs="Times New Roman"/>
                <w:bCs/>
              </w:rPr>
              <w:t>5.555.556 EUR</w:t>
            </w:r>
          </w:p>
        </w:tc>
        <w:tc>
          <w:tcPr>
            <w:tcW w:type="dxa" w:w="1056"/>
            <w:tcBorders>
              <w:top w:space="0" w:sz="4" w:color="auto" w:val="single"/>
              <w:left w:space="0" w:sz="4" w:color="auto" w:val="single"/>
              <w:bottom w:space="0" w:sz="4" w:color="auto" w:val="single"/>
              <w:right w:space="0" w:sz="4" w:color="auto" w:val="single"/>
            </w:tcBorders>
            <w:tcMar>
              <w:top w:type="dxa" w:w="15"/>
              <w:left w:type="dxa" w:w="15"/>
              <w:bottom w:type="dxa" w:w="0"/>
              <w:right w:type="dxa" w:w="15"/>
            </w:tcMar>
            <w:vAlign w:val="bottom"/>
            <w:hideMark/>
          </w:tcPr>
          <w:p w:rsidRDefault="00924162" w:rsidR="00924162">
            <w:pPr>
              <w:spacing w:lineRule="auto" w:line="360" w:after="200"/>
              <w:jc w:val="both"/>
              <w:rPr>
                <w:rFonts w:cs="Times New Roman"/>
                <w:bCs/>
              </w:rPr>
            </w:pPr>
            <w:r>
              <w:rPr>
                <w:rFonts w:cs="Times New Roman"/>
                <w:bCs/>
              </w:rPr>
              <w:t>100%</w:t>
            </w:r>
          </w:p>
        </w:tc>
      </w:tr>
    </w:tbl>
    <w:p w:rsidRDefault="00924162" w:rsidP="00924162" w:rsidR="00924162">
      <w:pPr>
        <w:spacing w:lineRule="auto" w:line="360"/>
        <w:jc w:val="both"/>
        <w:rPr>
          <w:rFonts w:cs="Times New Roman"/>
          <w:bCs/>
        </w:rPr>
      </w:pPr>
      <w:r>
        <w:rPr>
          <w:rFonts w:cs="Times New Roman"/>
          <w:bCs/>
        </w:rPr>
        <w:t>   </w:t>
      </w:r>
    </w:p>
    <w:p w:rsidRDefault="00924162" w:rsidP="00924162" w:rsidR="00924162">
      <w:pPr>
        <w:spacing w:lineRule="auto" w:line="360"/>
        <w:jc w:val="both"/>
        <w:rPr>
          <w:rFonts w:cs="Times New Roman"/>
          <w:bCs/>
        </w:rPr>
      </w:pPr>
      <w:r>
        <w:rPr>
          <w:rFonts w:cs="Times New Roman"/>
          <w:bCs/>
        </w:rPr>
        <w:t>Odluke/novci za Mjeru 4.1.1. na koju smo aplicirali još uvijek nisu nikome dane. Radi se o prvom natječaju u Mjeri 4.1.1. koji je završio 15.04.2015. za koju postoji objavljena lista odobrenih zahtjeva. Naš projekt se nalazi na 72. mjestu.</w:t>
      </w:r>
    </w:p>
    <w:p w:rsidRDefault="00924162" w:rsidP="00924162" w:rsidR="00924162">
      <w:pPr>
        <w:spacing w:lineRule="auto" w:line="360" w:after="0"/>
        <w:rPr>
          <w:rFonts w:cs="Times New Roman"/>
          <w:bCs/>
        </w:rPr>
        <w:sectPr w:rsidR="00924162">
          <w:type w:val="continuous"/>
          <w:pgSz w:h="16838" w:w="11906"/>
          <w:pgMar w:gutter="0" w:footer="708" w:header="708" w:left="1417" w:bottom="1417" w:right="1417" w:top="1417"/>
          <w:cols w:space="720"/>
        </w:sectPr>
      </w:pPr>
    </w:p>
    <w:p w:rsidRDefault="00924162" w:rsidP="00924162" w:rsidR="00924162">
      <w:pPr>
        <w:spacing w:lineRule="auto" w:line="360"/>
        <w:rPr>
          <w:rFonts w:cs="Times New Roman"/>
          <w:bCs/>
        </w:rPr>
      </w:pPr>
    </w:p>
    <w:p w:rsidRDefault="00924162" w:rsidP="00924162" w:rsidR="00924162">
      <w:pPr>
        <w:pStyle w:val="Naslov4"/>
        <w:numPr>
          <w:ilvl w:val="0"/>
          <w:numId w:val="46"/>
        </w:numPr>
        <w:spacing w:lineRule="auto" w:line="276" w:after="0"/>
        <w:rPr>
          <w:rFonts w:cs="Times New Roman" w:hAnsi="Times New Roman" w:ascii="Times New Roman"/>
        </w:rPr>
      </w:pPr>
      <w:bookmarkStart w:name="_Toc458436245" w:id="20"/>
      <w:r>
        <w:rPr>
          <w:rFonts w:cs="Times New Roman" w:hAnsi="Times New Roman" w:ascii="Times New Roman"/>
        </w:rPr>
        <w:t>Izvješće o poslovnom i financijskom stanju dužnika RATARSTVO  d.o.o., Bjelovar, na temelju financijskog izvještaja sa stanjem na dan 30.06.2016. godine</w:t>
      </w:r>
      <w:bookmarkEnd w:id="20"/>
    </w:p>
    <w:p w:rsidRDefault="00924162" w:rsidP="00924162" w:rsidR="00924162">
      <w:pPr>
        <w:rPr>
          <w:rFonts w:cs="Times New Roman"/>
        </w:rPr>
      </w:pPr>
    </w:p>
    <w:p w:rsidRDefault="00924162" w:rsidP="00924162" w:rsidR="00924162">
      <w:pPr>
        <w:spacing w:lineRule="auto" w:line="360"/>
        <w:rPr>
          <w:rFonts w:cs="Times New Roman"/>
        </w:rPr>
      </w:pPr>
      <w:r>
        <w:rPr>
          <w:rFonts w:cs="Times New Roman"/>
        </w:rPr>
        <w:t>Rezultati poslovanja dani su u računu dobiti i gubitka na dan 30.06.2016. (iznosi u kn), a dok grafički prikaz pokazuje ostvarene rezultate poslovanja.</w:t>
      </w:r>
    </w:p>
    <w:tbl>
      <w:tblPr>
        <w:tblW w:type="dxa" w:w="9508"/>
        <w:tblInd w:type="dxa" w:w="108"/>
        <w:tblLook w:val="04A0" w:noVBand="1" w:noHBand="0" w:lastColumn="0" w:firstColumn="1" w:lastRow="0" w:firstRow="1"/>
      </w:tblPr>
      <w:tblGrid>
        <w:gridCol w:w="675"/>
        <w:gridCol w:w="672"/>
        <w:gridCol w:w="670"/>
        <w:gridCol w:w="669"/>
        <w:gridCol w:w="667"/>
        <w:gridCol w:w="666"/>
        <w:gridCol w:w="665"/>
        <w:gridCol w:w="664"/>
        <w:gridCol w:w="759"/>
        <w:gridCol w:w="804"/>
        <w:gridCol w:w="1299"/>
        <w:gridCol w:w="1298"/>
      </w:tblGrid>
      <w:tr w:rsidTr="00924162" w:rsidR="00924162">
        <w:trPr>
          <w:trHeight w:val="719"/>
        </w:trPr>
        <w:tc>
          <w:tcPr>
            <w:tcW w:type="dxa" w:w="8210"/>
            <w:gridSpan w:val="11"/>
            <w:tcBorders>
              <w:top w:val="nil"/>
              <w:left w:val="nil"/>
              <w:bottom w:val="nil"/>
              <w:right w:space="0" w:sz="8" w:color="000000" w:val="single"/>
            </w:tcBorders>
            <w:vAlign w:val="center"/>
            <w:hideMark/>
          </w:tcPr>
          <w:p w:rsidRDefault="00924162" w:rsidR="00924162">
            <w:pPr>
              <w:spacing w:after="0"/>
              <w:jc w:val="center"/>
              <w:rPr>
                <w:rFonts w:cs="Arial" w:eastAsia="Times New Roman" w:hAnsi="Arial" w:ascii="Arial"/>
                <w:b/>
                <w:bCs/>
                <w:color w:val="000080"/>
                <w:lang w:eastAsia="hr-HR"/>
              </w:rPr>
            </w:pPr>
            <w:r>
              <w:rPr>
                <w:rFonts w:cs="Arial" w:eastAsia="Times New Roman" w:hAnsi="Arial" w:ascii="Arial"/>
                <w:b/>
                <w:bCs/>
                <w:color w:val="000080"/>
                <w:lang w:eastAsia="hr-HR"/>
              </w:rPr>
              <w:t>RAČUN DOBITI I GUBITKA</w:t>
            </w:r>
          </w:p>
        </w:tc>
        <w:tc>
          <w:tcPr>
            <w:tcW w:type="dxa" w:w="1298"/>
            <w:vMerge w:val="restart"/>
            <w:tcBorders>
              <w:top w:space="0" w:sz="8" w:color="auto" w:val="single"/>
              <w:left w:space="0" w:sz="8" w:color="auto" w:val="single"/>
              <w:bottom w:space="0" w:sz="8" w:color="000000" w:val="single"/>
              <w:right w:space="0" w:sz="8" w:color="auto" w:val="single"/>
            </w:tcBorders>
            <w:shd w:fill="auto" w:color="CCCCFF" w:val="pct25"/>
            <w:vAlign w:val="center"/>
            <w:hideMark/>
          </w:tcPr>
          <w:p w:rsidRDefault="00924162" w:rsidR="00924162">
            <w:pPr>
              <w:spacing w:after="0"/>
              <w:jc w:val="center"/>
              <w:rPr>
                <w:rFonts w:cs="Arial" w:eastAsia="Times New Roman" w:hAnsi="Arial" w:ascii="Arial"/>
                <w:b/>
                <w:bCs/>
                <w:color w:val="000080"/>
                <w:sz w:val="16"/>
                <w:szCs w:val="16"/>
                <w:lang w:eastAsia="hr-HR"/>
              </w:rPr>
            </w:pPr>
            <w:r>
              <w:rPr>
                <w:rFonts w:cs="Arial" w:eastAsia="Times New Roman" w:hAnsi="Arial" w:ascii="Arial"/>
                <w:b/>
                <w:bCs/>
                <w:color w:val="000080"/>
                <w:sz w:val="16"/>
                <w:szCs w:val="16"/>
                <w:lang w:eastAsia="hr-HR"/>
              </w:rPr>
              <w:t>Obrazac</w:t>
            </w:r>
            <w:r>
              <w:rPr>
                <w:rFonts w:cs="Arial" w:eastAsia="Times New Roman" w:hAnsi="Arial" w:ascii="Arial"/>
                <w:b/>
                <w:bCs/>
                <w:color w:val="000080"/>
                <w:sz w:val="20"/>
                <w:szCs w:val="20"/>
                <w:lang w:eastAsia="hr-HR"/>
              </w:rPr>
              <w:br/>
            </w:r>
            <w:r>
              <w:rPr>
                <w:rFonts w:cs="Arial" w:eastAsia="Times New Roman" w:hAnsi="Arial Black" w:ascii="Arial Black"/>
                <w:b/>
                <w:bCs/>
                <w:color w:val="000080"/>
                <w:lang w:eastAsia="hr-HR"/>
              </w:rPr>
              <w:t>POD-RDG</w:t>
            </w:r>
          </w:p>
        </w:tc>
      </w:tr>
      <w:tr w:rsidTr="00924162" w:rsidR="00924162">
        <w:trPr>
          <w:trHeight w:val="719"/>
        </w:trPr>
        <w:tc>
          <w:tcPr>
            <w:tcW w:type="dxa" w:w="8210"/>
            <w:gridSpan w:val="11"/>
            <w:tcBorders>
              <w:top w:val="nil"/>
              <w:left w:val="nil"/>
              <w:bottom w:val="nil"/>
              <w:right w:space="0" w:sz="8" w:color="000000" w:val="single"/>
            </w:tcBorders>
            <w:hideMark/>
          </w:tcPr>
          <w:p w:rsidRDefault="00924162" w:rsidR="00924162">
            <w:pPr>
              <w:spacing w:after="0"/>
              <w:jc w:val="center"/>
              <w:rPr>
                <w:rFonts w:cs="Arial" w:eastAsia="Times New Roman" w:hAnsi="Arial" w:ascii="Arial"/>
                <w:b/>
                <w:bCs/>
                <w:color w:val="000080"/>
                <w:sz w:val="20"/>
                <w:szCs w:val="20"/>
                <w:lang w:eastAsia="hr-HR"/>
              </w:rPr>
            </w:pPr>
            <w:r>
              <w:rPr>
                <w:rFonts w:cs="Arial" w:eastAsia="Times New Roman" w:hAnsi="Arial" w:ascii="Arial"/>
                <w:b/>
                <w:bCs/>
                <w:color w:val="000080"/>
                <w:sz w:val="20"/>
                <w:szCs w:val="20"/>
                <w:lang w:eastAsia="hr-HR"/>
              </w:rPr>
              <w:t>za razdoblje 01.01.2016. do 30.06.2016.</w:t>
            </w:r>
          </w:p>
        </w:tc>
        <w:tc>
          <w:tcPr>
            <w:tcW w:type="auto" w:w="0"/>
            <w:vMerge/>
            <w:tcBorders>
              <w:top w:space="0" w:sz="8" w:color="auto" w:val="single"/>
              <w:left w:space="0" w:sz="8" w:color="auto" w:val="single"/>
              <w:bottom w:space="0" w:sz="8" w:color="000000" w:val="single"/>
              <w:right w:space="0" w:sz="8" w:color="auto" w:val="single"/>
            </w:tcBorders>
            <w:vAlign w:val="center"/>
            <w:hideMark/>
          </w:tcPr>
          <w:p w:rsidRDefault="00924162" w:rsidR="00924162">
            <w:pPr>
              <w:spacing w:after="0"/>
              <w:rPr>
                <w:rFonts w:cs="Arial" w:eastAsia="Times New Roman" w:hAnsi="Arial" w:ascii="Arial"/>
                <w:b/>
                <w:bCs/>
                <w:color w:val="000080"/>
                <w:sz w:val="16"/>
                <w:szCs w:val="16"/>
                <w:lang w:eastAsia="hr-HR"/>
              </w:rPr>
            </w:pPr>
          </w:p>
        </w:tc>
      </w:tr>
      <w:tr w:rsidTr="00924162" w:rsidR="00924162">
        <w:trPr>
          <w:trHeight w:val="182"/>
        </w:trPr>
        <w:tc>
          <w:tcPr>
            <w:tcW w:type="dxa" w:w="691"/>
            <w:hideMark/>
          </w:tcPr>
          <w:p w:rsidRDefault="00924162" w:rsidR="00924162">
            <w:pPr>
              <w:spacing w:lineRule="auto" w:line="276" w:after="0"/>
              <w:rPr>
                <w:rFonts w:cs="Times New Roman"/>
                <w:sz w:val="22"/>
                <w:szCs w:val="22"/>
              </w:rPr>
            </w:pPr>
          </w:p>
        </w:tc>
        <w:tc>
          <w:tcPr>
            <w:tcW w:type="dxa" w:w="691"/>
            <w:hideMark/>
          </w:tcPr>
          <w:p w:rsidRDefault="00924162" w:rsidR="00924162">
            <w:pPr>
              <w:spacing w:lineRule="auto" w:line="276" w:after="0"/>
              <w:rPr>
                <w:rFonts w:cs="Times New Roman"/>
                <w:sz w:val="22"/>
                <w:szCs w:val="22"/>
              </w:rPr>
            </w:pPr>
          </w:p>
        </w:tc>
        <w:tc>
          <w:tcPr>
            <w:tcW w:type="dxa" w:w="691"/>
            <w:hideMark/>
          </w:tcPr>
          <w:p w:rsidRDefault="00924162" w:rsidR="00924162">
            <w:pPr>
              <w:spacing w:lineRule="auto" w:line="276" w:after="0"/>
              <w:rPr>
                <w:rFonts w:cs="Times New Roman"/>
                <w:sz w:val="22"/>
                <w:szCs w:val="22"/>
              </w:rPr>
            </w:pPr>
          </w:p>
        </w:tc>
        <w:tc>
          <w:tcPr>
            <w:tcW w:type="dxa" w:w="691"/>
            <w:hideMark/>
          </w:tcPr>
          <w:p w:rsidRDefault="00924162" w:rsidR="00924162">
            <w:pPr>
              <w:spacing w:lineRule="auto" w:line="276" w:after="0"/>
              <w:rPr>
                <w:rFonts w:cs="Times New Roman"/>
                <w:sz w:val="22"/>
                <w:szCs w:val="22"/>
              </w:rPr>
            </w:pPr>
          </w:p>
        </w:tc>
        <w:tc>
          <w:tcPr>
            <w:tcW w:type="dxa" w:w="691"/>
            <w:hideMark/>
          </w:tcPr>
          <w:p w:rsidRDefault="00924162" w:rsidR="00924162">
            <w:pPr>
              <w:spacing w:lineRule="auto" w:line="276" w:after="0"/>
              <w:rPr>
                <w:rFonts w:cs="Times New Roman"/>
                <w:sz w:val="22"/>
                <w:szCs w:val="22"/>
              </w:rPr>
            </w:pPr>
          </w:p>
        </w:tc>
        <w:tc>
          <w:tcPr>
            <w:tcW w:type="dxa" w:w="691"/>
            <w:hideMark/>
          </w:tcPr>
          <w:p w:rsidRDefault="00924162" w:rsidR="00924162">
            <w:pPr>
              <w:spacing w:lineRule="auto" w:line="276" w:after="0"/>
              <w:rPr>
                <w:rFonts w:cs="Times New Roman"/>
                <w:sz w:val="22"/>
                <w:szCs w:val="22"/>
              </w:rPr>
            </w:pPr>
          </w:p>
        </w:tc>
        <w:tc>
          <w:tcPr>
            <w:tcW w:type="dxa" w:w="691"/>
            <w:hideMark/>
          </w:tcPr>
          <w:p w:rsidRDefault="00924162" w:rsidR="00924162">
            <w:pPr>
              <w:spacing w:lineRule="auto" w:line="276" w:after="0"/>
              <w:rPr>
                <w:rFonts w:cs="Times New Roman"/>
                <w:sz w:val="22"/>
                <w:szCs w:val="22"/>
              </w:rPr>
            </w:pPr>
          </w:p>
        </w:tc>
        <w:tc>
          <w:tcPr>
            <w:tcW w:type="dxa" w:w="691"/>
            <w:hideMark/>
          </w:tcPr>
          <w:p w:rsidRDefault="00924162" w:rsidR="00924162">
            <w:pPr>
              <w:spacing w:lineRule="auto" w:line="276" w:after="0"/>
              <w:rPr>
                <w:rFonts w:cs="Times New Roman"/>
                <w:sz w:val="22"/>
                <w:szCs w:val="22"/>
              </w:rPr>
            </w:pPr>
          </w:p>
        </w:tc>
        <w:tc>
          <w:tcPr>
            <w:tcW w:type="dxa" w:w="691"/>
            <w:hideMark/>
          </w:tcPr>
          <w:p w:rsidRDefault="00924162" w:rsidR="00924162">
            <w:pPr>
              <w:spacing w:lineRule="auto" w:line="276" w:after="0"/>
              <w:rPr>
                <w:rFonts w:cs="Times New Roman"/>
                <w:sz w:val="22"/>
                <w:szCs w:val="22"/>
              </w:rPr>
            </w:pPr>
          </w:p>
        </w:tc>
        <w:tc>
          <w:tcPr>
            <w:tcW w:type="dxa" w:w="691"/>
            <w:hideMark/>
          </w:tcPr>
          <w:p w:rsidRDefault="00924162" w:rsidR="00924162">
            <w:pPr>
              <w:spacing w:lineRule="auto" w:line="276" w:after="0"/>
              <w:rPr>
                <w:rFonts w:cs="Times New Roman"/>
                <w:sz w:val="22"/>
                <w:szCs w:val="22"/>
              </w:rPr>
            </w:pPr>
          </w:p>
        </w:tc>
        <w:tc>
          <w:tcPr>
            <w:tcW w:type="dxa" w:w="1298"/>
            <w:hideMark/>
          </w:tcPr>
          <w:p w:rsidRDefault="00924162" w:rsidR="00924162">
            <w:pPr>
              <w:spacing w:lineRule="auto" w:line="276" w:after="0"/>
              <w:rPr>
                <w:rFonts w:cs="Times New Roman"/>
                <w:sz w:val="22"/>
                <w:szCs w:val="22"/>
              </w:rPr>
            </w:pPr>
          </w:p>
        </w:tc>
        <w:tc>
          <w:tcPr>
            <w:tcW w:type="dxa" w:w="1298"/>
            <w:vAlign w:val="center"/>
            <w:hideMark/>
          </w:tcPr>
          <w:p w:rsidRDefault="00924162" w:rsidR="00924162">
            <w:pPr>
              <w:spacing w:lineRule="auto" w:line="276" w:after="0"/>
              <w:rPr>
                <w:rFonts w:cs="Times New Roman"/>
                <w:sz w:val="22"/>
                <w:szCs w:val="22"/>
              </w:rPr>
            </w:pPr>
          </w:p>
        </w:tc>
      </w:tr>
      <w:tr w:rsidTr="00924162" w:rsidR="00924162">
        <w:trPr>
          <w:trHeight w:val="719"/>
        </w:trPr>
        <w:tc>
          <w:tcPr>
            <w:tcW w:type="dxa" w:w="9508"/>
            <w:gridSpan w:val="12"/>
            <w:tcBorders>
              <w:top w:space="0" w:sz="4" w:color="auto" w:val="single"/>
              <w:left w:space="0" w:sz="4" w:color="auto" w:val="single"/>
              <w:bottom w:space="0" w:sz="4" w:color="auto" w:val="single"/>
              <w:right w:space="0" w:sz="4" w:color="000000" w:val="single"/>
            </w:tcBorders>
            <w:shd w:fill="auto" w:color="C0C0C0" w:val="pct12"/>
            <w:vAlign w:val="center"/>
            <w:hideMark/>
          </w:tcPr>
          <w:p w:rsidRDefault="00924162" w:rsidR="00924162">
            <w:pPr>
              <w:spacing w:after="0"/>
              <w:rPr>
                <w:rFonts w:cs="Arial" w:eastAsia="Times New Roman" w:hAnsi="Arial" w:ascii="Arial"/>
                <w:b/>
                <w:bCs/>
                <w:color w:val="000080"/>
                <w:sz w:val="20"/>
                <w:szCs w:val="20"/>
                <w:lang w:eastAsia="hr-HR"/>
              </w:rPr>
            </w:pPr>
            <w:r>
              <w:rPr>
                <w:rFonts w:cs="Arial" w:eastAsia="Times New Roman" w:hAnsi="Arial" w:ascii="Arial"/>
                <w:b/>
                <w:bCs/>
                <w:color w:val="000080"/>
                <w:sz w:val="20"/>
                <w:szCs w:val="20"/>
                <w:lang w:eastAsia="hr-HR"/>
              </w:rPr>
              <w:t>Obveznik: 39141474711; Ratarstvo d.o.o.</w:t>
            </w:r>
          </w:p>
        </w:tc>
      </w:tr>
      <w:tr w:rsidTr="00924162" w:rsidR="00924162">
        <w:trPr>
          <w:trHeight w:val="886"/>
        </w:trPr>
        <w:tc>
          <w:tcPr>
            <w:tcW w:type="dxa" w:w="5529"/>
            <w:gridSpan w:val="8"/>
            <w:tcBorders>
              <w:top w:space="0" w:sz="4" w:color="auto" w:val="single"/>
              <w:left w:space="0" w:sz="4" w:color="auto" w:val="single"/>
              <w:bottom w:space="0" w:sz="8" w:color="C0C0C0" w:val="single"/>
              <w:right w:space="0" w:sz="4" w:color="auto" w:val="single"/>
            </w:tcBorders>
            <w:shd w:fill="969696" w:color="auto" w:val="clear"/>
            <w:vAlign w:val="center"/>
            <w:hideMark/>
          </w:tcPr>
          <w:p w:rsidRDefault="00924162" w:rsidR="00924162">
            <w:pPr>
              <w:spacing w:after="0"/>
              <w:jc w:val="center"/>
              <w:rPr>
                <w:rFonts w:cs="Arial" w:eastAsia="Times New Roman" w:hAnsi="Arial" w:ascii="Arial"/>
                <w:b/>
                <w:bCs/>
                <w:color w:val="FFFFFF"/>
                <w:sz w:val="18"/>
                <w:szCs w:val="18"/>
                <w:lang w:eastAsia="hr-HR"/>
              </w:rPr>
            </w:pPr>
            <w:r>
              <w:rPr>
                <w:rFonts w:cs="Arial" w:eastAsia="Times New Roman" w:hAnsi="Arial" w:ascii="Arial"/>
                <w:b/>
                <w:bCs/>
                <w:color w:val="FFFFFF"/>
                <w:sz w:val="18"/>
                <w:szCs w:val="18"/>
                <w:lang w:eastAsia="hr-HR"/>
              </w:rPr>
              <w:t>Naziv pozicije</w:t>
            </w:r>
          </w:p>
        </w:tc>
        <w:tc>
          <w:tcPr>
            <w:tcW w:type="dxa" w:w="691"/>
            <w:tcBorders>
              <w:top w:val="nil"/>
              <w:left w:val="nil"/>
              <w:bottom w:space="0" w:sz="8" w:color="C0C0C0" w:val="single"/>
              <w:right w:space="0" w:sz="4" w:color="auto" w:val="single"/>
            </w:tcBorders>
            <w:shd w:fill="969696" w:color="auto" w:val="clear"/>
            <w:vAlign w:val="center"/>
            <w:hideMark/>
          </w:tcPr>
          <w:p w:rsidRDefault="00924162" w:rsidR="00924162">
            <w:pPr>
              <w:spacing w:after="0"/>
              <w:jc w:val="center"/>
              <w:rPr>
                <w:rFonts w:cs="Arial" w:eastAsia="Times New Roman" w:hAnsi="Arial" w:ascii="Arial"/>
                <w:b/>
                <w:bCs/>
                <w:color w:val="FFFFFF"/>
                <w:sz w:val="18"/>
                <w:szCs w:val="18"/>
                <w:lang w:eastAsia="hr-HR"/>
              </w:rPr>
            </w:pPr>
            <w:r>
              <w:rPr>
                <w:rFonts w:cs="Arial" w:eastAsia="Times New Roman" w:hAnsi="Arial" w:ascii="Arial"/>
                <w:b/>
                <w:bCs/>
                <w:color w:val="FFFFFF"/>
                <w:sz w:val="18"/>
                <w:szCs w:val="18"/>
                <w:lang w:eastAsia="hr-HR"/>
              </w:rPr>
              <w:t>AOP</w:t>
            </w:r>
            <w:r>
              <w:rPr>
                <w:rFonts w:cs="Arial" w:eastAsia="Times New Roman" w:hAnsi="Arial" w:ascii="Arial"/>
                <w:b/>
                <w:bCs/>
                <w:color w:val="FFFFFF"/>
                <w:sz w:val="18"/>
                <w:szCs w:val="18"/>
                <w:lang w:eastAsia="hr-HR"/>
              </w:rPr>
              <w:br/>
            </w:r>
            <w:r>
              <w:rPr>
                <w:rFonts w:cs="Arial" w:eastAsia="Times New Roman" w:hAnsi="Arial" w:ascii="Arial"/>
                <w:b/>
                <w:bCs/>
                <w:color w:val="FFFFFF"/>
                <w:sz w:val="16"/>
                <w:szCs w:val="16"/>
                <w:lang w:eastAsia="hr-HR"/>
              </w:rPr>
              <w:t>oznaka</w:t>
            </w:r>
          </w:p>
        </w:tc>
        <w:tc>
          <w:tcPr>
            <w:tcW w:type="dxa" w:w="691"/>
            <w:tcBorders>
              <w:top w:val="nil"/>
              <w:left w:val="nil"/>
              <w:bottom w:space="0" w:sz="8" w:color="C0C0C0" w:val="single"/>
              <w:right w:space="0" w:sz="4" w:color="auto" w:val="single"/>
            </w:tcBorders>
            <w:shd w:fill="969696" w:color="auto" w:val="clear"/>
            <w:vAlign w:val="center"/>
            <w:hideMark/>
          </w:tcPr>
          <w:p w:rsidRDefault="00924162" w:rsidR="00924162">
            <w:pPr>
              <w:spacing w:after="0"/>
              <w:jc w:val="center"/>
              <w:rPr>
                <w:rFonts w:cs="Arial" w:eastAsia="Times New Roman" w:hAnsi="Arial" w:ascii="Arial"/>
                <w:b/>
                <w:bCs/>
                <w:color w:val="FFFFFF"/>
                <w:sz w:val="18"/>
                <w:szCs w:val="18"/>
                <w:lang w:eastAsia="hr-HR"/>
              </w:rPr>
            </w:pPr>
            <w:proofErr w:type="spellStart"/>
            <w:r>
              <w:rPr>
                <w:rFonts w:cs="Arial" w:eastAsia="Times New Roman" w:hAnsi="Arial" w:ascii="Arial"/>
                <w:b/>
                <w:bCs/>
                <w:color w:val="FFFFFF"/>
                <w:sz w:val="18"/>
                <w:szCs w:val="18"/>
                <w:lang w:eastAsia="hr-HR"/>
              </w:rPr>
              <w:t>Rbr</w:t>
            </w:r>
            <w:proofErr w:type="spellEnd"/>
            <w:r>
              <w:rPr>
                <w:rFonts w:cs="Arial" w:eastAsia="Times New Roman" w:hAnsi="Arial" w:ascii="Arial"/>
                <w:b/>
                <w:bCs/>
                <w:color w:val="FFFFFF"/>
                <w:sz w:val="18"/>
                <w:szCs w:val="18"/>
                <w:lang w:eastAsia="hr-HR"/>
              </w:rPr>
              <w:t xml:space="preserve">. </w:t>
            </w:r>
            <w:r>
              <w:rPr>
                <w:rFonts w:cs="Arial" w:eastAsia="Times New Roman" w:hAnsi="Arial" w:ascii="Arial"/>
                <w:b/>
                <w:bCs/>
                <w:color w:val="FFFFFF"/>
                <w:sz w:val="18"/>
                <w:szCs w:val="18"/>
                <w:lang w:eastAsia="hr-HR"/>
              </w:rPr>
              <w:br/>
            </w:r>
            <w:r>
              <w:rPr>
                <w:rFonts w:cs="Arial" w:eastAsia="Times New Roman" w:hAnsi="Arial" w:ascii="Arial"/>
                <w:b/>
                <w:bCs/>
                <w:color w:val="FFFFFF"/>
                <w:sz w:val="16"/>
                <w:szCs w:val="16"/>
                <w:lang w:eastAsia="hr-HR"/>
              </w:rPr>
              <w:t>bilješke</w:t>
            </w:r>
          </w:p>
        </w:tc>
        <w:tc>
          <w:tcPr>
            <w:tcW w:type="dxa" w:w="1298"/>
            <w:tcBorders>
              <w:top w:val="nil"/>
              <w:left w:val="nil"/>
              <w:bottom w:space="0" w:sz="8" w:color="C0C0C0" w:val="single"/>
              <w:right w:space="0" w:sz="4" w:color="auto" w:val="single"/>
            </w:tcBorders>
            <w:shd w:fill="969696" w:color="auto" w:val="clear"/>
            <w:vAlign w:val="center"/>
            <w:hideMark/>
          </w:tcPr>
          <w:p w:rsidRDefault="00924162" w:rsidR="00924162">
            <w:pPr>
              <w:spacing w:after="0"/>
              <w:jc w:val="center"/>
              <w:rPr>
                <w:rFonts w:cs="Arial" w:eastAsia="Times New Roman" w:hAnsi="Arial" w:ascii="Arial"/>
                <w:b/>
                <w:bCs/>
                <w:color w:val="FFFFFF"/>
                <w:sz w:val="16"/>
                <w:szCs w:val="16"/>
                <w:lang w:eastAsia="hr-HR"/>
              </w:rPr>
            </w:pPr>
            <w:r>
              <w:rPr>
                <w:rFonts w:cs="Arial" w:eastAsia="Times New Roman" w:hAnsi="Arial" w:ascii="Arial"/>
                <w:b/>
                <w:bCs/>
                <w:color w:val="FFFFFF"/>
                <w:sz w:val="16"/>
                <w:szCs w:val="16"/>
                <w:lang w:eastAsia="hr-HR"/>
              </w:rPr>
              <w:t>Prethodna godina</w:t>
            </w:r>
          </w:p>
        </w:tc>
        <w:tc>
          <w:tcPr>
            <w:tcW w:type="dxa" w:w="1298"/>
            <w:tcBorders>
              <w:top w:val="nil"/>
              <w:left w:val="nil"/>
              <w:bottom w:space="0" w:sz="8" w:color="C0C0C0" w:val="single"/>
              <w:right w:space="0" w:sz="4" w:color="auto" w:val="single"/>
            </w:tcBorders>
            <w:shd w:fill="969696" w:color="auto" w:val="clear"/>
            <w:vAlign w:val="center"/>
            <w:hideMark/>
          </w:tcPr>
          <w:p w:rsidRDefault="00924162" w:rsidR="00924162">
            <w:pPr>
              <w:spacing w:after="0"/>
              <w:jc w:val="center"/>
              <w:rPr>
                <w:rFonts w:cs="Arial" w:eastAsia="Times New Roman" w:hAnsi="Arial" w:ascii="Arial"/>
                <w:b/>
                <w:bCs/>
                <w:color w:val="FFFFFF"/>
                <w:sz w:val="16"/>
                <w:szCs w:val="16"/>
                <w:lang w:eastAsia="hr-HR"/>
              </w:rPr>
            </w:pPr>
            <w:r>
              <w:rPr>
                <w:rFonts w:cs="Arial" w:eastAsia="Times New Roman" w:hAnsi="Arial" w:ascii="Arial"/>
                <w:b/>
                <w:bCs/>
                <w:color w:val="FFFFFF"/>
                <w:sz w:val="16"/>
                <w:szCs w:val="16"/>
                <w:lang w:eastAsia="hr-HR"/>
              </w:rPr>
              <w:t>Tekuća godina</w:t>
            </w:r>
          </w:p>
        </w:tc>
      </w:tr>
      <w:tr w:rsidTr="00924162" w:rsidR="00924162">
        <w:trPr>
          <w:trHeight w:val="483"/>
        </w:trPr>
        <w:tc>
          <w:tcPr>
            <w:tcW w:type="dxa" w:w="5529"/>
            <w:gridSpan w:val="8"/>
            <w:tcBorders>
              <w:top w:space="0" w:sz="8" w:color="C0C0C0" w:val="single"/>
              <w:left w:space="0" w:sz="4" w:color="auto" w:val="single"/>
              <w:bottom w:space="0" w:sz="4" w:color="auto" w:val="single"/>
              <w:right w:space="0" w:sz="4" w:color="auto" w:val="single"/>
            </w:tcBorders>
            <w:shd w:fill="969696" w:color="auto" w:val="clear"/>
            <w:vAlign w:val="center"/>
            <w:hideMark/>
          </w:tcPr>
          <w:p w:rsidRDefault="00924162" w:rsidR="00924162">
            <w:pPr>
              <w:spacing w:after="0"/>
              <w:jc w:val="center"/>
              <w:rPr>
                <w:rFonts w:cs="Arial" w:eastAsia="Times New Roman" w:hAnsi="Arial" w:ascii="Arial"/>
                <w:b/>
                <w:bCs/>
                <w:color w:val="FFFFFF"/>
                <w:sz w:val="16"/>
                <w:szCs w:val="16"/>
                <w:lang w:eastAsia="hr-HR"/>
              </w:rPr>
            </w:pPr>
            <w:r>
              <w:rPr>
                <w:rFonts w:cs="Arial" w:eastAsia="Times New Roman" w:hAnsi="Arial" w:ascii="Arial"/>
                <w:b/>
                <w:bCs/>
                <w:color w:val="FFFFFF"/>
                <w:sz w:val="16"/>
                <w:szCs w:val="16"/>
                <w:lang w:eastAsia="hr-HR"/>
              </w:rPr>
              <w:t>1</w:t>
            </w:r>
          </w:p>
        </w:tc>
        <w:tc>
          <w:tcPr>
            <w:tcW w:type="dxa" w:w="691"/>
            <w:tcBorders>
              <w:top w:val="nil"/>
              <w:left w:val="nil"/>
              <w:bottom w:space="0" w:sz="4" w:color="auto" w:val="single"/>
              <w:right w:space="0" w:sz="4" w:color="auto" w:val="single"/>
            </w:tcBorders>
            <w:shd w:fill="969696" w:color="auto" w:val="clear"/>
            <w:noWrap/>
            <w:vAlign w:val="center"/>
            <w:hideMark/>
          </w:tcPr>
          <w:p w:rsidRDefault="00924162" w:rsidR="00924162">
            <w:pPr>
              <w:spacing w:after="0"/>
              <w:jc w:val="center"/>
              <w:rPr>
                <w:rFonts w:cs="Arial" w:eastAsia="Times New Roman" w:hAnsi="Arial" w:ascii="Arial"/>
                <w:b/>
                <w:bCs/>
                <w:color w:val="FFFFFF"/>
                <w:sz w:val="16"/>
                <w:szCs w:val="16"/>
                <w:lang w:eastAsia="hr-HR"/>
              </w:rPr>
            </w:pPr>
            <w:r>
              <w:rPr>
                <w:rFonts w:cs="Arial" w:eastAsia="Times New Roman" w:hAnsi="Arial" w:ascii="Arial"/>
                <w:b/>
                <w:bCs/>
                <w:color w:val="FFFFFF"/>
                <w:sz w:val="16"/>
                <w:szCs w:val="16"/>
                <w:lang w:eastAsia="hr-HR"/>
              </w:rPr>
              <w:t>2</w:t>
            </w:r>
          </w:p>
        </w:tc>
        <w:tc>
          <w:tcPr>
            <w:tcW w:type="dxa" w:w="691"/>
            <w:tcBorders>
              <w:top w:val="nil"/>
              <w:left w:val="nil"/>
              <w:bottom w:space="0" w:sz="4" w:color="auto" w:val="single"/>
              <w:right w:space="0" w:sz="4" w:color="auto" w:val="single"/>
            </w:tcBorders>
            <w:shd w:fill="969696" w:color="auto" w:val="clear"/>
            <w:noWrap/>
            <w:vAlign w:val="center"/>
            <w:hideMark/>
          </w:tcPr>
          <w:p w:rsidRDefault="00924162" w:rsidR="00924162">
            <w:pPr>
              <w:spacing w:after="0"/>
              <w:jc w:val="center"/>
              <w:rPr>
                <w:rFonts w:cs="Arial" w:eastAsia="Times New Roman" w:hAnsi="Arial" w:ascii="Arial"/>
                <w:b/>
                <w:bCs/>
                <w:color w:val="FFFFFF"/>
                <w:sz w:val="16"/>
                <w:szCs w:val="16"/>
                <w:lang w:eastAsia="hr-HR"/>
              </w:rPr>
            </w:pPr>
            <w:r>
              <w:rPr>
                <w:rFonts w:cs="Arial" w:eastAsia="Times New Roman" w:hAnsi="Arial" w:ascii="Arial"/>
                <w:b/>
                <w:bCs/>
                <w:color w:val="FFFFFF"/>
                <w:sz w:val="16"/>
                <w:szCs w:val="16"/>
                <w:lang w:eastAsia="hr-HR"/>
              </w:rPr>
              <w:t>3</w:t>
            </w:r>
          </w:p>
        </w:tc>
        <w:tc>
          <w:tcPr>
            <w:tcW w:type="dxa" w:w="1298"/>
            <w:tcBorders>
              <w:top w:val="nil"/>
              <w:left w:val="nil"/>
              <w:bottom w:space="0" w:sz="4" w:color="auto" w:val="single"/>
              <w:right w:space="0" w:sz="4" w:color="auto" w:val="single"/>
            </w:tcBorders>
            <w:shd w:fill="969696" w:color="auto" w:val="clear"/>
            <w:vAlign w:val="center"/>
            <w:hideMark/>
          </w:tcPr>
          <w:p w:rsidRDefault="00924162" w:rsidR="00924162">
            <w:pPr>
              <w:spacing w:after="0"/>
              <w:jc w:val="center"/>
              <w:rPr>
                <w:rFonts w:cs="Arial" w:eastAsia="Times New Roman" w:hAnsi="Arial" w:ascii="Arial"/>
                <w:b/>
                <w:bCs/>
                <w:color w:val="FFFFFF"/>
                <w:sz w:val="16"/>
                <w:szCs w:val="16"/>
                <w:lang w:eastAsia="hr-HR"/>
              </w:rPr>
            </w:pPr>
            <w:bookmarkStart w:name="RANGE!K8" w:id="21"/>
            <w:r>
              <w:rPr>
                <w:rFonts w:cs="Arial" w:eastAsia="Times New Roman" w:hAnsi="Arial" w:ascii="Arial"/>
                <w:b/>
                <w:bCs/>
                <w:color w:val="FFFFFF"/>
                <w:sz w:val="16"/>
                <w:szCs w:val="16"/>
                <w:lang w:eastAsia="hr-HR"/>
              </w:rPr>
              <w:t>4</w:t>
            </w:r>
            <w:bookmarkEnd w:id="21"/>
          </w:p>
        </w:tc>
        <w:tc>
          <w:tcPr>
            <w:tcW w:type="dxa" w:w="1298"/>
            <w:tcBorders>
              <w:top w:val="nil"/>
              <w:left w:val="nil"/>
              <w:bottom w:space="0" w:sz="4" w:color="auto" w:val="single"/>
              <w:right w:space="0" w:sz="4" w:color="auto" w:val="single"/>
            </w:tcBorders>
            <w:shd w:fill="969696" w:color="auto" w:val="clear"/>
            <w:vAlign w:val="center"/>
            <w:hideMark/>
          </w:tcPr>
          <w:p w:rsidRDefault="00924162" w:rsidR="00924162">
            <w:pPr>
              <w:spacing w:after="0"/>
              <w:jc w:val="center"/>
              <w:rPr>
                <w:rFonts w:cs="Arial" w:eastAsia="Times New Roman" w:hAnsi="Arial" w:ascii="Arial"/>
                <w:b/>
                <w:bCs/>
                <w:color w:val="FFFFFF"/>
                <w:sz w:val="16"/>
                <w:szCs w:val="16"/>
                <w:lang w:eastAsia="hr-HR"/>
              </w:rPr>
            </w:pPr>
            <w:r>
              <w:rPr>
                <w:rFonts w:cs="Arial" w:eastAsia="Times New Roman" w:hAnsi="Arial" w:ascii="Arial"/>
                <w:b/>
                <w:bCs/>
                <w:color w:val="FFFFFF"/>
                <w:sz w:val="16"/>
                <w:szCs w:val="16"/>
                <w:lang w:eastAsia="hr-HR"/>
              </w:rPr>
              <w:t>5</w:t>
            </w:r>
          </w:p>
        </w:tc>
      </w:tr>
      <w:tr w:rsidTr="00924162" w:rsidR="00924162">
        <w:trPr>
          <w:trHeight w:val="505"/>
        </w:trPr>
        <w:tc>
          <w:tcPr>
            <w:tcW w:type="dxa" w:w="5529"/>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xml:space="preserve">I. POSLOVNI PRIHODI </w:t>
            </w:r>
            <w:r>
              <w:rPr>
                <w:rFonts w:cs="Arial" w:eastAsia="Times New Roman" w:hAnsi="Arial" w:ascii="Arial"/>
                <w:sz w:val="18"/>
                <w:szCs w:val="18"/>
                <w:lang w:eastAsia="hr-HR"/>
              </w:rPr>
              <w:t>(112+113)</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111</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98"/>
            <w:tcBorders>
              <w:top w:val="nil"/>
              <w:left w:val="nil"/>
              <w:bottom w:space="0" w:sz="4" w:color="auto" w:val="single"/>
              <w:right w:space="0" w:sz="4" w:color="auto" w:val="single"/>
            </w:tcBorders>
            <w:shd w:fill="auto" w:color="C0C0C0" w:val="pct25"/>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1.334.488</w:t>
            </w:r>
          </w:p>
        </w:tc>
        <w:tc>
          <w:tcPr>
            <w:tcW w:type="dxa" w:w="1298"/>
            <w:tcBorders>
              <w:top w:val="nil"/>
              <w:left w:val="nil"/>
              <w:bottom w:space="0" w:sz="4" w:color="auto" w:val="single"/>
              <w:right w:space="0" w:sz="4" w:color="auto" w:val="single"/>
            </w:tcBorders>
            <w:shd w:fill="auto" w:color="C0C0C0" w:val="pct25"/>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540.295</w:t>
            </w:r>
          </w:p>
        </w:tc>
      </w:tr>
      <w:tr w:rsidTr="00924162" w:rsidR="00924162">
        <w:trPr>
          <w:trHeight w:val="505"/>
        </w:trPr>
        <w:tc>
          <w:tcPr>
            <w:tcW w:type="dxa" w:w="5529"/>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xml:space="preserve">   1. Prihodi od prodaje</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112</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98"/>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1.228.847</w:t>
            </w:r>
          </w:p>
        </w:tc>
        <w:tc>
          <w:tcPr>
            <w:tcW w:type="dxa" w:w="1298"/>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492.519</w:t>
            </w:r>
          </w:p>
        </w:tc>
      </w:tr>
      <w:tr w:rsidTr="00924162" w:rsidR="00924162">
        <w:trPr>
          <w:trHeight w:val="505"/>
        </w:trPr>
        <w:tc>
          <w:tcPr>
            <w:tcW w:type="dxa" w:w="5529"/>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xml:space="preserve">   2. Ostali poslovni prihodi</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113</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98"/>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105.641</w:t>
            </w:r>
          </w:p>
        </w:tc>
        <w:tc>
          <w:tcPr>
            <w:tcW w:type="dxa" w:w="1298"/>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47.776</w:t>
            </w:r>
          </w:p>
        </w:tc>
      </w:tr>
      <w:tr w:rsidTr="00924162" w:rsidR="00924162">
        <w:trPr>
          <w:trHeight w:val="505"/>
        </w:trPr>
        <w:tc>
          <w:tcPr>
            <w:tcW w:type="dxa" w:w="5529"/>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xml:space="preserve">II. POSLOVNI RASHODI </w:t>
            </w:r>
            <w:r>
              <w:rPr>
                <w:rFonts w:cs="Arial" w:eastAsia="Times New Roman" w:hAnsi="Arial" w:ascii="Arial"/>
                <w:sz w:val="18"/>
                <w:szCs w:val="18"/>
                <w:lang w:eastAsia="hr-HR"/>
              </w:rPr>
              <w:t>(115+116+120+124+125+126+129+130)</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114</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98"/>
            <w:tcBorders>
              <w:top w:val="nil"/>
              <w:left w:val="nil"/>
              <w:bottom w:space="0" w:sz="4" w:color="auto" w:val="single"/>
              <w:right w:space="0" w:sz="4" w:color="auto" w:val="single"/>
            </w:tcBorders>
            <w:shd w:fill="auto" w:color="C0C0C0" w:val="pct25"/>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1.314.021</w:t>
            </w:r>
          </w:p>
        </w:tc>
        <w:tc>
          <w:tcPr>
            <w:tcW w:type="dxa" w:w="1298"/>
            <w:tcBorders>
              <w:top w:val="nil"/>
              <w:left w:val="nil"/>
              <w:bottom w:space="0" w:sz="4" w:color="auto" w:val="single"/>
              <w:right w:space="0" w:sz="4" w:color="auto" w:val="single"/>
            </w:tcBorders>
            <w:shd w:fill="auto" w:color="C0C0C0" w:val="pct25"/>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535.520</w:t>
            </w:r>
          </w:p>
        </w:tc>
      </w:tr>
      <w:tr w:rsidTr="00924162" w:rsidR="00924162">
        <w:trPr>
          <w:trHeight w:val="537"/>
        </w:trPr>
        <w:tc>
          <w:tcPr>
            <w:tcW w:type="dxa" w:w="5529"/>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xml:space="preserve">    1. Promjene vrijednosti zaliha proizvodnje u tijeku i gotovih proizvoda</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115</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98"/>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-128.532</w:t>
            </w:r>
          </w:p>
        </w:tc>
        <w:tc>
          <w:tcPr>
            <w:tcW w:type="dxa" w:w="1298"/>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-194.920</w:t>
            </w:r>
          </w:p>
        </w:tc>
      </w:tr>
      <w:tr w:rsidTr="00924162" w:rsidR="00924162">
        <w:trPr>
          <w:trHeight w:val="505"/>
        </w:trPr>
        <w:tc>
          <w:tcPr>
            <w:tcW w:type="dxa" w:w="5529"/>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xml:space="preserve">    2. Materijalni troškovi </w:t>
            </w:r>
            <w:r>
              <w:rPr>
                <w:rFonts w:cs="Arial" w:eastAsia="Times New Roman" w:hAnsi="Arial" w:ascii="Arial"/>
                <w:sz w:val="18"/>
                <w:szCs w:val="18"/>
                <w:lang w:eastAsia="hr-HR"/>
              </w:rPr>
              <w:t>(117 do 119)</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116</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98"/>
            <w:tcBorders>
              <w:top w:val="nil"/>
              <w:left w:val="nil"/>
              <w:bottom w:space="0" w:sz="4" w:color="auto" w:val="single"/>
              <w:right w:space="0" w:sz="4" w:color="auto" w:val="single"/>
            </w:tcBorders>
            <w:shd w:fill="auto" w:color="C0C0C0" w:val="pct25"/>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921.558</w:t>
            </w:r>
          </w:p>
        </w:tc>
        <w:tc>
          <w:tcPr>
            <w:tcW w:type="dxa" w:w="1298"/>
            <w:tcBorders>
              <w:top w:val="nil"/>
              <w:left w:val="nil"/>
              <w:bottom w:space="0" w:sz="4" w:color="auto" w:val="single"/>
              <w:right w:space="0" w:sz="4" w:color="auto" w:val="single"/>
            </w:tcBorders>
            <w:shd w:fill="auto" w:color="C0C0C0" w:val="pct25"/>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373.740</w:t>
            </w:r>
          </w:p>
        </w:tc>
      </w:tr>
      <w:tr w:rsidTr="00924162" w:rsidR="00924162">
        <w:trPr>
          <w:trHeight w:val="505"/>
        </w:trPr>
        <w:tc>
          <w:tcPr>
            <w:tcW w:type="dxa" w:w="5529"/>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 xml:space="preserve">        a) Troškovi sirovina i materijala</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117</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98"/>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87.282</w:t>
            </w:r>
          </w:p>
        </w:tc>
        <w:tc>
          <w:tcPr>
            <w:tcW w:type="dxa" w:w="1298"/>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75.788</w:t>
            </w:r>
          </w:p>
        </w:tc>
      </w:tr>
      <w:tr w:rsidTr="00924162" w:rsidR="00924162">
        <w:trPr>
          <w:trHeight w:val="505"/>
        </w:trPr>
        <w:tc>
          <w:tcPr>
            <w:tcW w:type="dxa" w:w="5529"/>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 xml:space="preserve">        b) Troškovi prodane robe</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118</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98"/>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703.173</w:t>
            </w:r>
          </w:p>
        </w:tc>
        <w:tc>
          <w:tcPr>
            <w:tcW w:type="dxa" w:w="1298"/>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287.952</w:t>
            </w:r>
          </w:p>
        </w:tc>
      </w:tr>
      <w:tr w:rsidTr="00924162" w:rsidR="00924162">
        <w:trPr>
          <w:trHeight w:val="505"/>
        </w:trPr>
        <w:tc>
          <w:tcPr>
            <w:tcW w:type="dxa" w:w="5529"/>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lastRenderedPageBreak/>
              <w:t xml:space="preserve">        c) Ostali vanjski troškovi</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119</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98"/>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131.103</w:t>
            </w:r>
          </w:p>
        </w:tc>
        <w:tc>
          <w:tcPr>
            <w:tcW w:type="dxa" w:w="1298"/>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10.000</w:t>
            </w:r>
          </w:p>
        </w:tc>
      </w:tr>
      <w:tr w:rsidTr="00924162" w:rsidR="00924162">
        <w:trPr>
          <w:trHeight w:val="505"/>
        </w:trPr>
        <w:tc>
          <w:tcPr>
            <w:tcW w:type="dxa" w:w="5529"/>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xml:space="preserve">   3. Troškovi osoblja </w:t>
            </w:r>
            <w:r>
              <w:rPr>
                <w:rFonts w:cs="Arial" w:eastAsia="Times New Roman" w:hAnsi="Arial" w:ascii="Arial"/>
                <w:sz w:val="18"/>
                <w:szCs w:val="18"/>
                <w:lang w:eastAsia="hr-HR"/>
              </w:rPr>
              <w:t>(121 do 123)</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120</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98"/>
            <w:tcBorders>
              <w:top w:val="nil"/>
              <w:left w:val="nil"/>
              <w:bottom w:space="0" w:sz="4" w:color="auto" w:val="single"/>
              <w:right w:space="0" w:sz="4" w:color="auto" w:val="single"/>
            </w:tcBorders>
            <w:shd w:fill="auto" w:color="C0C0C0" w:val="pct25"/>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297.540</w:t>
            </w:r>
          </w:p>
        </w:tc>
        <w:tc>
          <w:tcPr>
            <w:tcW w:type="dxa" w:w="1298"/>
            <w:tcBorders>
              <w:top w:val="nil"/>
              <w:left w:val="nil"/>
              <w:bottom w:space="0" w:sz="4" w:color="auto" w:val="single"/>
              <w:right w:space="0" w:sz="4" w:color="auto" w:val="single"/>
            </w:tcBorders>
            <w:shd w:fill="auto" w:color="C0C0C0" w:val="pct25"/>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291.192</w:t>
            </w:r>
          </w:p>
        </w:tc>
      </w:tr>
      <w:tr w:rsidTr="00924162" w:rsidR="00924162">
        <w:trPr>
          <w:trHeight w:val="505"/>
        </w:trPr>
        <w:tc>
          <w:tcPr>
            <w:tcW w:type="dxa" w:w="5529"/>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 xml:space="preserve">        a) Neto plaće i nadnice</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121</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98"/>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192.157</w:t>
            </w:r>
          </w:p>
        </w:tc>
        <w:tc>
          <w:tcPr>
            <w:tcW w:type="dxa" w:w="1298"/>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198.766</w:t>
            </w:r>
          </w:p>
        </w:tc>
      </w:tr>
      <w:tr w:rsidTr="00924162" w:rsidR="00924162">
        <w:trPr>
          <w:trHeight w:val="505"/>
        </w:trPr>
        <w:tc>
          <w:tcPr>
            <w:tcW w:type="dxa" w:w="5529"/>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 xml:space="preserve">        b) Troškovi poreza i doprinosa iz plaća</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122</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98"/>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61.635</w:t>
            </w:r>
          </w:p>
        </w:tc>
        <w:tc>
          <w:tcPr>
            <w:tcW w:type="dxa" w:w="1298"/>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50.934</w:t>
            </w:r>
          </w:p>
        </w:tc>
      </w:tr>
      <w:tr w:rsidTr="00924162" w:rsidR="00924162">
        <w:trPr>
          <w:trHeight w:val="505"/>
        </w:trPr>
        <w:tc>
          <w:tcPr>
            <w:tcW w:type="dxa" w:w="5529"/>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 xml:space="preserve">        c) Doprinosi na plaće</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123</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98"/>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43.748</w:t>
            </w:r>
          </w:p>
        </w:tc>
        <w:tc>
          <w:tcPr>
            <w:tcW w:type="dxa" w:w="1298"/>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41.492</w:t>
            </w:r>
          </w:p>
        </w:tc>
      </w:tr>
      <w:tr w:rsidTr="00924162" w:rsidR="00924162">
        <w:trPr>
          <w:trHeight w:val="505"/>
        </w:trPr>
        <w:tc>
          <w:tcPr>
            <w:tcW w:type="dxa" w:w="5529"/>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xml:space="preserve">   4. Amortizacija</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124</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98"/>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126.027</w:t>
            </w:r>
          </w:p>
        </w:tc>
        <w:tc>
          <w:tcPr>
            <w:tcW w:type="dxa" w:w="1298"/>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59.249</w:t>
            </w:r>
          </w:p>
        </w:tc>
      </w:tr>
      <w:tr w:rsidTr="00924162" w:rsidR="00924162">
        <w:trPr>
          <w:trHeight w:val="505"/>
        </w:trPr>
        <w:tc>
          <w:tcPr>
            <w:tcW w:type="dxa" w:w="5529"/>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xml:space="preserve">   5. Ostali troškovi</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125</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98"/>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20.629</w:t>
            </w:r>
          </w:p>
        </w:tc>
        <w:tc>
          <w:tcPr>
            <w:tcW w:type="dxa" w:w="1298"/>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4.952</w:t>
            </w:r>
          </w:p>
        </w:tc>
      </w:tr>
      <w:tr w:rsidTr="00924162" w:rsidR="00924162">
        <w:trPr>
          <w:trHeight w:val="505"/>
        </w:trPr>
        <w:tc>
          <w:tcPr>
            <w:tcW w:type="dxa" w:w="5529"/>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xml:space="preserve">   6. Vrijednosno usklađivanje </w:t>
            </w:r>
            <w:r>
              <w:rPr>
                <w:rFonts w:cs="Arial" w:eastAsia="Times New Roman" w:hAnsi="Arial" w:ascii="Arial"/>
                <w:sz w:val="18"/>
                <w:szCs w:val="18"/>
                <w:lang w:eastAsia="hr-HR"/>
              </w:rPr>
              <w:t>(127+128)</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126</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98"/>
            <w:tcBorders>
              <w:top w:val="nil"/>
              <w:left w:val="nil"/>
              <w:bottom w:space="0" w:sz="4" w:color="auto" w:val="single"/>
              <w:right w:space="0" w:sz="4" w:color="auto" w:val="single"/>
            </w:tcBorders>
            <w:shd w:fill="auto" w:color="C0C0C0" w:val="pct25"/>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0</w:t>
            </w:r>
          </w:p>
        </w:tc>
        <w:tc>
          <w:tcPr>
            <w:tcW w:type="dxa" w:w="1298"/>
            <w:tcBorders>
              <w:top w:val="nil"/>
              <w:left w:val="nil"/>
              <w:bottom w:space="0" w:sz="4" w:color="auto" w:val="single"/>
              <w:right w:space="0" w:sz="4" w:color="auto" w:val="single"/>
            </w:tcBorders>
            <w:shd w:fill="auto" w:color="C0C0C0" w:val="pct25"/>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0</w:t>
            </w:r>
          </w:p>
        </w:tc>
      </w:tr>
      <w:tr w:rsidTr="00924162" w:rsidR="00924162">
        <w:trPr>
          <w:trHeight w:val="505"/>
        </w:trPr>
        <w:tc>
          <w:tcPr>
            <w:tcW w:type="dxa" w:w="5529"/>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 xml:space="preserve">       a) dugotrajne imovine (osim financijske imovine)</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127</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9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9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505"/>
        </w:trPr>
        <w:tc>
          <w:tcPr>
            <w:tcW w:type="dxa" w:w="5529"/>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 xml:space="preserve">       b) kratkotrajne imovine (osim financijske imovine)</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128</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9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9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505"/>
        </w:trPr>
        <w:tc>
          <w:tcPr>
            <w:tcW w:type="dxa" w:w="5529"/>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xml:space="preserve">   7. Rezerviranja</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129</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9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9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505"/>
        </w:trPr>
        <w:tc>
          <w:tcPr>
            <w:tcW w:type="dxa" w:w="5529"/>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xml:space="preserve">   8. Ostali poslovni rashodi</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130</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98"/>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76.799</w:t>
            </w:r>
          </w:p>
        </w:tc>
        <w:tc>
          <w:tcPr>
            <w:tcW w:type="dxa" w:w="1298"/>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1.307</w:t>
            </w:r>
          </w:p>
        </w:tc>
      </w:tr>
      <w:tr w:rsidTr="00924162" w:rsidR="00924162">
        <w:trPr>
          <w:trHeight w:val="505"/>
        </w:trPr>
        <w:tc>
          <w:tcPr>
            <w:tcW w:type="dxa" w:w="5529"/>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xml:space="preserve">III. FINANCIJSKI PRIHODI </w:t>
            </w:r>
            <w:r>
              <w:rPr>
                <w:rFonts w:cs="Arial" w:eastAsia="Times New Roman" w:hAnsi="Arial" w:ascii="Arial"/>
                <w:sz w:val="18"/>
                <w:szCs w:val="18"/>
                <w:lang w:eastAsia="hr-HR"/>
              </w:rPr>
              <w:t>(132 do 136)</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131</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98"/>
            <w:tcBorders>
              <w:top w:val="nil"/>
              <w:left w:val="nil"/>
              <w:bottom w:space="0" w:sz="4" w:color="auto" w:val="single"/>
              <w:right w:space="0" w:sz="4" w:color="auto" w:val="single"/>
            </w:tcBorders>
            <w:shd w:fill="auto" w:color="C0C0C0" w:val="pct25"/>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57</w:t>
            </w:r>
          </w:p>
        </w:tc>
        <w:tc>
          <w:tcPr>
            <w:tcW w:type="dxa" w:w="1298"/>
            <w:tcBorders>
              <w:top w:val="nil"/>
              <w:left w:val="nil"/>
              <w:bottom w:space="0" w:sz="4" w:color="auto" w:val="single"/>
              <w:right w:space="0" w:sz="4" w:color="auto" w:val="single"/>
            </w:tcBorders>
            <w:shd w:fill="auto" w:color="C0C0C0" w:val="pct25"/>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0</w:t>
            </w:r>
          </w:p>
        </w:tc>
      </w:tr>
      <w:tr w:rsidTr="00924162" w:rsidR="00924162">
        <w:trPr>
          <w:trHeight w:val="1000"/>
        </w:trPr>
        <w:tc>
          <w:tcPr>
            <w:tcW w:type="dxa" w:w="5529"/>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xml:space="preserve">     1. Kamate, tečajne razlike, dividende i slični prihodi iz odnosa s</w:t>
            </w:r>
            <w:r>
              <w:rPr>
                <w:rFonts w:cs="Arial" w:eastAsia="Times New Roman" w:hAnsi="Arial" w:ascii="Arial"/>
                <w:b/>
                <w:bCs/>
                <w:sz w:val="18"/>
                <w:szCs w:val="18"/>
                <w:lang w:eastAsia="hr-HR"/>
              </w:rPr>
              <w:br/>
              <w:t xml:space="preserve">         povezanim poduzetnicima</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132</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9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9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1000"/>
        </w:trPr>
        <w:tc>
          <w:tcPr>
            <w:tcW w:type="dxa" w:w="5529"/>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xml:space="preserve">     2. Kamate, tečajne razlike, dividende, slični prihodi iz odnosa s</w:t>
            </w:r>
            <w:r>
              <w:rPr>
                <w:rFonts w:cs="Arial" w:eastAsia="Times New Roman" w:hAnsi="Arial" w:ascii="Arial"/>
                <w:b/>
                <w:bCs/>
                <w:sz w:val="18"/>
                <w:szCs w:val="18"/>
                <w:lang w:eastAsia="hr-HR"/>
              </w:rPr>
              <w:br/>
              <w:t xml:space="preserve">          nepovezanim poduzetnicima i drugim osobama</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133</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98"/>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57</w:t>
            </w:r>
          </w:p>
        </w:tc>
        <w:tc>
          <w:tcPr>
            <w:tcW w:type="dxa" w:w="129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505"/>
        </w:trPr>
        <w:tc>
          <w:tcPr>
            <w:tcW w:type="dxa" w:w="5529"/>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xml:space="preserve">     3. Dio prihoda od pridruženih poduzetnika i sudjelujućih interesa</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134</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9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9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505"/>
        </w:trPr>
        <w:tc>
          <w:tcPr>
            <w:tcW w:type="dxa" w:w="5529"/>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xml:space="preserve">     4. Nerealizirani dobici (prihodi) od financijske imovine</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135</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9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9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505"/>
        </w:trPr>
        <w:tc>
          <w:tcPr>
            <w:tcW w:type="dxa" w:w="5529"/>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xml:space="preserve">     5. Ostali financijski prihodi</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136</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9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9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505"/>
        </w:trPr>
        <w:tc>
          <w:tcPr>
            <w:tcW w:type="dxa" w:w="5529"/>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xml:space="preserve">IV. FINANCIJSKI RASHODI </w:t>
            </w:r>
            <w:r>
              <w:rPr>
                <w:rFonts w:cs="Arial" w:eastAsia="Times New Roman" w:hAnsi="Arial" w:ascii="Arial"/>
                <w:sz w:val="18"/>
                <w:szCs w:val="18"/>
                <w:lang w:eastAsia="hr-HR"/>
              </w:rPr>
              <w:t>(138 do 141)</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137</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98"/>
            <w:tcBorders>
              <w:top w:val="nil"/>
              <w:left w:val="nil"/>
              <w:bottom w:space="0" w:sz="4" w:color="auto" w:val="single"/>
              <w:right w:space="0" w:sz="4" w:color="auto" w:val="single"/>
            </w:tcBorders>
            <w:shd w:fill="auto" w:color="C0C0C0" w:val="pct25"/>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7.367</w:t>
            </w:r>
          </w:p>
        </w:tc>
        <w:tc>
          <w:tcPr>
            <w:tcW w:type="dxa" w:w="1298"/>
            <w:tcBorders>
              <w:top w:val="nil"/>
              <w:left w:val="nil"/>
              <w:bottom w:space="0" w:sz="4" w:color="auto" w:val="single"/>
              <w:right w:space="0" w:sz="4" w:color="auto" w:val="single"/>
            </w:tcBorders>
            <w:shd w:fill="auto" w:color="C0C0C0" w:val="pct25"/>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2.013</w:t>
            </w:r>
          </w:p>
        </w:tc>
      </w:tr>
      <w:tr w:rsidTr="00924162" w:rsidR="00924162">
        <w:trPr>
          <w:trHeight w:val="505"/>
        </w:trPr>
        <w:tc>
          <w:tcPr>
            <w:tcW w:type="dxa" w:w="5529"/>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xml:space="preserve">    1. Kamate, tečajne razlike i drugi rashodi s povezanim poduzetnicima</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138</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9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9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1000"/>
        </w:trPr>
        <w:tc>
          <w:tcPr>
            <w:tcW w:type="dxa" w:w="5529"/>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xml:space="preserve">    2. Kamate, tečajne razlike i drugi rashodi iz odnosa s nepovezanim</w:t>
            </w:r>
            <w:r>
              <w:rPr>
                <w:rFonts w:cs="Arial" w:eastAsia="Times New Roman" w:hAnsi="Arial" w:ascii="Arial"/>
                <w:b/>
                <w:bCs/>
                <w:sz w:val="18"/>
                <w:szCs w:val="18"/>
                <w:lang w:eastAsia="hr-HR"/>
              </w:rPr>
              <w:br/>
              <w:t xml:space="preserve">        poduzetnicima i drugim osobama</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139</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98"/>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7.367</w:t>
            </w:r>
          </w:p>
        </w:tc>
        <w:tc>
          <w:tcPr>
            <w:tcW w:type="dxa" w:w="1298"/>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2.013</w:t>
            </w:r>
          </w:p>
        </w:tc>
      </w:tr>
      <w:tr w:rsidTr="00924162" w:rsidR="00924162">
        <w:trPr>
          <w:trHeight w:val="505"/>
        </w:trPr>
        <w:tc>
          <w:tcPr>
            <w:tcW w:type="dxa" w:w="5529"/>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xml:space="preserve">    3. Nerealizirani gubici (rashodi) od financijske imovine</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140</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9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9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505"/>
        </w:trPr>
        <w:tc>
          <w:tcPr>
            <w:tcW w:type="dxa" w:w="5529"/>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xml:space="preserve">    4. Ostali financijski rashodi</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141</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9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9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505"/>
        </w:trPr>
        <w:tc>
          <w:tcPr>
            <w:tcW w:type="dxa" w:w="5529"/>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xml:space="preserve">V.    UDIO U DOBITI OD PRIDRUŽENIH PODUZETNIKA </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142</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9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9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505"/>
        </w:trPr>
        <w:tc>
          <w:tcPr>
            <w:tcW w:type="dxa" w:w="5529"/>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lastRenderedPageBreak/>
              <w:t xml:space="preserve">VI.   UDIO U GUBITKU OD PRIDRUŽENIH PODUZETNIKA </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143</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9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9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505"/>
        </w:trPr>
        <w:tc>
          <w:tcPr>
            <w:tcW w:type="dxa" w:w="5529"/>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VII.  IZVANREDNI - OSTALI PRIHODI</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144</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9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9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505"/>
        </w:trPr>
        <w:tc>
          <w:tcPr>
            <w:tcW w:type="dxa" w:w="5529"/>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VIII. IZVANREDNI - OSTALI RASHODI</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145</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9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9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505"/>
        </w:trPr>
        <w:tc>
          <w:tcPr>
            <w:tcW w:type="dxa" w:w="5529"/>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xml:space="preserve">IX.  UKUPNI PRIHODI </w:t>
            </w:r>
            <w:r>
              <w:rPr>
                <w:rFonts w:cs="Arial" w:eastAsia="Times New Roman" w:hAnsi="Arial" w:ascii="Arial"/>
                <w:sz w:val="18"/>
                <w:szCs w:val="18"/>
                <w:lang w:eastAsia="hr-HR"/>
              </w:rPr>
              <w:t>(111+131+142 + 144)</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146</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98"/>
            <w:tcBorders>
              <w:top w:val="nil"/>
              <w:left w:val="nil"/>
              <w:bottom w:space="0" w:sz="4" w:color="auto" w:val="single"/>
              <w:right w:space="0" w:sz="4" w:color="auto" w:val="single"/>
            </w:tcBorders>
            <w:shd w:fill="auto" w:color="C0C0C0" w:val="pct25"/>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1.334.545</w:t>
            </w:r>
          </w:p>
        </w:tc>
        <w:tc>
          <w:tcPr>
            <w:tcW w:type="dxa" w:w="1298"/>
            <w:tcBorders>
              <w:top w:val="nil"/>
              <w:left w:val="nil"/>
              <w:bottom w:space="0" w:sz="4" w:color="auto" w:val="single"/>
              <w:right w:space="0" w:sz="4" w:color="auto" w:val="single"/>
            </w:tcBorders>
            <w:shd w:fill="auto" w:color="C0C0C0" w:val="pct25"/>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540.295</w:t>
            </w:r>
          </w:p>
        </w:tc>
      </w:tr>
      <w:tr w:rsidTr="00924162" w:rsidR="00924162">
        <w:trPr>
          <w:trHeight w:val="505"/>
        </w:trPr>
        <w:tc>
          <w:tcPr>
            <w:tcW w:type="dxa" w:w="5529"/>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xml:space="preserve">X.   UKUPNI RASHODI </w:t>
            </w:r>
            <w:r>
              <w:rPr>
                <w:rFonts w:cs="Arial" w:eastAsia="Times New Roman" w:hAnsi="Arial" w:ascii="Arial"/>
                <w:sz w:val="18"/>
                <w:szCs w:val="18"/>
                <w:lang w:eastAsia="hr-HR"/>
              </w:rPr>
              <w:t>(114+137+143 + 145)</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147</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98"/>
            <w:tcBorders>
              <w:top w:val="nil"/>
              <w:left w:val="nil"/>
              <w:bottom w:space="0" w:sz="4" w:color="auto" w:val="single"/>
              <w:right w:space="0" w:sz="4" w:color="auto" w:val="single"/>
            </w:tcBorders>
            <w:shd w:fill="auto" w:color="C0C0C0" w:val="pct25"/>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1.321.388</w:t>
            </w:r>
          </w:p>
        </w:tc>
        <w:tc>
          <w:tcPr>
            <w:tcW w:type="dxa" w:w="1298"/>
            <w:tcBorders>
              <w:top w:val="nil"/>
              <w:left w:val="nil"/>
              <w:bottom w:space="0" w:sz="4" w:color="auto" w:val="single"/>
              <w:right w:space="0" w:sz="4" w:color="auto" w:val="single"/>
            </w:tcBorders>
            <w:shd w:fill="auto" w:color="C0C0C0" w:val="pct25"/>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537.533</w:t>
            </w:r>
          </w:p>
        </w:tc>
      </w:tr>
      <w:tr w:rsidTr="00924162" w:rsidR="00924162">
        <w:trPr>
          <w:trHeight w:val="505"/>
        </w:trPr>
        <w:tc>
          <w:tcPr>
            <w:tcW w:type="dxa" w:w="5529"/>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xml:space="preserve">XI.  DOBIT ILI GUBITAK PRIJE OPOREZIVANJA </w:t>
            </w:r>
            <w:r>
              <w:rPr>
                <w:rFonts w:cs="Arial" w:eastAsia="Times New Roman" w:hAnsi="Arial" w:ascii="Arial"/>
                <w:sz w:val="18"/>
                <w:szCs w:val="18"/>
                <w:lang w:eastAsia="hr-HR"/>
              </w:rPr>
              <w:t>(146-147)</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148</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98"/>
            <w:tcBorders>
              <w:top w:val="nil"/>
              <w:left w:val="nil"/>
              <w:bottom w:space="0" w:sz="4" w:color="auto" w:val="single"/>
              <w:right w:space="0" w:sz="4" w:color="auto" w:val="single"/>
            </w:tcBorders>
            <w:shd w:fill="auto" w:color="C0C0C0" w:val="pct25"/>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13.157</w:t>
            </w:r>
          </w:p>
        </w:tc>
        <w:tc>
          <w:tcPr>
            <w:tcW w:type="dxa" w:w="1298"/>
            <w:tcBorders>
              <w:top w:val="nil"/>
              <w:left w:val="nil"/>
              <w:bottom w:space="0" w:sz="4" w:color="auto" w:val="single"/>
              <w:right w:space="0" w:sz="4" w:color="auto" w:val="single"/>
            </w:tcBorders>
            <w:shd w:fill="auto" w:color="C0C0C0" w:val="pct25"/>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2.762</w:t>
            </w:r>
          </w:p>
        </w:tc>
      </w:tr>
      <w:tr w:rsidTr="00924162" w:rsidR="00924162">
        <w:trPr>
          <w:trHeight w:val="505"/>
        </w:trPr>
        <w:tc>
          <w:tcPr>
            <w:tcW w:type="dxa" w:w="5529"/>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ind w:firstLineChars="100" w:firstLine="180"/>
              <w:rPr>
                <w:rFonts w:cs="Arial" w:eastAsia="Times New Roman" w:hAnsi="Arial" w:ascii="Arial"/>
                <w:sz w:val="18"/>
                <w:szCs w:val="18"/>
                <w:lang w:eastAsia="hr-HR"/>
              </w:rPr>
            </w:pPr>
            <w:r>
              <w:rPr>
                <w:rFonts w:cs="Arial" w:eastAsia="Times New Roman" w:hAnsi="Arial" w:ascii="Arial"/>
                <w:sz w:val="18"/>
                <w:szCs w:val="18"/>
                <w:lang w:eastAsia="hr-HR"/>
              </w:rPr>
              <w:t xml:space="preserve">  1. Dobit prije oporezivanja (146-147)</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149</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98"/>
            <w:tcBorders>
              <w:top w:val="nil"/>
              <w:left w:val="nil"/>
              <w:bottom w:space="0" w:sz="4" w:color="auto" w:val="single"/>
              <w:right w:space="0" w:sz="4" w:color="auto" w:val="single"/>
            </w:tcBorders>
            <w:shd w:fill="auto" w:color="C0C0C0" w:val="pct25"/>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13.157</w:t>
            </w:r>
          </w:p>
        </w:tc>
        <w:tc>
          <w:tcPr>
            <w:tcW w:type="dxa" w:w="1298"/>
            <w:tcBorders>
              <w:top w:val="nil"/>
              <w:left w:val="nil"/>
              <w:bottom w:space="0" w:sz="4" w:color="auto" w:val="single"/>
              <w:right w:space="0" w:sz="4" w:color="auto" w:val="single"/>
            </w:tcBorders>
            <w:shd w:fill="auto" w:color="C0C0C0" w:val="pct25"/>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2.762</w:t>
            </w:r>
          </w:p>
        </w:tc>
      </w:tr>
      <w:tr w:rsidTr="00924162" w:rsidR="00924162">
        <w:trPr>
          <w:trHeight w:val="505"/>
        </w:trPr>
        <w:tc>
          <w:tcPr>
            <w:tcW w:type="dxa" w:w="5529"/>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ind w:firstLineChars="100" w:firstLine="180"/>
              <w:rPr>
                <w:rFonts w:cs="Arial" w:eastAsia="Times New Roman" w:hAnsi="Arial" w:ascii="Arial"/>
                <w:sz w:val="18"/>
                <w:szCs w:val="18"/>
                <w:lang w:eastAsia="hr-HR"/>
              </w:rPr>
            </w:pPr>
            <w:r>
              <w:rPr>
                <w:rFonts w:cs="Arial" w:eastAsia="Times New Roman" w:hAnsi="Arial" w:ascii="Arial"/>
                <w:sz w:val="18"/>
                <w:szCs w:val="18"/>
                <w:lang w:eastAsia="hr-HR"/>
              </w:rPr>
              <w:t xml:space="preserve">  2. Gubitak prije oporezivanja (147-146)</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150</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98"/>
            <w:tcBorders>
              <w:top w:val="nil"/>
              <w:left w:val="nil"/>
              <w:bottom w:space="0" w:sz="4" w:color="auto" w:val="single"/>
              <w:right w:space="0" w:sz="4" w:color="auto" w:val="single"/>
            </w:tcBorders>
            <w:shd w:fill="auto" w:color="C0C0C0" w:val="pct25"/>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0</w:t>
            </w:r>
          </w:p>
        </w:tc>
        <w:tc>
          <w:tcPr>
            <w:tcW w:type="dxa" w:w="1298"/>
            <w:tcBorders>
              <w:top w:val="nil"/>
              <w:left w:val="nil"/>
              <w:bottom w:space="0" w:sz="4" w:color="auto" w:val="single"/>
              <w:right w:space="0" w:sz="4" w:color="auto" w:val="single"/>
            </w:tcBorders>
            <w:shd w:fill="auto" w:color="C0C0C0" w:val="pct25"/>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0</w:t>
            </w:r>
          </w:p>
        </w:tc>
      </w:tr>
      <w:tr w:rsidTr="00924162" w:rsidR="00924162">
        <w:trPr>
          <w:trHeight w:val="505"/>
        </w:trPr>
        <w:tc>
          <w:tcPr>
            <w:tcW w:type="dxa" w:w="5529"/>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XII.  POREZ NA DOBIT</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151</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9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98"/>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552</w:t>
            </w:r>
          </w:p>
        </w:tc>
      </w:tr>
      <w:tr w:rsidTr="00924162" w:rsidR="00924162">
        <w:trPr>
          <w:trHeight w:val="505"/>
        </w:trPr>
        <w:tc>
          <w:tcPr>
            <w:tcW w:type="dxa" w:w="5529"/>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xml:space="preserve">XIII. DOBIT ILI GUBITAK RAZDOBLJA </w:t>
            </w:r>
            <w:r>
              <w:rPr>
                <w:rFonts w:cs="Arial" w:eastAsia="Times New Roman" w:hAnsi="Arial" w:ascii="Arial"/>
                <w:sz w:val="18"/>
                <w:szCs w:val="18"/>
                <w:lang w:eastAsia="hr-HR"/>
              </w:rPr>
              <w:t>(148-151)</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152</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98"/>
            <w:tcBorders>
              <w:top w:val="nil"/>
              <w:left w:val="nil"/>
              <w:bottom w:space="0" w:sz="4" w:color="auto" w:val="single"/>
              <w:right w:space="0" w:sz="4" w:color="auto" w:val="single"/>
            </w:tcBorders>
            <w:shd w:fill="auto" w:color="C0C0C0" w:val="pct25"/>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13.157</w:t>
            </w:r>
          </w:p>
        </w:tc>
        <w:tc>
          <w:tcPr>
            <w:tcW w:type="dxa" w:w="1298"/>
            <w:tcBorders>
              <w:top w:val="nil"/>
              <w:left w:val="nil"/>
              <w:bottom w:space="0" w:sz="4" w:color="auto" w:val="single"/>
              <w:right w:space="0" w:sz="4" w:color="auto" w:val="single"/>
            </w:tcBorders>
            <w:shd w:fill="auto" w:color="C0C0C0" w:val="pct25"/>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2.210</w:t>
            </w:r>
          </w:p>
        </w:tc>
      </w:tr>
      <w:tr w:rsidTr="00924162" w:rsidR="00924162">
        <w:trPr>
          <w:trHeight w:val="505"/>
        </w:trPr>
        <w:tc>
          <w:tcPr>
            <w:tcW w:type="dxa" w:w="5529"/>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ind w:firstLineChars="100" w:firstLine="180"/>
              <w:rPr>
                <w:rFonts w:cs="Arial" w:eastAsia="Times New Roman" w:hAnsi="Arial" w:ascii="Arial"/>
                <w:sz w:val="18"/>
                <w:szCs w:val="18"/>
                <w:lang w:eastAsia="hr-HR"/>
              </w:rPr>
            </w:pPr>
            <w:r>
              <w:rPr>
                <w:rFonts w:cs="Arial" w:eastAsia="Times New Roman" w:hAnsi="Arial" w:ascii="Arial"/>
                <w:sz w:val="18"/>
                <w:szCs w:val="18"/>
                <w:lang w:eastAsia="hr-HR"/>
              </w:rPr>
              <w:t xml:space="preserve">  1. Dobit razdoblja (149-151)</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153</w:t>
            </w:r>
          </w:p>
        </w:tc>
        <w:tc>
          <w:tcPr>
            <w:tcW w:type="dxa" w:w="691"/>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98"/>
            <w:tcBorders>
              <w:top w:val="nil"/>
              <w:left w:val="nil"/>
              <w:bottom w:space="0" w:sz="4" w:color="auto" w:val="single"/>
              <w:right w:space="0" w:sz="4" w:color="auto" w:val="single"/>
            </w:tcBorders>
            <w:shd w:fill="auto" w:color="C0C0C0" w:val="pct25"/>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13.157</w:t>
            </w:r>
          </w:p>
        </w:tc>
        <w:tc>
          <w:tcPr>
            <w:tcW w:type="dxa" w:w="1298"/>
            <w:tcBorders>
              <w:top w:val="nil"/>
              <w:left w:val="nil"/>
              <w:bottom w:space="0" w:sz="4" w:color="auto" w:val="single"/>
              <w:right w:space="0" w:sz="4" w:color="auto" w:val="single"/>
            </w:tcBorders>
            <w:shd w:fill="auto" w:color="C0C0C0" w:val="pct25"/>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2.210</w:t>
            </w:r>
          </w:p>
        </w:tc>
      </w:tr>
      <w:tr w:rsidTr="00924162" w:rsidR="00924162">
        <w:trPr>
          <w:trHeight w:val="505"/>
        </w:trPr>
        <w:tc>
          <w:tcPr>
            <w:tcW w:type="dxa" w:w="5529"/>
            <w:gridSpan w:val="8"/>
            <w:tcBorders>
              <w:top w:space="0" w:sz="4" w:color="auto" w:val="single"/>
              <w:left w:space="0" w:sz="4" w:color="auto" w:val="single"/>
              <w:bottom w:val="nil"/>
              <w:right w:space="0" w:sz="4" w:color="000000" w:val="single"/>
            </w:tcBorders>
            <w:vAlign w:val="center"/>
            <w:hideMark/>
          </w:tcPr>
          <w:p w:rsidRDefault="00924162" w:rsidR="00924162">
            <w:pPr>
              <w:spacing w:after="0"/>
              <w:ind w:firstLineChars="100" w:firstLine="180"/>
              <w:rPr>
                <w:rFonts w:cs="Arial" w:eastAsia="Times New Roman" w:hAnsi="Arial" w:ascii="Arial"/>
                <w:sz w:val="18"/>
                <w:szCs w:val="18"/>
                <w:lang w:eastAsia="hr-HR"/>
              </w:rPr>
            </w:pPr>
            <w:r>
              <w:rPr>
                <w:rFonts w:cs="Arial" w:eastAsia="Times New Roman" w:hAnsi="Arial" w:ascii="Arial"/>
                <w:sz w:val="18"/>
                <w:szCs w:val="18"/>
                <w:lang w:eastAsia="hr-HR"/>
              </w:rPr>
              <w:t xml:space="preserve">  2. Gubitak razdoblja (151-148)</w:t>
            </w:r>
          </w:p>
        </w:tc>
        <w:tc>
          <w:tcPr>
            <w:tcW w:type="dxa" w:w="691"/>
            <w:tcBorders>
              <w:top w:val="nil"/>
              <w:left w:val="nil"/>
              <w:bottom w:val="nil"/>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154</w:t>
            </w:r>
          </w:p>
        </w:tc>
        <w:tc>
          <w:tcPr>
            <w:tcW w:type="dxa" w:w="691"/>
            <w:tcBorders>
              <w:top w:val="nil"/>
              <w:left w:val="nil"/>
              <w:bottom w:val="nil"/>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98"/>
            <w:tcBorders>
              <w:top w:val="nil"/>
              <w:left w:val="nil"/>
              <w:bottom w:space="0" w:sz="4" w:color="auto" w:val="single"/>
              <w:right w:space="0" w:sz="4" w:color="auto" w:val="single"/>
            </w:tcBorders>
            <w:shd w:fill="auto" w:color="C0C0C0" w:val="pct25"/>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0</w:t>
            </w:r>
          </w:p>
        </w:tc>
        <w:tc>
          <w:tcPr>
            <w:tcW w:type="dxa" w:w="1298"/>
            <w:tcBorders>
              <w:top w:val="nil"/>
              <w:left w:val="nil"/>
              <w:bottom w:space="0" w:sz="4" w:color="auto" w:val="single"/>
              <w:right w:space="0" w:sz="4" w:color="auto" w:val="single"/>
            </w:tcBorders>
            <w:shd w:fill="auto" w:color="C0C0C0" w:val="pct25"/>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0</w:t>
            </w:r>
          </w:p>
        </w:tc>
      </w:tr>
    </w:tbl>
    <w:p w:rsidRDefault="00924162" w:rsidP="00924162" w:rsidR="00924162">
      <w:pPr>
        <w:rPr>
          <w:rFonts w:cs="Times New Roman"/>
        </w:rPr>
      </w:pPr>
    </w:p>
    <w:p w:rsidRDefault="00924162" w:rsidP="00924162" w:rsidR="00924162">
      <w:pPr>
        <w:rPr>
          <w:rFonts w:cs="Times New Roman"/>
          <w:i/>
        </w:rPr>
      </w:pPr>
      <w:r>
        <w:rPr>
          <w:rFonts w:cs="Times New Roman"/>
          <w:i/>
        </w:rPr>
        <w:t>Račun dobiti i gubitka prethodne godine i na dan 30.06.2016.</w:t>
      </w:r>
    </w:p>
    <w:p w:rsidRDefault="00924162" w:rsidP="00924162" w:rsidR="00924162">
      <w:pPr>
        <w:rPr>
          <w:rFonts w:cs="Times New Roman"/>
        </w:rPr>
      </w:pPr>
    </w:p>
    <w:p w:rsidRDefault="00924162" w:rsidP="00924162" w:rsidR="00924162">
      <w:pPr>
        <w:rPr>
          <w:rFonts w:cs="Times New Roman"/>
        </w:rPr>
      </w:pPr>
      <w:r>
        <w:rPr>
          <w:rFonts w:cs="Times New Roman"/>
        </w:rPr>
        <w:t>Sažetak poslovanja društva kroz razdoblje od 2012. do 30.06.2016. godine nalazi se u nastavku (iznosi u kn).</w:t>
      </w:r>
    </w:p>
    <w:tbl>
      <w:tblPr>
        <w:tblW w:type="dxa" w:w="9626"/>
        <w:tblInd w:type="dxa" w:w="93"/>
        <w:tblLook w:val="04A0" w:noVBand="1" w:noHBand="0" w:lastColumn="0" w:firstColumn="1" w:lastRow="0" w:firstRow="1"/>
      </w:tblPr>
      <w:tblGrid>
        <w:gridCol w:w="3446"/>
        <w:gridCol w:w="1176"/>
        <w:gridCol w:w="1296"/>
        <w:gridCol w:w="1176"/>
        <w:gridCol w:w="1176"/>
        <w:gridCol w:w="1356"/>
      </w:tblGrid>
      <w:tr w:rsidTr="00924162" w:rsidR="00924162">
        <w:trPr>
          <w:trHeight w:val="300"/>
        </w:trPr>
        <w:tc>
          <w:tcPr>
            <w:tcW w:type="dxa" w:w="3798"/>
            <w:tcBorders>
              <w:top w:space="0" w:sz="4" w:color="auto" w:val="single"/>
              <w:left w:space="0" w:sz="4" w:color="auto" w:val="single"/>
              <w:bottom w:space="0" w:sz="4" w:color="auto" w:val="single"/>
              <w:right w:space="0" w:sz="4" w:color="auto" w:val="single"/>
            </w:tcBorders>
            <w:shd w:fill="E5E0EC" w:color="auto" w:val="clear"/>
            <w:vAlign w:val="bottom"/>
            <w:hideMark/>
          </w:tcPr>
          <w:p w:rsidRDefault="00924162" w:rsidR="00924162">
            <w:pPr>
              <w:spacing w:after="0"/>
              <w:rPr>
                <w:rFonts w:cs="Times New Roman" w:eastAsia="Times New Roman"/>
                <w:b/>
                <w:bCs/>
                <w:color w:val="000000"/>
                <w:sz w:val="22"/>
                <w:szCs w:val="22"/>
                <w:lang w:eastAsia="hr-HR"/>
              </w:rPr>
            </w:pPr>
            <w:r>
              <w:rPr>
                <w:rFonts w:cs="Times New Roman" w:eastAsia="Times New Roman"/>
                <w:b/>
                <w:bCs/>
                <w:color w:val="000000"/>
                <w:lang w:eastAsia="hr-HR"/>
              </w:rPr>
              <w:t>Opis/godina</w:t>
            </w:r>
          </w:p>
        </w:tc>
        <w:tc>
          <w:tcPr>
            <w:tcW w:type="dxa" w:w="1096"/>
            <w:tcBorders>
              <w:top w:space="0" w:sz="4" w:color="auto" w:val="single"/>
              <w:left w:val="nil"/>
              <w:bottom w:space="0" w:sz="4" w:color="auto" w:val="single"/>
              <w:right w:space="0" w:sz="4" w:color="auto" w:val="single"/>
            </w:tcBorders>
            <w:shd w:fill="E5E0EC" w:color="auto" w:val="clear"/>
            <w:vAlign w:val="bottom"/>
            <w:hideMark/>
          </w:tcPr>
          <w:p w:rsidRDefault="00924162" w:rsidR="00924162">
            <w:pPr>
              <w:spacing w:after="0"/>
              <w:jc w:val="center"/>
              <w:rPr>
                <w:rFonts w:cs="Times New Roman" w:eastAsia="Times New Roman"/>
                <w:b/>
                <w:bCs/>
                <w:color w:val="000000"/>
                <w:sz w:val="22"/>
                <w:szCs w:val="22"/>
                <w:lang w:eastAsia="hr-HR"/>
              </w:rPr>
            </w:pPr>
            <w:r>
              <w:rPr>
                <w:rFonts w:cs="Times New Roman" w:eastAsia="Times New Roman"/>
                <w:b/>
                <w:bCs/>
                <w:color w:val="000000"/>
                <w:lang w:eastAsia="hr-HR"/>
              </w:rPr>
              <w:t>2012.</w:t>
            </w:r>
          </w:p>
        </w:tc>
        <w:tc>
          <w:tcPr>
            <w:tcW w:type="dxa" w:w="1206"/>
            <w:tcBorders>
              <w:top w:space="0" w:sz="4" w:color="auto" w:val="single"/>
              <w:left w:val="nil"/>
              <w:bottom w:space="0" w:sz="4" w:color="auto" w:val="single"/>
              <w:right w:space="0" w:sz="4" w:color="auto" w:val="single"/>
            </w:tcBorders>
            <w:shd w:fill="E5E0EC" w:color="auto" w:val="clear"/>
            <w:vAlign w:val="bottom"/>
            <w:hideMark/>
          </w:tcPr>
          <w:p w:rsidRDefault="00924162" w:rsidR="00924162">
            <w:pPr>
              <w:spacing w:after="0"/>
              <w:jc w:val="center"/>
              <w:rPr>
                <w:rFonts w:cs="Times New Roman" w:eastAsia="Times New Roman"/>
                <w:b/>
                <w:bCs/>
                <w:color w:val="000000"/>
                <w:sz w:val="22"/>
                <w:szCs w:val="22"/>
                <w:lang w:eastAsia="hr-HR"/>
              </w:rPr>
            </w:pPr>
            <w:r>
              <w:rPr>
                <w:rFonts w:cs="Times New Roman" w:eastAsia="Times New Roman"/>
                <w:b/>
                <w:bCs/>
                <w:color w:val="000000"/>
                <w:lang w:eastAsia="hr-HR"/>
              </w:rPr>
              <w:t>2013.</w:t>
            </w:r>
          </w:p>
        </w:tc>
        <w:tc>
          <w:tcPr>
            <w:tcW w:type="dxa" w:w="1096"/>
            <w:tcBorders>
              <w:top w:space="0" w:sz="4" w:color="auto" w:val="single"/>
              <w:left w:val="nil"/>
              <w:bottom w:space="0" w:sz="4" w:color="auto" w:val="single"/>
              <w:right w:space="0" w:sz="4" w:color="auto" w:val="single"/>
            </w:tcBorders>
            <w:shd w:fill="E5E0EC" w:color="auto" w:val="clear"/>
            <w:vAlign w:val="bottom"/>
            <w:hideMark/>
          </w:tcPr>
          <w:p w:rsidRDefault="00924162" w:rsidR="00924162">
            <w:pPr>
              <w:spacing w:after="0"/>
              <w:jc w:val="center"/>
              <w:rPr>
                <w:rFonts w:cs="Times New Roman" w:eastAsia="Times New Roman"/>
                <w:b/>
                <w:bCs/>
                <w:color w:val="000000"/>
                <w:sz w:val="22"/>
                <w:szCs w:val="22"/>
                <w:lang w:eastAsia="hr-HR"/>
              </w:rPr>
            </w:pPr>
            <w:r>
              <w:rPr>
                <w:rFonts w:cs="Times New Roman" w:eastAsia="Times New Roman"/>
                <w:b/>
                <w:bCs/>
                <w:color w:val="000000"/>
                <w:lang w:eastAsia="hr-HR"/>
              </w:rPr>
              <w:t>2014.</w:t>
            </w:r>
          </w:p>
        </w:tc>
        <w:tc>
          <w:tcPr>
            <w:tcW w:type="dxa" w:w="1096"/>
            <w:tcBorders>
              <w:top w:space="0" w:sz="4" w:color="auto" w:val="single"/>
              <w:left w:val="nil"/>
              <w:bottom w:space="0" w:sz="4" w:color="auto" w:val="single"/>
              <w:right w:space="0" w:sz="4" w:color="auto" w:val="single"/>
            </w:tcBorders>
            <w:shd w:fill="E5E0EC" w:color="auto" w:val="clear"/>
            <w:vAlign w:val="bottom"/>
            <w:hideMark/>
          </w:tcPr>
          <w:p w:rsidRDefault="00924162" w:rsidR="00924162">
            <w:pPr>
              <w:spacing w:after="0"/>
              <w:jc w:val="center"/>
              <w:rPr>
                <w:rFonts w:cs="Times New Roman" w:eastAsia="Times New Roman"/>
                <w:b/>
                <w:bCs/>
                <w:color w:val="000000"/>
                <w:sz w:val="22"/>
                <w:szCs w:val="22"/>
                <w:lang w:eastAsia="hr-HR"/>
              </w:rPr>
            </w:pPr>
            <w:r>
              <w:rPr>
                <w:rFonts w:cs="Times New Roman" w:eastAsia="Times New Roman"/>
                <w:b/>
                <w:bCs/>
                <w:color w:val="000000"/>
                <w:lang w:eastAsia="hr-HR"/>
              </w:rPr>
              <w:t>2015.</w:t>
            </w:r>
          </w:p>
        </w:tc>
        <w:tc>
          <w:tcPr>
            <w:tcW w:type="dxa" w:w="1334"/>
            <w:tcBorders>
              <w:top w:space="0" w:sz="4" w:color="auto" w:val="single"/>
              <w:left w:val="nil"/>
              <w:bottom w:space="0" w:sz="4" w:color="auto" w:val="single"/>
              <w:right w:space="0" w:sz="4" w:color="auto" w:val="single"/>
            </w:tcBorders>
            <w:shd w:fill="E5E0EC" w:color="auto" w:val="clear"/>
            <w:vAlign w:val="bottom"/>
            <w:hideMark/>
          </w:tcPr>
          <w:p w:rsidRDefault="00924162" w:rsidR="00924162">
            <w:pPr>
              <w:spacing w:after="0"/>
              <w:jc w:val="center"/>
              <w:rPr>
                <w:rFonts w:cs="Times New Roman" w:eastAsia="Times New Roman"/>
                <w:b/>
                <w:bCs/>
                <w:color w:val="000000"/>
                <w:sz w:val="22"/>
                <w:szCs w:val="22"/>
                <w:lang w:eastAsia="hr-HR"/>
              </w:rPr>
            </w:pPr>
            <w:r>
              <w:rPr>
                <w:rFonts w:cs="Times New Roman" w:eastAsia="Times New Roman"/>
                <w:b/>
                <w:bCs/>
                <w:color w:val="000000"/>
                <w:lang w:eastAsia="hr-HR"/>
              </w:rPr>
              <w:t>30.06.2016.</w:t>
            </w:r>
          </w:p>
        </w:tc>
      </w:tr>
      <w:tr w:rsidTr="00924162" w:rsidR="00924162">
        <w:trPr>
          <w:trHeight w:val="300"/>
        </w:trPr>
        <w:tc>
          <w:tcPr>
            <w:tcW w:type="dxa" w:w="3798"/>
            <w:tcBorders>
              <w:top w:val="nil"/>
              <w:left w:space="0" w:sz="4" w:color="auto" w:val="single"/>
              <w:bottom w:space="0" w:sz="4" w:color="auto" w:val="single"/>
              <w:right w:space="0" w:sz="4" w:color="auto" w:val="single"/>
            </w:tcBorders>
            <w:vAlign w:val="bottom"/>
            <w:hideMark/>
          </w:tcPr>
          <w:p w:rsidRDefault="00924162" w:rsidR="00924162">
            <w:pPr>
              <w:spacing w:after="0"/>
              <w:rPr>
                <w:rFonts w:cs="Times New Roman" w:eastAsia="Times New Roman"/>
                <w:color w:val="000000"/>
                <w:sz w:val="22"/>
                <w:szCs w:val="22"/>
                <w:lang w:eastAsia="hr-HR"/>
              </w:rPr>
            </w:pPr>
            <w:r>
              <w:rPr>
                <w:rFonts w:cs="Times New Roman" w:eastAsia="Times New Roman"/>
                <w:color w:val="000000"/>
                <w:lang w:eastAsia="hr-HR"/>
              </w:rPr>
              <w:t>Broj zaposlenih</w:t>
            </w:r>
          </w:p>
        </w:tc>
        <w:tc>
          <w:tcPr>
            <w:tcW w:type="dxa" w:w="1096"/>
            <w:tcBorders>
              <w:top w:val="nil"/>
              <w:left w:val="nil"/>
              <w:bottom w:space="0" w:sz="4" w:color="auto" w:val="single"/>
              <w:right w:space="0" w:sz="4" w:color="auto" w:val="single"/>
            </w:tcBorders>
            <w:vAlign w:val="bottom"/>
            <w:hideMark/>
          </w:tcPr>
          <w:p w:rsidRDefault="00924162" w:rsidR="00924162">
            <w:pPr>
              <w:spacing w:after="0"/>
              <w:jc w:val="right"/>
              <w:rPr>
                <w:rFonts w:cs="Times New Roman" w:eastAsia="Times New Roman"/>
                <w:color w:val="000000"/>
                <w:sz w:val="22"/>
                <w:szCs w:val="22"/>
                <w:lang w:eastAsia="hr-HR"/>
              </w:rPr>
            </w:pPr>
            <w:r>
              <w:rPr>
                <w:rFonts w:cs="Times New Roman" w:eastAsia="Times New Roman"/>
                <w:color w:val="000000"/>
                <w:lang w:eastAsia="hr-HR"/>
              </w:rPr>
              <w:t>4</w:t>
            </w:r>
          </w:p>
        </w:tc>
        <w:tc>
          <w:tcPr>
            <w:tcW w:type="dxa" w:w="1206"/>
            <w:tcBorders>
              <w:top w:val="nil"/>
              <w:left w:val="nil"/>
              <w:bottom w:space="0" w:sz="4" w:color="auto" w:val="single"/>
              <w:right w:space="0" w:sz="4" w:color="auto" w:val="single"/>
            </w:tcBorders>
            <w:vAlign w:val="bottom"/>
            <w:hideMark/>
          </w:tcPr>
          <w:p w:rsidRDefault="00924162" w:rsidR="00924162">
            <w:pPr>
              <w:spacing w:after="0"/>
              <w:jc w:val="right"/>
              <w:rPr>
                <w:rFonts w:cs="Times New Roman" w:eastAsia="Times New Roman"/>
                <w:color w:val="000000"/>
                <w:sz w:val="22"/>
                <w:szCs w:val="22"/>
                <w:lang w:eastAsia="hr-HR"/>
              </w:rPr>
            </w:pPr>
            <w:r>
              <w:rPr>
                <w:rFonts w:cs="Times New Roman" w:eastAsia="Times New Roman"/>
                <w:color w:val="000000"/>
                <w:lang w:eastAsia="hr-HR"/>
              </w:rPr>
              <w:t>4</w:t>
            </w:r>
          </w:p>
        </w:tc>
        <w:tc>
          <w:tcPr>
            <w:tcW w:type="dxa" w:w="1096"/>
            <w:tcBorders>
              <w:top w:val="nil"/>
              <w:left w:val="nil"/>
              <w:bottom w:space="0" w:sz="4" w:color="auto" w:val="single"/>
              <w:right w:space="0" w:sz="4" w:color="auto" w:val="single"/>
            </w:tcBorders>
            <w:vAlign w:val="bottom"/>
            <w:hideMark/>
          </w:tcPr>
          <w:p w:rsidRDefault="00924162" w:rsidR="00924162">
            <w:pPr>
              <w:spacing w:after="0"/>
              <w:jc w:val="right"/>
              <w:rPr>
                <w:rFonts w:cs="Times New Roman" w:eastAsia="Times New Roman"/>
                <w:color w:val="000000"/>
                <w:sz w:val="22"/>
                <w:szCs w:val="22"/>
                <w:lang w:eastAsia="hr-HR"/>
              </w:rPr>
            </w:pPr>
            <w:r>
              <w:rPr>
                <w:rFonts w:cs="Times New Roman" w:eastAsia="Times New Roman"/>
                <w:color w:val="000000"/>
                <w:lang w:eastAsia="hr-HR"/>
              </w:rPr>
              <w:t>4</w:t>
            </w:r>
          </w:p>
        </w:tc>
        <w:tc>
          <w:tcPr>
            <w:tcW w:type="dxa" w:w="1096"/>
            <w:tcBorders>
              <w:top w:val="nil"/>
              <w:left w:val="nil"/>
              <w:bottom w:space="0" w:sz="4" w:color="auto" w:val="single"/>
              <w:right w:space="0" w:sz="4" w:color="auto" w:val="single"/>
            </w:tcBorders>
            <w:vAlign w:val="bottom"/>
            <w:hideMark/>
          </w:tcPr>
          <w:p w:rsidRDefault="00924162" w:rsidR="00924162">
            <w:pPr>
              <w:spacing w:after="0"/>
              <w:jc w:val="right"/>
              <w:rPr>
                <w:rFonts w:cs="Times New Roman" w:eastAsia="Times New Roman"/>
                <w:color w:val="000000"/>
                <w:sz w:val="22"/>
                <w:szCs w:val="22"/>
                <w:lang w:eastAsia="hr-HR"/>
              </w:rPr>
            </w:pPr>
            <w:r>
              <w:rPr>
                <w:rFonts w:cs="Times New Roman" w:eastAsia="Times New Roman"/>
                <w:color w:val="000000"/>
                <w:lang w:eastAsia="hr-HR"/>
              </w:rPr>
              <w:t>13</w:t>
            </w:r>
          </w:p>
        </w:tc>
        <w:tc>
          <w:tcPr>
            <w:tcW w:type="dxa" w:w="1334"/>
            <w:tcBorders>
              <w:top w:val="nil"/>
              <w:left w:val="nil"/>
              <w:bottom w:space="0" w:sz="4" w:color="auto" w:val="single"/>
              <w:right w:space="0" w:sz="4" w:color="auto" w:val="single"/>
            </w:tcBorders>
            <w:vAlign w:val="bottom"/>
            <w:hideMark/>
          </w:tcPr>
          <w:p w:rsidRDefault="00924162" w:rsidR="00924162">
            <w:pPr>
              <w:spacing w:after="0"/>
              <w:jc w:val="right"/>
              <w:rPr>
                <w:rFonts w:cs="Times New Roman" w:eastAsia="Times New Roman"/>
                <w:color w:val="000000"/>
                <w:sz w:val="22"/>
                <w:szCs w:val="22"/>
                <w:lang w:eastAsia="hr-HR"/>
              </w:rPr>
            </w:pPr>
            <w:r>
              <w:rPr>
                <w:rFonts w:cs="Times New Roman" w:eastAsia="Times New Roman"/>
                <w:color w:val="000000"/>
                <w:lang w:eastAsia="hr-HR"/>
              </w:rPr>
              <w:t>13</w:t>
            </w:r>
          </w:p>
        </w:tc>
      </w:tr>
      <w:tr w:rsidTr="00924162" w:rsidR="00924162">
        <w:trPr>
          <w:trHeight w:val="300"/>
        </w:trPr>
        <w:tc>
          <w:tcPr>
            <w:tcW w:type="dxa" w:w="3798"/>
            <w:tcBorders>
              <w:top w:val="nil"/>
              <w:left w:space="0" w:sz="4" w:color="auto" w:val="single"/>
              <w:bottom w:space="0" w:sz="4" w:color="auto" w:val="single"/>
              <w:right w:space="0" w:sz="4" w:color="auto" w:val="single"/>
            </w:tcBorders>
            <w:vAlign w:val="bottom"/>
            <w:hideMark/>
          </w:tcPr>
          <w:p w:rsidRDefault="00924162" w:rsidR="00924162">
            <w:pPr>
              <w:spacing w:after="0"/>
              <w:rPr>
                <w:rFonts w:cs="Times New Roman" w:eastAsia="Times New Roman"/>
                <w:color w:val="000000"/>
                <w:sz w:val="22"/>
                <w:szCs w:val="22"/>
                <w:lang w:eastAsia="hr-HR"/>
              </w:rPr>
            </w:pPr>
            <w:r>
              <w:rPr>
                <w:rFonts w:cs="Times New Roman" w:eastAsia="Times New Roman"/>
                <w:color w:val="000000"/>
                <w:lang w:eastAsia="hr-HR"/>
              </w:rPr>
              <w:t>Ukupni prihodi (u Kn)</w:t>
            </w:r>
          </w:p>
        </w:tc>
        <w:tc>
          <w:tcPr>
            <w:tcW w:type="dxa" w:w="1096"/>
            <w:tcBorders>
              <w:top w:val="nil"/>
              <w:left w:val="nil"/>
              <w:bottom w:space="0" w:sz="4" w:color="auto" w:val="single"/>
              <w:right w:space="0" w:sz="4" w:color="auto" w:val="single"/>
            </w:tcBorders>
            <w:vAlign w:val="bottom"/>
            <w:hideMark/>
          </w:tcPr>
          <w:p w:rsidRDefault="00924162" w:rsidR="00924162">
            <w:pPr>
              <w:spacing w:after="0"/>
              <w:jc w:val="right"/>
              <w:rPr>
                <w:rFonts w:cs="Times New Roman" w:eastAsia="Times New Roman"/>
                <w:color w:val="000000"/>
                <w:sz w:val="22"/>
                <w:szCs w:val="22"/>
                <w:lang w:eastAsia="hr-HR"/>
              </w:rPr>
            </w:pPr>
            <w:r>
              <w:rPr>
                <w:rFonts w:cs="Times New Roman" w:eastAsia="Times New Roman"/>
                <w:color w:val="000000"/>
                <w:lang w:eastAsia="hr-HR"/>
              </w:rPr>
              <w:t>2.531.400</w:t>
            </w:r>
          </w:p>
        </w:tc>
        <w:tc>
          <w:tcPr>
            <w:tcW w:type="dxa" w:w="1206"/>
            <w:tcBorders>
              <w:top w:val="nil"/>
              <w:left w:val="nil"/>
              <w:bottom w:space="0" w:sz="4" w:color="auto" w:val="single"/>
              <w:right w:space="0" w:sz="4" w:color="auto" w:val="single"/>
            </w:tcBorders>
            <w:vAlign w:val="bottom"/>
            <w:hideMark/>
          </w:tcPr>
          <w:p w:rsidRDefault="00924162" w:rsidR="00924162">
            <w:pPr>
              <w:spacing w:after="0"/>
              <w:jc w:val="right"/>
              <w:rPr>
                <w:rFonts w:cs="Times New Roman" w:eastAsia="Times New Roman"/>
                <w:color w:val="000000"/>
                <w:sz w:val="22"/>
                <w:szCs w:val="22"/>
                <w:lang w:eastAsia="hr-HR"/>
              </w:rPr>
            </w:pPr>
            <w:r>
              <w:rPr>
                <w:rFonts w:cs="Times New Roman" w:eastAsia="Times New Roman"/>
                <w:color w:val="000000"/>
                <w:lang w:eastAsia="hr-HR"/>
              </w:rPr>
              <w:t>13.090.400</w:t>
            </w:r>
          </w:p>
        </w:tc>
        <w:tc>
          <w:tcPr>
            <w:tcW w:type="dxa" w:w="1096"/>
            <w:tcBorders>
              <w:top w:val="nil"/>
              <w:left w:val="nil"/>
              <w:bottom w:space="0" w:sz="4" w:color="auto" w:val="single"/>
              <w:right w:space="0" w:sz="4" w:color="auto" w:val="single"/>
            </w:tcBorders>
            <w:vAlign w:val="bottom"/>
            <w:hideMark/>
          </w:tcPr>
          <w:p w:rsidRDefault="00924162" w:rsidR="00924162">
            <w:pPr>
              <w:spacing w:after="0"/>
              <w:jc w:val="right"/>
              <w:rPr>
                <w:rFonts w:cs="Times New Roman" w:eastAsia="Times New Roman"/>
                <w:color w:val="000000"/>
                <w:sz w:val="22"/>
                <w:szCs w:val="22"/>
                <w:lang w:eastAsia="hr-HR"/>
              </w:rPr>
            </w:pPr>
            <w:r>
              <w:rPr>
                <w:rFonts w:cs="Times New Roman" w:eastAsia="Times New Roman"/>
                <w:color w:val="000000"/>
                <w:lang w:eastAsia="hr-HR"/>
              </w:rPr>
              <w:t>9.296.400</w:t>
            </w:r>
          </w:p>
        </w:tc>
        <w:tc>
          <w:tcPr>
            <w:tcW w:type="dxa" w:w="1096"/>
            <w:tcBorders>
              <w:top w:val="nil"/>
              <w:left w:val="nil"/>
              <w:bottom w:space="0" w:sz="4" w:color="auto" w:val="single"/>
              <w:right w:space="0" w:sz="4" w:color="auto" w:val="single"/>
            </w:tcBorders>
            <w:vAlign w:val="bottom"/>
            <w:hideMark/>
          </w:tcPr>
          <w:p w:rsidRDefault="00924162" w:rsidR="00924162">
            <w:pPr>
              <w:spacing w:after="0"/>
              <w:jc w:val="right"/>
              <w:rPr>
                <w:rFonts w:cs="Times New Roman" w:eastAsia="Times New Roman"/>
                <w:color w:val="000000"/>
                <w:sz w:val="22"/>
                <w:szCs w:val="22"/>
                <w:lang w:eastAsia="hr-HR"/>
              </w:rPr>
            </w:pPr>
            <w:r>
              <w:rPr>
                <w:rFonts w:cs="Times New Roman" w:eastAsia="Times New Roman"/>
                <w:color w:val="000000"/>
                <w:lang w:eastAsia="hr-HR"/>
              </w:rPr>
              <w:t>1.334.500</w:t>
            </w:r>
          </w:p>
        </w:tc>
        <w:tc>
          <w:tcPr>
            <w:tcW w:type="dxa" w:w="1334"/>
            <w:tcBorders>
              <w:top w:val="nil"/>
              <w:left w:val="nil"/>
              <w:bottom w:space="0" w:sz="4" w:color="auto" w:val="single"/>
              <w:right w:space="0" w:sz="4" w:color="auto" w:val="single"/>
            </w:tcBorders>
            <w:vAlign w:val="bottom"/>
            <w:hideMark/>
          </w:tcPr>
          <w:p w:rsidRDefault="00924162" w:rsidR="00924162">
            <w:pPr>
              <w:spacing w:after="0"/>
              <w:jc w:val="right"/>
              <w:rPr>
                <w:rFonts w:cs="Times New Roman" w:eastAsia="Times New Roman"/>
                <w:color w:val="000000"/>
                <w:sz w:val="22"/>
                <w:szCs w:val="22"/>
                <w:lang w:eastAsia="hr-HR"/>
              </w:rPr>
            </w:pPr>
            <w:r>
              <w:rPr>
                <w:rFonts w:cs="Times New Roman" w:eastAsia="Times New Roman"/>
                <w:color w:val="000000"/>
                <w:lang w:eastAsia="hr-HR"/>
              </w:rPr>
              <w:t>540.295</w:t>
            </w:r>
          </w:p>
        </w:tc>
      </w:tr>
      <w:tr w:rsidTr="00924162" w:rsidR="00924162">
        <w:trPr>
          <w:trHeight w:val="300"/>
        </w:trPr>
        <w:tc>
          <w:tcPr>
            <w:tcW w:type="dxa" w:w="3798"/>
            <w:tcBorders>
              <w:top w:val="nil"/>
              <w:left w:space="0" w:sz="4" w:color="auto" w:val="single"/>
              <w:bottom w:space="0" w:sz="4" w:color="auto" w:val="single"/>
              <w:right w:space="0" w:sz="4" w:color="auto" w:val="single"/>
            </w:tcBorders>
            <w:vAlign w:val="bottom"/>
            <w:hideMark/>
          </w:tcPr>
          <w:p w:rsidRDefault="00924162" w:rsidR="00924162">
            <w:pPr>
              <w:spacing w:after="0"/>
              <w:rPr>
                <w:rFonts w:cs="Times New Roman" w:eastAsia="Times New Roman"/>
                <w:color w:val="000000"/>
                <w:sz w:val="22"/>
                <w:szCs w:val="22"/>
                <w:lang w:eastAsia="hr-HR"/>
              </w:rPr>
            </w:pPr>
            <w:r>
              <w:rPr>
                <w:rFonts w:cs="Times New Roman" w:eastAsia="Times New Roman"/>
                <w:color w:val="000000"/>
                <w:lang w:eastAsia="hr-HR"/>
              </w:rPr>
              <w:t>Ukupni rashodi (u Kn)</w:t>
            </w:r>
          </w:p>
        </w:tc>
        <w:tc>
          <w:tcPr>
            <w:tcW w:type="dxa" w:w="1096"/>
            <w:tcBorders>
              <w:top w:val="nil"/>
              <w:left w:val="nil"/>
              <w:bottom w:space="0" w:sz="4" w:color="auto" w:val="single"/>
              <w:right w:space="0" w:sz="4" w:color="auto" w:val="single"/>
            </w:tcBorders>
            <w:vAlign w:val="bottom"/>
            <w:hideMark/>
          </w:tcPr>
          <w:p w:rsidRDefault="00924162" w:rsidR="00924162">
            <w:pPr>
              <w:spacing w:after="0"/>
              <w:jc w:val="right"/>
              <w:rPr>
                <w:rFonts w:cs="Times New Roman" w:eastAsia="Times New Roman"/>
                <w:color w:val="000000"/>
                <w:sz w:val="22"/>
                <w:szCs w:val="22"/>
                <w:lang w:eastAsia="hr-HR"/>
              </w:rPr>
            </w:pPr>
            <w:r>
              <w:rPr>
                <w:rFonts w:cs="Times New Roman" w:eastAsia="Times New Roman"/>
                <w:color w:val="000000"/>
                <w:lang w:eastAsia="hr-HR"/>
              </w:rPr>
              <w:t>1.852.300</w:t>
            </w:r>
          </w:p>
        </w:tc>
        <w:tc>
          <w:tcPr>
            <w:tcW w:type="dxa" w:w="1206"/>
            <w:tcBorders>
              <w:top w:val="nil"/>
              <w:left w:val="nil"/>
              <w:bottom w:space="0" w:sz="4" w:color="auto" w:val="single"/>
              <w:right w:space="0" w:sz="4" w:color="auto" w:val="single"/>
            </w:tcBorders>
            <w:vAlign w:val="bottom"/>
            <w:hideMark/>
          </w:tcPr>
          <w:p w:rsidRDefault="00924162" w:rsidR="00924162">
            <w:pPr>
              <w:spacing w:after="0"/>
              <w:jc w:val="right"/>
              <w:rPr>
                <w:rFonts w:cs="Times New Roman" w:eastAsia="Times New Roman"/>
                <w:color w:val="000000"/>
                <w:sz w:val="22"/>
                <w:szCs w:val="22"/>
                <w:lang w:eastAsia="hr-HR"/>
              </w:rPr>
            </w:pPr>
            <w:r>
              <w:rPr>
                <w:rFonts w:cs="Times New Roman" w:eastAsia="Times New Roman"/>
                <w:color w:val="000000"/>
                <w:lang w:eastAsia="hr-HR"/>
              </w:rPr>
              <w:t>13.061.700</w:t>
            </w:r>
          </w:p>
        </w:tc>
        <w:tc>
          <w:tcPr>
            <w:tcW w:type="dxa" w:w="1096"/>
            <w:tcBorders>
              <w:top w:val="nil"/>
              <w:left w:val="nil"/>
              <w:bottom w:space="0" w:sz="4" w:color="auto" w:val="single"/>
              <w:right w:space="0" w:sz="4" w:color="auto" w:val="single"/>
            </w:tcBorders>
            <w:vAlign w:val="bottom"/>
            <w:hideMark/>
          </w:tcPr>
          <w:p w:rsidRDefault="00924162" w:rsidR="00924162">
            <w:pPr>
              <w:spacing w:after="0"/>
              <w:jc w:val="right"/>
              <w:rPr>
                <w:rFonts w:cs="Times New Roman" w:eastAsia="Times New Roman"/>
                <w:color w:val="000000"/>
                <w:sz w:val="22"/>
                <w:szCs w:val="22"/>
                <w:lang w:eastAsia="hr-HR"/>
              </w:rPr>
            </w:pPr>
            <w:r>
              <w:rPr>
                <w:rFonts w:cs="Times New Roman" w:eastAsia="Times New Roman"/>
                <w:color w:val="000000"/>
                <w:lang w:eastAsia="hr-HR"/>
              </w:rPr>
              <w:t>9.246.900</w:t>
            </w:r>
          </w:p>
        </w:tc>
        <w:tc>
          <w:tcPr>
            <w:tcW w:type="dxa" w:w="1096"/>
            <w:tcBorders>
              <w:top w:val="nil"/>
              <w:left w:val="nil"/>
              <w:bottom w:space="0" w:sz="4" w:color="auto" w:val="single"/>
              <w:right w:space="0" w:sz="4" w:color="auto" w:val="single"/>
            </w:tcBorders>
            <w:vAlign w:val="bottom"/>
            <w:hideMark/>
          </w:tcPr>
          <w:p w:rsidRDefault="00924162" w:rsidR="00924162">
            <w:pPr>
              <w:spacing w:after="0"/>
              <w:jc w:val="right"/>
              <w:rPr>
                <w:rFonts w:cs="Times New Roman" w:eastAsia="Times New Roman"/>
                <w:color w:val="000000"/>
                <w:sz w:val="22"/>
                <w:szCs w:val="22"/>
                <w:lang w:eastAsia="hr-HR"/>
              </w:rPr>
            </w:pPr>
            <w:r>
              <w:rPr>
                <w:rFonts w:cs="Times New Roman" w:eastAsia="Times New Roman"/>
                <w:color w:val="000000"/>
                <w:lang w:eastAsia="hr-HR"/>
              </w:rPr>
              <w:t>1.321.400</w:t>
            </w:r>
          </w:p>
        </w:tc>
        <w:tc>
          <w:tcPr>
            <w:tcW w:type="dxa" w:w="1334"/>
            <w:tcBorders>
              <w:top w:val="nil"/>
              <w:left w:val="nil"/>
              <w:bottom w:space="0" w:sz="4" w:color="auto" w:val="single"/>
              <w:right w:space="0" w:sz="4" w:color="auto" w:val="single"/>
            </w:tcBorders>
            <w:vAlign w:val="bottom"/>
            <w:hideMark/>
          </w:tcPr>
          <w:p w:rsidRDefault="00924162" w:rsidR="00924162">
            <w:pPr>
              <w:spacing w:after="0"/>
              <w:jc w:val="right"/>
              <w:rPr>
                <w:rFonts w:cs="Times New Roman" w:eastAsia="Times New Roman"/>
                <w:color w:val="000000"/>
                <w:sz w:val="22"/>
                <w:szCs w:val="22"/>
                <w:lang w:eastAsia="hr-HR"/>
              </w:rPr>
            </w:pPr>
            <w:r>
              <w:rPr>
                <w:rFonts w:cs="Times New Roman" w:eastAsia="Times New Roman"/>
                <w:color w:val="000000"/>
                <w:lang w:eastAsia="hr-HR"/>
              </w:rPr>
              <w:t>537.533</w:t>
            </w:r>
          </w:p>
        </w:tc>
      </w:tr>
      <w:tr w:rsidTr="00924162" w:rsidR="00924162">
        <w:trPr>
          <w:trHeight w:val="300"/>
        </w:trPr>
        <w:tc>
          <w:tcPr>
            <w:tcW w:type="dxa" w:w="3798"/>
            <w:tcBorders>
              <w:top w:val="nil"/>
              <w:left w:space="0" w:sz="4" w:color="auto" w:val="single"/>
              <w:bottom w:space="0" w:sz="4" w:color="auto" w:val="single"/>
              <w:right w:space="0" w:sz="4" w:color="auto" w:val="single"/>
            </w:tcBorders>
            <w:vAlign w:val="bottom"/>
            <w:hideMark/>
          </w:tcPr>
          <w:p w:rsidRDefault="00924162" w:rsidR="00924162">
            <w:pPr>
              <w:spacing w:after="0"/>
              <w:rPr>
                <w:rFonts w:cs="Times New Roman" w:eastAsia="Times New Roman"/>
                <w:color w:val="000000"/>
                <w:sz w:val="22"/>
                <w:szCs w:val="22"/>
                <w:lang w:eastAsia="hr-HR"/>
              </w:rPr>
            </w:pPr>
            <w:r>
              <w:rPr>
                <w:rFonts w:cs="Times New Roman" w:eastAsia="Times New Roman"/>
                <w:color w:val="000000"/>
                <w:lang w:eastAsia="hr-HR"/>
              </w:rPr>
              <w:t>EBIT (U Kn)</w:t>
            </w:r>
          </w:p>
        </w:tc>
        <w:tc>
          <w:tcPr>
            <w:tcW w:type="dxa" w:w="1096"/>
            <w:tcBorders>
              <w:top w:val="nil"/>
              <w:left w:val="nil"/>
              <w:bottom w:space="0" w:sz="4" w:color="auto" w:val="single"/>
              <w:right w:space="0" w:sz="4" w:color="auto" w:val="single"/>
            </w:tcBorders>
            <w:vAlign w:val="bottom"/>
            <w:hideMark/>
          </w:tcPr>
          <w:p w:rsidRDefault="00924162" w:rsidR="00924162">
            <w:pPr>
              <w:spacing w:after="0"/>
              <w:jc w:val="right"/>
              <w:rPr>
                <w:rFonts w:cs="Times New Roman" w:eastAsia="Times New Roman"/>
                <w:color w:val="000000"/>
                <w:sz w:val="22"/>
                <w:szCs w:val="22"/>
                <w:lang w:eastAsia="hr-HR"/>
              </w:rPr>
            </w:pPr>
            <w:r>
              <w:rPr>
                <w:rFonts w:cs="Times New Roman" w:eastAsia="Times New Roman"/>
                <w:color w:val="000000"/>
                <w:lang w:eastAsia="hr-HR"/>
              </w:rPr>
              <w:t>721.900</w:t>
            </w:r>
          </w:p>
        </w:tc>
        <w:tc>
          <w:tcPr>
            <w:tcW w:type="dxa" w:w="1206"/>
            <w:tcBorders>
              <w:top w:val="nil"/>
              <w:left w:val="nil"/>
              <w:bottom w:space="0" w:sz="4" w:color="auto" w:val="single"/>
              <w:right w:space="0" w:sz="4" w:color="auto" w:val="single"/>
            </w:tcBorders>
            <w:vAlign w:val="bottom"/>
            <w:hideMark/>
          </w:tcPr>
          <w:p w:rsidRDefault="00924162" w:rsidR="00924162">
            <w:pPr>
              <w:spacing w:after="0"/>
              <w:jc w:val="right"/>
              <w:rPr>
                <w:rFonts w:cs="Times New Roman" w:eastAsia="Times New Roman"/>
                <w:color w:val="000000"/>
                <w:sz w:val="22"/>
                <w:szCs w:val="22"/>
                <w:lang w:eastAsia="hr-HR"/>
              </w:rPr>
            </w:pPr>
            <w:r>
              <w:rPr>
                <w:rFonts w:cs="Times New Roman" w:eastAsia="Times New Roman"/>
                <w:color w:val="000000"/>
                <w:lang w:eastAsia="hr-HR"/>
              </w:rPr>
              <w:t>22.000</w:t>
            </w:r>
          </w:p>
        </w:tc>
        <w:tc>
          <w:tcPr>
            <w:tcW w:type="dxa" w:w="1096"/>
            <w:tcBorders>
              <w:top w:val="nil"/>
              <w:left w:val="nil"/>
              <w:bottom w:space="0" w:sz="4" w:color="auto" w:val="single"/>
              <w:right w:space="0" w:sz="4" w:color="auto" w:val="single"/>
            </w:tcBorders>
            <w:vAlign w:val="bottom"/>
            <w:hideMark/>
          </w:tcPr>
          <w:p w:rsidRDefault="00924162" w:rsidR="00924162">
            <w:pPr>
              <w:spacing w:after="0"/>
              <w:jc w:val="right"/>
              <w:rPr>
                <w:rFonts w:cs="Times New Roman" w:eastAsia="Times New Roman"/>
                <w:color w:val="000000"/>
                <w:sz w:val="22"/>
                <w:szCs w:val="22"/>
                <w:lang w:eastAsia="hr-HR"/>
              </w:rPr>
            </w:pPr>
            <w:r>
              <w:rPr>
                <w:rFonts w:cs="Times New Roman" w:eastAsia="Times New Roman"/>
                <w:color w:val="000000"/>
                <w:lang w:eastAsia="hr-HR"/>
              </w:rPr>
              <w:t>459.100</w:t>
            </w:r>
          </w:p>
        </w:tc>
        <w:tc>
          <w:tcPr>
            <w:tcW w:type="dxa" w:w="1096"/>
            <w:tcBorders>
              <w:top w:val="nil"/>
              <w:left w:val="nil"/>
              <w:bottom w:space="0" w:sz="4" w:color="auto" w:val="single"/>
              <w:right w:space="0" w:sz="4" w:color="auto" w:val="single"/>
            </w:tcBorders>
            <w:vAlign w:val="bottom"/>
            <w:hideMark/>
          </w:tcPr>
          <w:p w:rsidRDefault="00924162" w:rsidR="00924162">
            <w:pPr>
              <w:spacing w:after="0"/>
              <w:jc w:val="right"/>
              <w:rPr>
                <w:rFonts w:cs="Times New Roman" w:eastAsia="Times New Roman"/>
                <w:color w:val="000000"/>
                <w:sz w:val="22"/>
                <w:szCs w:val="22"/>
                <w:lang w:eastAsia="hr-HR"/>
              </w:rPr>
            </w:pPr>
            <w:r>
              <w:rPr>
                <w:rFonts w:cs="Times New Roman" w:eastAsia="Times New Roman"/>
                <w:color w:val="000000"/>
                <w:lang w:eastAsia="hr-HR"/>
              </w:rPr>
              <w:t>20.500</w:t>
            </w:r>
          </w:p>
        </w:tc>
        <w:tc>
          <w:tcPr>
            <w:tcW w:type="dxa" w:w="1334"/>
            <w:tcBorders>
              <w:top w:val="nil"/>
              <w:left w:val="nil"/>
              <w:bottom w:space="0" w:sz="4" w:color="auto" w:val="single"/>
              <w:right w:space="0" w:sz="4" w:color="auto" w:val="single"/>
            </w:tcBorders>
            <w:vAlign w:val="bottom"/>
            <w:hideMark/>
          </w:tcPr>
          <w:p w:rsidRDefault="00924162" w:rsidR="00924162">
            <w:pPr>
              <w:spacing w:after="0"/>
              <w:jc w:val="right"/>
              <w:rPr>
                <w:rFonts w:cs="Times New Roman" w:eastAsia="Times New Roman"/>
                <w:color w:val="000000"/>
                <w:sz w:val="22"/>
                <w:szCs w:val="22"/>
                <w:lang w:eastAsia="hr-HR"/>
              </w:rPr>
            </w:pPr>
            <w:r>
              <w:rPr>
                <w:rFonts w:cs="Times New Roman" w:eastAsia="Times New Roman"/>
                <w:color w:val="000000"/>
                <w:lang w:eastAsia="hr-HR"/>
              </w:rPr>
              <w:t>4.775</w:t>
            </w:r>
          </w:p>
        </w:tc>
      </w:tr>
      <w:tr w:rsidTr="00924162" w:rsidR="00924162">
        <w:trPr>
          <w:trHeight w:val="300"/>
        </w:trPr>
        <w:tc>
          <w:tcPr>
            <w:tcW w:type="dxa" w:w="3798"/>
            <w:tcBorders>
              <w:top w:val="nil"/>
              <w:left w:space="0" w:sz="4" w:color="auto" w:val="single"/>
              <w:bottom w:space="0" w:sz="4" w:color="auto" w:val="single"/>
              <w:right w:space="0" w:sz="4" w:color="auto" w:val="single"/>
            </w:tcBorders>
            <w:vAlign w:val="bottom"/>
            <w:hideMark/>
          </w:tcPr>
          <w:p w:rsidRDefault="00924162" w:rsidR="00924162">
            <w:pPr>
              <w:spacing w:after="0"/>
              <w:rPr>
                <w:rFonts w:cs="Times New Roman" w:eastAsia="Times New Roman"/>
                <w:color w:val="000000"/>
                <w:sz w:val="22"/>
                <w:szCs w:val="22"/>
                <w:lang w:eastAsia="hr-HR"/>
              </w:rPr>
            </w:pPr>
            <w:r>
              <w:rPr>
                <w:rFonts w:cs="Times New Roman" w:eastAsia="Times New Roman"/>
                <w:color w:val="000000"/>
                <w:lang w:eastAsia="hr-HR"/>
              </w:rPr>
              <w:t>EBT (Bruto dobit) (U Kn)</w:t>
            </w:r>
          </w:p>
        </w:tc>
        <w:tc>
          <w:tcPr>
            <w:tcW w:type="dxa" w:w="1096"/>
            <w:tcBorders>
              <w:top w:val="nil"/>
              <w:left w:val="nil"/>
              <w:bottom w:space="0" w:sz="4" w:color="auto" w:val="single"/>
              <w:right w:space="0" w:sz="4" w:color="auto" w:val="single"/>
            </w:tcBorders>
            <w:vAlign w:val="bottom"/>
            <w:hideMark/>
          </w:tcPr>
          <w:p w:rsidRDefault="00924162" w:rsidR="00924162">
            <w:pPr>
              <w:spacing w:after="0"/>
              <w:jc w:val="right"/>
              <w:rPr>
                <w:rFonts w:cs="Times New Roman" w:eastAsia="Times New Roman"/>
                <w:color w:val="000000"/>
                <w:sz w:val="22"/>
                <w:szCs w:val="22"/>
                <w:lang w:eastAsia="hr-HR"/>
              </w:rPr>
            </w:pPr>
            <w:r>
              <w:rPr>
                <w:rFonts w:cs="Times New Roman" w:eastAsia="Times New Roman"/>
                <w:color w:val="000000"/>
                <w:lang w:eastAsia="hr-HR"/>
              </w:rPr>
              <w:t>679.100</w:t>
            </w:r>
          </w:p>
        </w:tc>
        <w:tc>
          <w:tcPr>
            <w:tcW w:type="dxa" w:w="1206"/>
            <w:tcBorders>
              <w:top w:val="nil"/>
              <w:left w:val="nil"/>
              <w:bottom w:space="0" w:sz="4" w:color="auto" w:val="single"/>
              <w:right w:space="0" w:sz="4" w:color="auto" w:val="single"/>
            </w:tcBorders>
            <w:vAlign w:val="bottom"/>
            <w:hideMark/>
          </w:tcPr>
          <w:p w:rsidRDefault="00924162" w:rsidR="00924162">
            <w:pPr>
              <w:spacing w:after="0"/>
              <w:jc w:val="right"/>
              <w:rPr>
                <w:rFonts w:cs="Times New Roman" w:eastAsia="Times New Roman"/>
                <w:color w:val="000000"/>
                <w:sz w:val="22"/>
                <w:szCs w:val="22"/>
                <w:lang w:eastAsia="hr-HR"/>
              </w:rPr>
            </w:pPr>
            <w:r>
              <w:rPr>
                <w:rFonts w:cs="Times New Roman" w:eastAsia="Times New Roman"/>
                <w:color w:val="000000"/>
                <w:lang w:eastAsia="hr-HR"/>
              </w:rPr>
              <w:t>28.800</w:t>
            </w:r>
          </w:p>
        </w:tc>
        <w:tc>
          <w:tcPr>
            <w:tcW w:type="dxa" w:w="1096"/>
            <w:tcBorders>
              <w:top w:val="nil"/>
              <w:left w:val="nil"/>
              <w:bottom w:space="0" w:sz="4" w:color="auto" w:val="single"/>
              <w:right w:space="0" w:sz="4" w:color="auto" w:val="single"/>
            </w:tcBorders>
            <w:vAlign w:val="bottom"/>
            <w:hideMark/>
          </w:tcPr>
          <w:p w:rsidRDefault="00924162" w:rsidR="00924162">
            <w:pPr>
              <w:spacing w:after="0"/>
              <w:jc w:val="right"/>
              <w:rPr>
                <w:rFonts w:cs="Times New Roman" w:eastAsia="Times New Roman"/>
                <w:color w:val="000000"/>
                <w:sz w:val="22"/>
                <w:szCs w:val="22"/>
                <w:lang w:eastAsia="hr-HR"/>
              </w:rPr>
            </w:pPr>
            <w:r>
              <w:rPr>
                <w:rFonts w:cs="Times New Roman" w:eastAsia="Times New Roman"/>
                <w:color w:val="000000"/>
                <w:lang w:eastAsia="hr-HR"/>
              </w:rPr>
              <w:t>49.500</w:t>
            </w:r>
          </w:p>
        </w:tc>
        <w:tc>
          <w:tcPr>
            <w:tcW w:type="dxa" w:w="1096"/>
            <w:tcBorders>
              <w:top w:val="nil"/>
              <w:left w:val="nil"/>
              <w:bottom w:space="0" w:sz="4" w:color="auto" w:val="single"/>
              <w:right w:space="0" w:sz="4" w:color="auto" w:val="single"/>
            </w:tcBorders>
            <w:vAlign w:val="bottom"/>
            <w:hideMark/>
          </w:tcPr>
          <w:p w:rsidRDefault="00924162" w:rsidR="00924162">
            <w:pPr>
              <w:spacing w:after="0"/>
              <w:jc w:val="right"/>
              <w:rPr>
                <w:rFonts w:cs="Times New Roman" w:eastAsia="Times New Roman"/>
                <w:color w:val="000000"/>
                <w:sz w:val="22"/>
                <w:szCs w:val="22"/>
                <w:lang w:eastAsia="hr-HR"/>
              </w:rPr>
            </w:pPr>
            <w:r>
              <w:rPr>
                <w:rFonts w:cs="Times New Roman" w:eastAsia="Times New Roman"/>
                <w:color w:val="000000"/>
                <w:lang w:eastAsia="hr-HR"/>
              </w:rPr>
              <w:t>13.200</w:t>
            </w:r>
          </w:p>
        </w:tc>
        <w:tc>
          <w:tcPr>
            <w:tcW w:type="dxa" w:w="1334"/>
            <w:tcBorders>
              <w:top w:val="nil"/>
              <w:left w:val="nil"/>
              <w:bottom w:space="0" w:sz="4" w:color="auto" w:val="single"/>
              <w:right w:space="0" w:sz="4" w:color="auto" w:val="single"/>
            </w:tcBorders>
            <w:vAlign w:val="bottom"/>
            <w:hideMark/>
          </w:tcPr>
          <w:p w:rsidRDefault="00924162" w:rsidR="00924162">
            <w:pPr>
              <w:spacing w:after="0"/>
              <w:jc w:val="right"/>
              <w:rPr>
                <w:rFonts w:cs="Times New Roman" w:eastAsia="Times New Roman"/>
                <w:color w:val="000000"/>
                <w:sz w:val="22"/>
                <w:szCs w:val="22"/>
                <w:lang w:eastAsia="hr-HR"/>
              </w:rPr>
            </w:pPr>
            <w:r>
              <w:rPr>
                <w:rFonts w:cs="Times New Roman" w:eastAsia="Times New Roman"/>
                <w:color w:val="000000"/>
                <w:lang w:eastAsia="hr-HR"/>
              </w:rPr>
              <w:t>2.762</w:t>
            </w:r>
          </w:p>
        </w:tc>
      </w:tr>
      <w:tr w:rsidTr="00924162" w:rsidR="00924162">
        <w:trPr>
          <w:trHeight w:val="300"/>
        </w:trPr>
        <w:tc>
          <w:tcPr>
            <w:tcW w:type="dxa" w:w="3798"/>
            <w:tcBorders>
              <w:top w:val="nil"/>
              <w:left w:space="0" w:sz="4" w:color="auto" w:val="single"/>
              <w:bottom w:space="0" w:sz="4" w:color="auto" w:val="single"/>
              <w:right w:space="0" w:sz="4" w:color="auto" w:val="single"/>
            </w:tcBorders>
            <w:vAlign w:val="bottom"/>
            <w:hideMark/>
          </w:tcPr>
          <w:p w:rsidRDefault="00924162" w:rsidR="00924162">
            <w:pPr>
              <w:spacing w:after="0"/>
              <w:rPr>
                <w:rFonts w:cs="Times New Roman" w:eastAsia="Times New Roman"/>
                <w:color w:val="000000"/>
                <w:sz w:val="22"/>
                <w:szCs w:val="22"/>
                <w:lang w:eastAsia="hr-HR"/>
              </w:rPr>
            </w:pPr>
            <w:r>
              <w:rPr>
                <w:rFonts w:cs="Times New Roman" w:eastAsia="Times New Roman"/>
                <w:color w:val="000000"/>
                <w:lang w:eastAsia="hr-HR"/>
              </w:rPr>
              <w:t>Dobit nakon oporezivanja (Neto dobit)(u Kn)</w:t>
            </w:r>
          </w:p>
        </w:tc>
        <w:tc>
          <w:tcPr>
            <w:tcW w:type="dxa" w:w="1096"/>
            <w:tcBorders>
              <w:top w:val="nil"/>
              <w:left w:val="nil"/>
              <w:bottom w:space="0" w:sz="4" w:color="auto" w:val="single"/>
              <w:right w:space="0" w:sz="4" w:color="auto" w:val="single"/>
            </w:tcBorders>
            <w:vAlign w:val="bottom"/>
            <w:hideMark/>
          </w:tcPr>
          <w:p w:rsidRDefault="00924162" w:rsidR="00924162">
            <w:pPr>
              <w:spacing w:after="0"/>
              <w:jc w:val="right"/>
              <w:rPr>
                <w:rFonts w:cs="Times New Roman" w:eastAsia="Times New Roman"/>
                <w:color w:val="000000"/>
                <w:sz w:val="22"/>
                <w:szCs w:val="22"/>
                <w:lang w:eastAsia="hr-HR"/>
              </w:rPr>
            </w:pPr>
            <w:r>
              <w:rPr>
                <w:rFonts w:cs="Times New Roman" w:eastAsia="Times New Roman"/>
                <w:color w:val="000000"/>
                <w:lang w:eastAsia="hr-HR"/>
              </w:rPr>
              <w:t>679.100</w:t>
            </w:r>
          </w:p>
        </w:tc>
        <w:tc>
          <w:tcPr>
            <w:tcW w:type="dxa" w:w="1206"/>
            <w:tcBorders>
              <w:top w:val="nil"/>
              <w:left w:val="nil"/>
              <w:bottom w:space="0" w:sz="4" w:color="auto" w:val="single"/>
              <w:right w:space="0" w:sz="4" w:color="auto" w:val="single"/>
            </w:tcBorders>
            <w:vAlign w:val="bottom"/>
            <w:hideMark/>
          </w:tcPr>
          <w:p w:rsidRDefault="00924162" w:rsidR="00924162">
            <w:pPr>
              <w:spacing w:after="0"/>
              <w:jc w:val="right"/>
              <w:rPr>
                <w:rFonts w:cs="Times New Roman" w:eastAsia="Times New Roman"/>
                <w:color w:val="000000"/>
                <w:sz w:val="22"/>
                <w:szCs w:val="22"/>
                <w:lang w:eastAsia="hr-HR"/>
              </w:rPr>
            </w:pPr>
            <w:r>
              <w:rPr>
                <w:rFonts w:cs="Times New Roman" w:eastAsia="Times New Roman"/>
                <w:color w:val="000000"/>
                <w:lang w:eastAsia="hr-HR"/>
              </w:rPr>
              <w:t>28.800</w:t>
            </w:r>
          </w:p>
        </w:tc>
        <w:tc>
          <w:tcPr>
            <w:tcW w:type="dxa" w:w="1096"/>
            <w:tcBorders>
              <w:top w:val="nil"/>
              <w:left w:val="nil"/>
              <w:bottom w:space="0" w:sz="4" w:color="auto" w:val="single"/>
              <w:right w:space="0" w:sz="4" w:color="auto" w:val="single"/>
            </w:tcBorders>
            <w:vAlign w:val="bottom"/>
            <w:hideMark/>
          </w:tcPr>
          <w:p w:rsidRDefault="00924162" w:rsidR="00924162">
            <w:pPr>
              <w:spacing w:after="0"/>
              <w:jc w:val="right"/>
              <w:rPr>
                <w:rFonts w:cs="Times New Roman" w:eastAsia="Times New Roman"/>
                <w:color w:val="000000"/>
                <w:sz w:val="22"/>
                <w:szCs w:val="22"/>
                <w:lang w:eastAsia="hr-HR"/>
              </w:rPr>
            </w:pPr>
            <w:r>
              <w:rPr>
                <w:rFonts w:cs="Times New Roman" w:eastAsia="Times New Roman"/>
                <w:color w:val="000000"/>
                <w:lang w:eastAsia="hr-HR"/>
              </w:rPr>
              <w:t>49.500</w:t>
            </w:r>
          </w:p>
        </w:tc>
        <w:tc>
          <w:tcPr>
            <w:tcW w:type="dxa" w:w="1096"/>
            <w:tcBorders>
              <w:top w:val="nil"/>
              <w:left w:val="nil"/>
              <w:bottom w:space="0" w:sz="4" w:color="auto" w:val="single"/>
              <w:right w:space="0" w:sz="4" w:color="auto" w:val="single"/>
            </w:tcBorders>
            <w:vAlign w:val="bottom"/>
            <w:hideMark/>
          </w:tcPr>
          <w:p w:rsidRDefault="00924162" w:rsidR="00924162">
            <w:pPr>
              <w:spacing w:after="0"/>
              <w:jc w:val="right"/>
              <w:rPr>
                <w:rFonts w:cs="Times New Roman" w:eastAsia="Times New Roman"/>
                <w:color w:val="000000"/>
                <w:sz w:val="22"/>
                <w:szCs w:val="22"/>
                <w:lang w:eastAsia="hr-HR"/>
              </w:rPr>
            </w:pPr>
            <w:r>
              <w:rPr>
                <w:rFonts w:cs="Times New Roman" w:eastAsia="Times New Roman"/>
                <w:color w:val="000000"/>
                <w:lang w:eastAsia="hr-HR"/>
              </w:rPr>
              <w:t>10.500</w:t>
            </w:r>
          </w:p>
        </w:tc>
        <w:tc>
          <w:tcPr>
            <w:tcW w:type="dxa" w:w="1334"/>
            <w:tcBorders>
              <w:top w:val="nil"/>
              <w:left w:val="nil"/>
              <w:bottom w:space="0" w:sz="4" w:color="auto" w:val="single"/>
              <w:right w:space="0" w:sz="4" w:color="auto" w:val="single"/>
            </w:tcBorders>
            <w:vAlign w:val="bottom"/>
            <w:hideMark/>
          </w:tcPr>
          <w:p w:rsidRDefault="00924162" w:rsidR="00924162">
            <w:pPr>
              <w:spacing w:after="0"/>
              <w:jc w:val="right"/>
              <w:rPr>
                <w:rFonts w:cs="Times New Roman" w:eastAsia="Times New Roman"/>
                <w:color w:val="000000"/>
                <w:sz w:val="22"/>
                <w:szCs w:val="22"/>
                <w:lang w:eastAsia="hr-HR"/>
              </w:rPr>
            </w:pPr>
            <w:r>
              <w:rPr>
                <w:rFonts w:cs="Times New Roman" w:eastAsia="Times New Roman"/>
                <w:color w:val="000000"/>
                <w:lang w:eastAsia="hr-HR"/>
              </w:rPr>
              <w:t>2.210</w:t>
            </w:r>
          </w:p>
        </w:tc>
      </w:tr>
    </w:tbl>
    <w:p w:rsidRDefault="00924162" w:rsidP="00924162" w:rsidR="00924162">
      <w:pPr>
        <w:rPr>
          <w:rFonts w:cs="Times New Roman"/>
        </w:rPr>
      </w:pPr>
    </w:p>
    <w:p w:rsidRDefault="00924162" w:rsidP="00924162" w:rsidR="00924162">
      <w:pPr>
        <w:rPr>
          <w:rFonts w:cs="Times New Roman"/>
          <w:i/>
        </w:rPr>
      </w:pPr>
      <w:r>
        <w:rPr>
          <w:rFonts w:cs="Times New Roman"/>
          <w:i/>
        </w:rPr>
        <w:t>Tablica analize poslovanja od 2012. do 30.06.2016.</w:t>
      </w:r>
    </w:p>
    <w:p w:rsidRDefault="00924162" w:rsidP="00924162" w:rsidR="00924162">
      <w:pPr>
        <w:rPr>
          <w:rFonts w:cs="Times New Roman"/>
        </w:rPr>
      </w:pPr>
      <w:r>
        <w:rPr>
          <w:rFonts w:hAnsiTheme="minorHAnsi" w:asciiTheme="minorHAnsi"/>
          <w:noProof/>
          <w:sz w:val="22"/>
          <w:szCs w:val="22"/>
          <w:lang w:eastAsia="hr-HR"/>
        </w:rPr>
        <w:lastRenderedPageBreak/>
        <w:drawing>
          <wp:inline distR="0" distL="0" distB="0" distT="0">
            <wp:extent cy="3208020" cx="5496560"/>
            <wp:effectExtent b="11430" r="27940" t="0" l="0"/>
            <wp:docPr name="Grafikon 6" id="6"/>
            <wp:cNvGraphicFramePr/>
            <a:graphic>
              <a:graphicData uri="http://schemas.openxmlformats.org/drawingml/2006/chart">
                <c:chart r:id="rId36"/>
              </a:graphicData>
            </a:graphic>
          </wp:inline>
        </w:drawing>
      </w:r>
    </w:p>
    <w:p w:rsidRDefault="00924162" w:rsidP="00924162" w:rsidR="00924162">
      <w:pPr>
        <w:spacing w:before="240"/>
        <w:rPr>
          <w:rFonts w:cs="Times New Roman"/>
          <w:i/>
        </w:rPr>
      </w:pPr>
      <w:r>
        <w:rPr>
          <w:rFonts w:cs="Times New Roman"/>
          <w:i/>
        </w:rPr>
        <w:t>Grafički prikaz rezultata poslovanja u prethodnim godinama poslovanja</w:t>
      </w:r>
    </w:p>
    <w:p w:rsidRDefault="00924162" w:rsidP="00924162" w:rsidR="00924162">
      <w:pPr>
        <w:rPr>
          <w:rFonts w:cs="Times New Roman"/>
        </w:rPr>
      </w:pPr>
    </w:p>
    <w:p w:rsidRDefault="00924162" w:rsidP="00924162" w:rsidR="00924162">
      <w:pPr>
        <w:rPr>
          <w:rFonts w:cs="Times New Roman"/>
        </w:rPr>
      </w:pPr>
      <w:r>
        <w:rPr>
          <w:rFonts w:cs="Times New Roman"/>
        </w:rPr>
        <w:t>U nastavku prikazana je usporedba obveza prema dobavljačima i potraživanja od kupaca (iznosi u kn).</w:t>
      </w:r>
    </w:p>
    <w:p w:rsidRDefault="00924162" w:rsidP="00924162" w:rsidR="00924162">
      <w:pPr>
        <w:rPr>
          <w:rFonts w:cs="Times New Roman"/>
        </w:rPr>
      </w:pPr>
      <w:r>
        <w:rPr>
          <w:rFonts w:hAnsiTheme="minorHAnsi" w:asciiTheme="minorHAnsi"/>
          <w:noProof/>
          <w:sz w:val="22"/>
          <w:szCs w:val="22"/>
          <w:lang w:eastAsia="hr-HR"/>
        </w:rPr>
        <w:drawing>
          <wp:inline distR="0" distL="0" distB="0" distT="0">
            <wp:extent cy="3208020" cx="5496560"/>
            <wp:effectExtent b="11430" r="27940" t="0" l="0"/>
            <wp:docPr name="Grafikon 7" id="7"/>
            <wp:cNvGraphicFramePr/>
            <a:graphic>
              <a:graphicData uri="http://schemas.openxmlformats.org/drawingml/2006/chart">
                <c:chart r:id="rId37"/>
              </a:graphicData>
            </a:graphic>
          </wp:inline>
        </w:drawing>
      </w:r>
    </w:p>
    <w:p w:rsidRDefault="00924162" w:rsidP="00924162" w:rsidR="00924162">
      <w:pPr>
        <w:rPr>
          <w:rFonts w:cs="Times New Roman"/>
          <w:i/>
        </w:rPr>
      </w:pPr>
      <w:r>
        <w:rPr>
          <w:rFonts w:cs="Times New Roman"/>
          <w:i/>
        </w:rPr>
        <w:t xml:space="preserve">Grafički prikaz obveza prema dobavljačima i potraživanja od </w:t>
      </w:r>
      <w:proofErr w:type="spellStart"/>
      <w:r>
        <w:rPr>
          <w:rFonts w:cs="Times New Roman"/>
          <w:i/>
        </w:rPr>
        <w:t>kupacau</w:t>
      </w:r>
      <w:proofErr w:type="spellEnd"/>
      <w:r>
        <w:rPr>
          <w:rFonts w:cs="Times New Roman"/>
          <w:i/>
        </w:rPr>
        <w:t xml:space="preserve"> razdoblju od 2012. do 30.06.2016. godine</w:t>
      </w:r>
    </w:p>
    <w:p w:rsidRDefault="00924162" w:rsidP="00924162" w:rsidR="00924162">
      <w:pPr>
        <w:rPr>
          <w:rFonts w:cs="Times New Roman"/>
          <w:i/>
        </w:rPr>
      </w:pPr>
    </w:p>
    <w:p w:rsidRDefault="00924162" w:rsidP="00924162" w:rsidR="00924162">
      <w:pPr>
        <w:rPr>
          <w:rFonts w:cs="Times New Roman"/>
          <w:i/>
        </w:rPr>
      </w:pPr>
    </w:p>
    <w:p w:rsidRDefault="00924162" w:rsidP="00924162" w:rsidR="00924162">
      <w:pPr>
        <w:spacing w:lineRule="auto" w:line="360"/>
        <w:jc w:val="both"/>
        <w:rPr>
          <w:rFonts w:cs="Times New Roman"/>
        </w:rPr>
      </w:pPr>
      <w:r>
        <w:rPr>
          <w:rFonts w:cs="Times New Roman"/>
        </w:rPr>
        <w:t>Račun dobiti i gubitka pokazuje tendenciju rasta ukupnih prihoda i ukupnih rashoda u 2013. godini u odnosu na 2012. godinu. Nakon 2013. godine poslovni rashodi i poslovni prihodi bilježe pad, zaključno s danom 30.06.2016. godine. Sve promatrane godine obilježio je pozitivan trend poslovanja. U 2013. god. u odnosu na 2012. god. bilježi se rast ukupnih prihoda za 417,12%, te rast ukupnih rashoda u promatranom razdoblju za 605,16%. U 2014. god. u odnosu na 2013. god. bilježi se pad ukupnih prihoda za 28,98 %, a ukupni rashodi također bilježe pad od 29,21%. U 2015. god. bilježi se pad ukupnih prihoda u odnosu na 2014. god. od 85,64% , a ukupnih rashoda za 85,71%. Zaključno s datumom 30.06.2016. ukupni prihodi su smanjeni za 59,51%, a s druge strane ukupni rashodi su također zabilježili pad vrijednosti od 59,32% u odnosu na 2015. godinu.</w:t>
      </w:r>
    </w:p>
    <w:p w:rsidRDefault="00924162" w:rsidP="00924162" w:rsidR="00924162">
      <w:pPr>
        <w:rPr>
          <w:rFonts w:cs="Times New Roman"/>
        </w:rPr>
      </w:pPr>
    </w:p>
    <w:p w:rsidRDefault="00924162" w:rsidP="00924162" w:rsidR="00924162">
      <w:pPr>
        <w:rPr>
          <w:rFonts w:cs="Times New Roman"/>
        </w:rPr>
      </w:pPr>
      <w:r>
        <w:rPr>
          <w:rFonts w:cs="Times New Roman"/>
          <w:color w:val="FF0000"/>
        </w:rPr>
        <w:br/>
      </w:r>
      <w:r>
        <w:rPr>
          <w:rFonts w:cs="Times New Roman"/>
        </w:rPr>
        <w:t>Slijedi bilanca na dan 31.12.2015. godine i na dan 30.06.2016. godine (iznosi u kn).</w:t>
      </w:r>
    </w:p>
    <w:tbl>
      <w:tblPr>
        <w:tblW w:type="dxa" w:w="9172"/>
        <w:tblInd w:type="dxa" w:w="108"/>
        <w:tblLook w:val="04A0" w:noVBand="1" w:noHBand="0" w:lastColumn="0" w:firstColumn="1" w:lastRow="0" w:firstRow="1"/>
      </w:tblPr>
      <w:tblGrid>
        <w:gridCol w:w="633"/>
        <w:gridCol w:w="632"/>
        <w:gridCol w:w="629"/>
        <w:gridCol w:w="772"/>
        <w:gridCol w:w="627"/>
        <w:gridCol w:w="626"/>
        <w:gridCol w:w="626"/>
        <w:gridCol w:w="624"/>
        <w:gridCol w:w="691"/>
        <w:gridCol w:w="804"/>
        <w:gridCol w:w="1254"/>
        <w:gridCol w:w="1254"/>
      </w:tblGrid>
      <w:tr w:rsidTr="00924162" w:rsidR="00924162">
        <w:trPr>
          <w:trHeight w:val="407"/>
        </w:trPr>
        <w:tc>
          <w:tcPr>
            <w:tcW w:type="dxa" w:w="7916"/>
            <w:gridSpan w:val="11"/>
            <w:tcBorders>
              <w:top w:val="nil"/>
              <w:left w:val="nil"/>
              <w:bottom w:val="nil"/>
              <w:right w:space="0" w:sz="8" w:color="000000" w:val="single"/>
            </w:tcBorders>
            <w:vAlign w:val="center"/>
            <w:hideMark/>
          </w:tcPr>
          <w:p w:rsidRDefault="00924162" w:rsidR="00924162">
            <w:pPr>
              <w:spacing w:after="0"/>
              <w:jc w:val="center"/>
              <w:rPr>
                <w:rFonts w:cs="Arial" w:eastAsia="Times New Roman" w:hAnsi="Arial" w:ascii="Arial"/>
                <w:b/>
                <w:bCs/>
                <w:color w:val="000080"/>
                <w:lang w:eastAsia="hr-HR"/>
              </w:rPr>
            </w:pPr>
            <w:bookmarkStart w:name="RANGE!A3:L122" w:id="22"/>
            <w:r>
              <w:rPr>
                <w:rFonts w:cs="Arial" w:eastAsia="Times New Roman" w:hAnsi="Arial" w:ascii="Arial"/>
                <w:b/>
                <w:bCs/>
                <w:color w:val="000080"/>
                <w:lang w:eastAsia="hr-HR"/>
              </w:rPr>
              <w:t>BILANCA</w:t>
            </w:r>
            <w:bookmarkEnd w:id="22"/>
          </w:p>
        </w:tc>
        <w:tc>
          <w:tcPr>
            <w:tcW w:type="dxa" w:w="1254"/>
            <w:vMerge w:val="restart"/>
            <w:tcBorders>
              <w:top w:space="0" w:sz="8" w:color="auto" w:val="single"/>
              <w:left w:space="0" w:sz="8" w:color="auto" w:val="single"/>
              <w:bottom w:space="0" w:sz="8" w:color="000000" w:val="single"/>
              <w:right w:space="0" w:sz="8" w:color="auto" w:val="single"/>
            </w:tcBorders>
            <w:shd w:fill="auto" w:color="CCCCFF" w:val="pct25"/>
            <w:vAlign w:val="center"/>
            <w:hideMark/>
          </w:tcPr>
          <w:p w:rsidRDefault="00924162" w:rsidR="00924162">
            <w:pPr>
              <w:spacing w:after="0"/>
              <w:jc w:val="center"/>
              <w:rPr>
                <w:rFonts w:cs="Arial" w:eastAsia="Times New Roman" w:hAnsi="Arial" w:ascii="Arial"/>
                <w:b/>
                <w:bCs/>
                <w:color w:val="000080"/>
                <w:sz w:val="16"/>
                <w:szCs w:val="16"/>
                <w:lang w:eastAsia="hr-HR"/>
              </w:rPr>
            </w:pPr>
            <w:r>
              <w:rPr>
                <w:rFonts w:cs="Arial" w:eastAsia="Times New Roman" w:hAnsi="Arial" w:ascii="Arial"/>
                <w:b/>
                <w:bCs/>
                <w:color w:val="000080"/>
                <w:sz w:val="16"/>
                <w:szCs w:val="16"/>
                <w:lang w:eastAsia="hr-HR"/>
              </w:rPr>
              <w:t>Obrazac</w:t>
            </w:r>
            <w:r>
              <w:rPr>
                <w:rFonts w:cs="Arial" w:eastAsia="Times New Roman" w:hAnsi="Arial" w:ascii="Arial"/>
                <w:b/>
                <w:bCs/>
                <w:color w:val="000080"/>
                <w:sz w:val="20"/>
                <w:szCs w:val="20"/>
                <w:lang w:eastAsia="hr-HR"/>
              </w:rPr>
              <w:br/>
            </w:r>
            <w:r>
              <w:rPr>
                <w:rFonts w:cs="Arial" w:eastAsia="Times New Roman" w:hAnsi="Arial Black" w:ascii="Arial Black"/>
                <w:b/>
                <w:bCs/>
                <w:color w:val="000080"/>
                <w:lang w:eastAsia="hr-HR"/>
              </w:rPr>
              <w:t>POD-BIL</w:t>
            </w:r>
          </w:p>
        </w:tc>
      </w:tr>
      <w:tr w:rsidTr="00924162" w:rsidR="00924162">
        <w:trPr>
          <w:trHeight w:val="407"/>
        </w:trPr>
        <w:tc>
          <w:tcPr>
            <w:tcW w:type="dxa" w:w="7916"/>
            <w:gridSpan w:val="11"/>
            <w:tcBorders>
              <w:top w:val="nil"/>
              <w:left w:val="nil"/>
              <w:bottom w:val="nil"/>
              <w:right w:space="0" w:sz="8" w:color="000000" w:val="single"/>
            </w:tcBorders>
            <w:hideMark/>
          </w:tcPr>
          <w:p w:rsidRDefault="00924162" w:rsidR="00924162">
            <w:pPr>
              <w:spacing w:after="0"/>
              <w:jc w:val="center"/>
              <w:rPr>
                <w:rFonts w:cs="Arial" w:eastAsia="Times New Roman" w:hAnsi="Arial" w:ascii="Arial"/>
                <w:b/>
                <w:bCs/>
                <w:color w:val="000080"/>
                <w:sz w:val="20"/>
                <w:szCs w:val="20"/>
                <w:lang w:eastAsia="hr-HR"/>
              </w:rPr>
            </w:pPr>
            <w:r>
              <w:rPr>
                <w:rFonts w:cs="Arial" w:eastAsia="Times New Roman" w:hAnsi="Arial" w:ascii="Arial"/>
                <w:b/>
                <w:bCs/>
                <w:color w:val="000080"/>
                <w:sz w:val="20"/>
                <w:szCs w:val="20"/>
                <w:lang w:eastAsia="hr-HR"/>
              </w:rPr>
              <w:t>stanje na dan 30.06.2016.</w:t>
            </w:r>
          </w:p>
        </w:tc>
        <w:tc>
          <w:tcPr>
            <w:tcW w:type="auto" w:w="0"/>
            <w:vMerge/>
            <w:tcBorders>
              <w:top w:space="0" w:sz="8" w:color="auto" w:val="single"/>
              <w:left w:space="0" w:sz="8" w:color="auto" w:val="single"/>
              <w:bottom w:space="0" w:sz="8" w:color="000000" w:val="single"/>
              <w:right w:space="0" w:sz="8" w:color="auto" w:val="single"/>
            </w:tcBorders>
            <w:vAlign w:val="center"/>
            <w:hideMark/>
          </w:tcPr>
          <w:p w:rsidRDefault="00924162" w:rsidR="00924162">
            <w:pPr>
              <w:spacing w:after="0"/>
              <w:rPr>
                <w:rFonts w:cs="Arial" w:eastAsia="Times New Roman" w:hAnsi="Arial" w:ascii="Arial"/>
                <w:b/>
                <w:bCs/>
                <w:color w:val="000080"/>
                <w:sz w:val="16"/>
                <w:szCs w:val="16"/>
                <w:lang w:eastAsia="hr-HR"/>
              </w:rPr>
            </w:pPr>
          </w:p>
        </w:tc>
      </w:tr>
      <w:tr w:rsidTr="00924162" w:rsidR="00924162">
        <w:trPr>
          <w:trHeight w:val="103"/>
        </w:trPr>
        <w:tc>
          <w:tcPr>
            <w:tcW w:type="dxa" w:w="660"/>
            <w:tcBorders>
              <w:top w:val="nil"/>
              <w:left w:space="0" w:sz="4" w:color="auto" w:val="single"/>
              <w:bottom w:space="0" w:sz="4" w:color="auto" w:val="single"/>
              <w:right w:val="nil"/>
            </w:tcBorders>
            <w:hideMark/>
          </w:tcPr>
          <w:p w:rsidRDefault="00924162" w:rsidR="00924162">
            <w:pPr>
              <w:spacing w:after="0"/>
              <w:jc w:val="center"/>
              <w:rPr>
                <w:rFonts w:cs="Arial" w:eastAsia="Times New Roman" w:hAnsi="Arial" w:ascii="Arial"/>
                <w:b/>
                <w:bCs/>
                <w:color w:val="000080"/>
                <w:sz w:val="20"/>
                <w:szCs w:val="20"/>
                <w:lang w:eastAsia="hr-HR"/>
              </w:rPr>
            </w:pPr>
            <w:r>
              <w:rPr>
                <w:rFonts w:cs="Arial" w:eastAsia="Times New Roman" w:hAnsi="Arial" w:ascii="Arial"/>
                <w:b/>
                <w:bCs/>
                <w:color w:val="000080"/>
                <w:sz w:val="20"/>
                <w:szCs w:val="20"/>
                <w:lang w:eastAsia="hr-HR"/>
              </w:rPr>
              <w:t> </w:t>
            </w:r>
          </w:p>
        </w:tc>
        <w:tc>
          <w:tcPr>
            <w:tcW w:type="dxa" w:w="660"/>
            <w:tcBorders>
              <w:top w:val="nil"/>
              <w:left w:val="nil"/>
              <w:bottom w:space="0" w:sz="4" w:color="auto" w:val="single"/>
              <w:right w:val="nil"/>
            </w:tcBorders>
            <w:hideMark/>
          </w:tcPr>
          <w:p w:rsidRDefault="00924162" w:rsidR="0092416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 </w:t>
            </w:r>
          </w:p>
        </w:tc>
        <w:tc>
          <w:tcPr>
            <w:tcW w:type="dxa" w:w="659"/>
            <w:tcBorders>
              <w:top w:val="nil"/>
              <w:left w:val="nil"/>
              <w:bottom w:space="0" w:sz="4" w:color="auto" w:val="single"/>
              <w:right w:val="nil"/>
            </w:tcBorders>
            <w:hideMark/>
          </w:tcPr>
          <w:p w:rsidRDefault="00924162" w:rsidR="0092416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 </w:t>
            </w:r>
          </w:p>
        </w:tc>
        <w:tc>
          <w:tcPr>
            <w:tcW w:type="dxa" w:w="819"/>
            <w:tcBorders>
              <w:top w:val="nil"/>
              <w:left w:val="nil"/>
              <w:bottom w:space="0" w:sz="4" w:color="auto" w:val="single"/>
              <w:right w:val="nil"/>
            </w:tcBorders>
            <w:hideMark/>
          </w:tcPr>
          <w:p w:rsidRDefault="00924162" w:rsidR="0092416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 </w:t>
            </w:r>
          </w:p>
        </w:tc>
        <w:tc>
          <w:tcPr>
            <w:tcW w:type="dxa" w:w="659"/>
            <w:tcBorders>
              <w:top w:val="nil"/>
              <w:left w:val="nil"/>
              <w:bottom w:space="0" w:sz="4" w:color="auto" w:val="single"/>
              <w:right w:val="nil"/>
            </w:tcBorders>
            <w:hideMark/>
          </w:tcPr>
          <w:p w:rsidRDefault="00924162" w:rsidR="0092416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 </w:t>
            </w:r>
          </w:p>
        </w:tc>
        <w:tc>
          <w:tcPr>
            <w:tcW w:type="dxa" w:w="659"/>
            <w:tcBorders>
              <w:top w:val="nil"/>
              <w:left w:val="nil"/>
              <w:bottom w:space="0" w:sz="4" w:color="auto" w:val="single"/>
              <w:right w:val="nil"/>
            </w:tcBorders>
            <w:hideMark/>
          </w:tcPr>
          <w:p w:rsidRDefault="00924162" w:rsidR="0092416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 </w:t>
            </w:r>
          </w:p>
        </w:tc>
        <w:tc>
          <w:tcPr>
            <w:tcW w:type="dxa" w:w="659"/>
            <w:tcBorders>
              <w:top w:val="nil"/>
              <w:left w:val="nil"/>
              <w:bottom w:space="0" w:sz="4" w:color="auto" w:val="single"/>
              <w:right w:val="nil"/>
            </w:tcBorders>
            <w:hideMark/>
          </w:tcPr>
          <w:p w:rsidRDefault="00924162" w:rsidR="0092416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 </w:t>
            </w:r>
          </w:p>
        </w:tc>
        <w:tc>
          <w:tcPr>
            <w:tcW w:type="dxa" w:w="658"/>
            <w:tcBorders>
              <w:top w:val="nil"/>
              <w:left w:val="nil"/>
              <w:bottom w:space="0" w:sz="4" w:color="auto" w:val="single"/>
              <w:right w:val="nil"/>
            </w:tcBorders>
            <w:hideMark/>
          </w:tcPr>
          <w:p w:rsidRDefault="00924162" w:rsidR="0092416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 </w:t>
            </w:r>
          </w:p>
        </w:tc>
        <w:tc>
          <w:tcPr>
            <w:tcW w:type="dxa" w:w="563"/>
            <w:tcBorders>
              <w:top w:val="nil"/>
              <w:left w:val="nil"/>
              <w:bottom w:space="0" w:sz="4" w:color="auto" w:val="single"/>
              <w:right w:val="nil"/>
            </w:tcBorders>
            <w:hideMark/>
          </w:tcPr>
          <w:p w:rsidRDefault="00924162" w:rsidR="0092416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 </w:t>
            </w:r>
          </w:p>
        </w:tc>
        <w:tc>
          <w:tcPr>
            <w:tcW w:type="dxa" w:w="668"/>
            <w:tcBorders>
              <w:top w:val="nil"/>
              <w:left w:val="nil"/>
              <w:bottom w:space="0" w:sz="4" w:color="auto" w:val="single"/>
              <w:right w:val="nil"/>
            </w:tcBorders>
            <w:hideMark/>
          </w:tcPr>
          <w:p w:rsidRDefault="00924162" w:rsidR="0092416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 </w:t>
            </w:r>
          </w:p>
        </w:tc>
        <w:tc>
          <w:tcPr>
            <w:tcW w:type="dxa" w:w="1254"/>
            <w:tcBorders>
              <w:top w:val="nil"/>
              <w:left w:val="nil"/>
              <w:bottom w:space="0" w:sz="4" w:color="auto" w:val="single"/>
              <w:right w:val="nil"/>
            </w:tcBorders>
            <w:hideMark/>
          </w:tcPr>
          <w:p w:rsidRDefault="00924162" w:rsidR="00924162">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 </w:t>
            </w:r>
          </w:p>
        </w:tc>
        <w:tc>
          <w:tcPr>
            <w:tcW w:type="dxa" w:w="1254"/>
            <w:noWrap/>
            <w:vAlign w:val="center"/>
            <w:hideMark/>
          </w:tcPr>
          <w:p w:rsidRDefault="00924162" w:rsidR="00924162">
            <w:pPr>
              <w:spacing w:lineRule="auto" w:line="276" w:after="0"/>
              <w:rPr>
                <w:rFonts w:cs="Times New Roman"/>
                <w:sz w:val="22"/>
                <w:szCs w:val="22"/>
              </w:rPr>
            </w:pPr>
          </w:p>
        </w:tc>
      </w:tr>
      <w:tr w:rsidTr="00924162" w:rsidR="00924162">
        <w:trPr>
          <w:trHeight w:val="407"/>
        </w:trPr>
        <w:tc>
          <w:tcPr>
            <w:tcW w:type="dxa" w:w="9171"/>
            <w:gridSpan w:val="12"/>
            <w:tcBorders>
              <w:top w:space="0" w:sz="4" w:color="auto" w:val="single"/>
              <w:left w:space="0" w:sz="4" w:color="auto" w:val="single"/>
              <w:bottom w:space="0" w:sz="4" w:color="auto" w:val="single"/>
              <w:right w:space="0" w:sz="4" w:color="000000" w:val="single"/>
            </w:tcBorders>
            <w:shd w:fill="auto" w:color="C0C0C0" w:val="pct25"/>
            <w:vAlign w:val="center"/>
            <w:hideMark/>
          </w:tcPr>
          <w:p w:rsidRDefault="00924162" w:rsidR="00924162">
            <w:pPr>
              <w:spacing w:after="0"/>
              <w:rPr>
                <w:rFonts w:cs="Arial" w:eastAsia="Times New Roman" w:hAnsi="Arial" w:ascii="Arial"/>
                <w:b/>
                <w:bCs/>
                <w:color w:val="000080"/>
                <w:sz w:val="20"/>
                <w:szCs w:val="20"/>
                <w:lang w:eastAsia="hr-HR"/>
              </w:rPr>
            </w:pPr>
            <w:r>
              <w:rPr>
                <w:rFonts w:cs="Arial" w:eastAsia="Times New Roman" w:hAnsi="Arial" w:ascii="Arial"/>
                <w:b/>
                <w:bCs/>
                <w:color w:val="000080"/>
                <w:sz w:val="20"/>
                <w:szCs w:val="20"/>
                <w:lang w:eastAsia="hr-HR"/>
              </w:rPr>
              <w:t>Obveznik: 39141474711; Ratarstvo d.o.o.</w:t>
            </w:r>
          </w:p>
        </w:tc>
      </w:tr>
      <w:tr w:rsidTr="00924162" w:rsidR="00924162">
        <w:trPr>
          <w:trHeight w:val="501"/>
        </w:trPr>
        <w:tc>
          <w:tcPr>
            <w:tcW w:type="dxa" w:w="5431"/>
            <w:gridSpan w:val="8"/>
            <w:tcBorders>
              <w:top w:space="0" w:sz="4" w:color="auto" w:val="single"/>
              <w:left w:space="0" w:sz="4" w:color="auto" w:val="single"/>
              <w:bottom w:space="0" w:sz="8" w:color="C0C0C0" w:val="single"/>
              <w:right w:space="0" w:sz="4" w:color="000000" w:val="single"/>
            </w:tcBorders>
            <w:shd w:fill="969696" w:color="auto" w:val="clear"/>
            <w:vAlign w:val="center"/>
            <w:hideMark/>
          </w:tcPr>
          <w:p w:rsidRDefault="00924162" w:rsidR="00924162">
            <w:pPr>
              <w:spacing w:after="0"/>
              <w:jc w:val="center"/>
              <w:rPr>
                <w:rFonts w:cs="Arial" w:eastAsia="Times New Roman" w:hAnsi="Arial" w:ascii="Arial"/>
                <w:b/>
                <w:bCs/>
                <w:color w:val="FFFFFF"/>
                <w:sz w:val="18"/>
                <w:szCs w:val="18"/>
                <w:lang w:eastAsia="hr-HR"/>
              </w:rPr>
            </w:pPr>
            <w:r>
              <w:rPr>
                <w:rFonts w:cs="Arial" w:eastAsia="Times New Roman" w:hAnsi="Arial" w:ascii="Arial"/>
                <w:b/>
                <w:bCs/>
                <w:color w:val="FFFFFF"/>
                <w:sz w:val="18"/>
                <w:szCs w:val="18"/>
                <w:lang w:eastAsia="hr-HR"/>
              </w:rPr>
              <w:t>Naziv pozicije</w:t>
            </w:r>
          </w:p>
        </w:tc>
        <w:tc>
          <w:tcPr>
            <w:tcW w:type="dxa" w:w="563"/>
            <w:tcBorders>
              <w:top w:val="nil"/>
              <w:left w:val="nil"/>
              <w:bottom w:space="0" w:sz="8" w:color="C0C0C0" w:val="single"/>
              <w:right w:space="0" w:sz="4" w:color="auto" w:val="single"/>
            </w:tcBorders>
            <w:shd w:fill="969696" w:color="auto" w:val="clear"/>
            <w:vAlign w:val="center"/>
            <w:hideMark/>
          </w:tcPr>
          <w:p w:rsidRDefault="00924162" w:rsidR="00924162">
            <w:pPr>
              <w:spacing w:after="0"/>
              <w:jc w:val="center"/>
              <w:rPr>
                <w:rFonts w:cs="Arial" w:eastAsia="Times New Roman" w:hAnsi="Arial" w:ascii="Arial"/>
                <w:b/>
                <w:bCs/>
                <w:color w:val="FFFFFF"/>
                <w:sz w:val="18"/>
                <w:szCs w:val="18"/>
                <w:lang w:eastAsia="hr-HR"/>
              </w:rPr>
            </w:pPr>
            <w:r>
              <w:rPr>
                <w:rFonts w:cs="Arial" w:eastAsia="Times New Roman" w:hAnsi="Arial" w:ascii="Arial"/>
                <w:b/>
                <w:bCs/>
                <w:color w:val="FFFFFF"/>
                <w:sz w:val="18"/>
                <w:szCs w:val="18"/>
                <w:lang w:eastAsia="hr-HR"/>
              </w:rPr>
              <w:t>AOP</w:t>
            </w:r>
            <w:r>
              <w:rPr>
                <w:rFonts w:cs="Arial" w:eastAsia="Times New Roman" w:hAnsi="Arial" w:ascii="Arial"/>
                <w:b/>
                <w:bCs/>
                <w:color w:val="FFFFFF"/>
                <w:sz w:val="18"/>
                <w:szCs w:val="18"/>
                <w:lang w:eastAsia="hr-HR"/>
              </w:rPr>
              <w:br/>
            </w:r>
            <w:r>
              <w:rPr>
                <w:rFonts w:cs="Arial" w:eastAsia="Times New Roman" w:hAnsi="Arial" w:ascii="Arial"/>
                <w:b/>
                <w:bCs/>
                <w:color w:val="FFFFFF"/>
                <w:sz w:val="14"/>
                <w:szCs w:val="14"/>
                <w:lang w:eastAsia="hr-HR"/>
              </w:rPr>
              <w:t>oznaka</w:t>
            </w:r>
          </w:p>
        </w:tc>
        <w:tc>
          <w:tcPr>
            <w:tcW w:type="dxa" w:w="668"/>
            <w:tcBorders>
              <w:top w:val="nil"/>
              <w:left w:val="nil"/>
              <w:bottom w:space="0" w:sz="8" w:color="C0C0C0" w:val="single"/>
              <w:right w:space="0" w:sz="4" w:color="auto" w:val="single"/>
            </w:tcBorders>
            <w:shd w:fill="969696" w:color="auto" w:val="clear"/>
            <w:vAlign w:val="center"/>
            <w:hideMark/>
          </w:tcPr>
          <w:p w:rsidRDefault="00924162" w:rsidR="00924162">
            <w:pPr>
              <w:spacing w:after="0"/>
              <w:jc w:val="center"/>
              <w:rPr>
                <w:rFonts w:cs="Arial" w:eastAsia="Times New Roman" w:hAnsi="Arial" w:ascii="Arial"/>
                <w:b/>
                <w:bCs/>
                <w:color w:val="FFFFFF"/>
                <w:sz w:val="18"/>
                <w:szCs w:val="18"/>
                <w:lang w:eastAsia="hr-HR"/>
              </w:rPr>
            </w:pPr>
            <w:proofErr w:type="spellStart"/>
            <w:r>
              <w:rPr>
                <w:rFonts w:cs="Arial" w:eastAsia="Times New Roman" w:hAnsi="Arial" w:ascii="Arial"/>
                <w:b/>
                <w:bCs/>
                <w:color w:val="FFFFFF"/>
                <w:sz w:val="18"/>
                <w:szCs w:val="18"/>
                <w:lang w:eastAsia="hr-HR"/>
              </w:rPr>
              <w:t>Rbr</w:t>
            </w:r>
            <w:proofErr w:type="spellEnd"/>
            <w:r>
              <w:rPr>
                <w:rFonts w:cs="Arial" w:eastAsia="Times New Roman" w:hAnsi="Arial" w:ascii="Arial"/>
                <w:b/>
                <w:bCs/>
                <w:color w:val="FFFFFF"/>
                <w:sz w:val="18"/>
                <w:szCs w:val="18"/>
                <w:lang w:eastAsia="hr-HR"/>
              </w:rPr>
              <w:t xml:space="preserve">. </w:t>
            </w:r>
            <w:r>
              <w:rPr>
                <w:rFonts w:cs="Arial" w:eastAsia="Times New Roman" w:hAnsi="Arial" w:ascii="Arial"/>
                <w:b/>
                <w:bCs/>
                <w:color w:val="FFFFFF"/>
                <w:sz w:val="18"/>
                <w:szCs w:val="18"/>
                <w:lang w:eastAsia="hr-HR"/>
              </w:rPr>
              <w:br/>
            </w:r>
            <w:r>
              <w:rPr>
                <w:rFonts w:cs="Arial" w:eastAsia="Times New Roman" w:hAnsi="Arial" w:ascii="Arial"/>
                <w:b/>
                <w:bCs/>
                <w:color w:val="FFFFFF"/>
                <w:sz w:val="16"/>
                <w:szCs w:val="16"/>
                <w:lang w:eastAsia="hr-HR"/>
              </w:rPr>
              <w:t>bilješke</w:t>
            </w:r>
          </w:p>
        </w:tc>
        <w:tc>
          <w:tcPr>
            <w:tcW w:type="dxa" w:w="1254"/>
            <w:tcBorders>
              <w:top w:val="nil"/>
              <w:left w:val="nil"/>
              <w:bottom w:space="0" w:sz="8" w:color="C0C0C0" w:val="single"/>
              <w:right w:val="nil"/>
            </w:tcBorders>
            <w:shd w:fill="969696" w:color="auto" w:val="clear"/>
            <w:vAlign w:val="center"/>
            <w:hideMark/>
          </w:tcPr>
          <w:p w:rsidRDefault="00924162" w:rsidR="00924162">
            <w:pPr>
              <w:spacing w:after="0"/>
              <w:jc w:val="center"/>
              <w:rPr>
                <w:rFonts w:cs="Arial" w:eastAsia="Times New Roman" w:hAnsi="Arial" w:ascii="Arial"/>
                <w:b/>
                <w:bCs/>
                <w:color w:val="FFFFFF"/>
                <w:sz w:val="16"/>
                <w:szCs w:val="16"/>
                <w:lang w:eastAsia="hr-HR"/>
              </w:rPr>
            </w:pPr>
            <w:r>
              <w:rPr>
                <w:rFonts w:cs="Arial" w:eastAsia="Times New Roman" w:hAnsi="Arial" w:ascii="Arial"/>
                <w:b/>
                <w:bCs/>
                <w:color w:val="FFFFFF"/>
                <w:sz w:val="16"/>
                <w:szCs w:val="16"/>
                <w:lang w:eastAsia="hr-HR"/>
              </w:rPr>
              <w:t>Prethodna godina</w:t>
            </w:r>
            <w:r>
              <w:rPr>
                <w:rFonts w:cs="Arial" w:eastAsia="Times New Roman" w:hAnsi="Arial" w:ascii="Arial"/>
                <w:b/>
                <w:bCs/>
                <w:color w:val="FFFFFF"/>
                <w:sz w:val="16"/>
                <w:szCs w:val="16"/>
                <w:lang w:eastAsia="hr-HR"/>
              </w:rPr>
              <w:br/>
              <w:t>(neto)</w:t>
            </w:r>
          </w:p>
        </w:tc>
        <w:tc>
          <w:tcPr>
            <w:tcW w:type="dxa" w:w="1254"/>
            <w:tcBorders>
              <w:top w:val="nil"/>
              <w:left w:space="0" w:sz="4" w:color="auto" w:val="single"/>
              <w:bottom w:space="0" w:sz="8" w:color="C0C0C0" w:val="single"/>
              <w:right w:space="0" w:sz="4" w:color="auto" w:val="single"/>
            </w:tcBorders>
            <w:shd w:fill="969696" w:color="auto" w:val="clear"/>
            <w:vAlign w:val="center"/>
            <w:hideMark/>
          </w:tcPr>
          <w:p w:rsidRDefault="00924162" w:rsidR="00924162">
            <w:pPr>
              <w:spacing w:after="0"/>
              <w:jc w:val="center"/>
              <w:rPr>
                <w:rFonts w:cs="Arial" w:eastAsia="Times New Roman" w:hAnsi="Arial" w:ascii="Arial"/>
                <w:b/>
                <w:bCs/>
                <w:color w:val="FFFFFF"/>
                <w:sz w:val="16"/>
                <w:szCs w:val="16"/>
                <w:lang w:eastAsia="hr-HR"/>
              </w:rPr>
            </w:pPr>
            <w:r>
              <w:rPr>
                <w:rFonts w:cs="Arial" w:eastAsia="Times New Roman" w:hAnsi="Arial" w:ascii="Arial"/>
                <w:b/>
                <w:bCs/>
                <w:color w:val="FFFFFF"/>
                <w:sz w:val="16"/>
                <w:szCs w:val="16"/>
                <w:lang w:eastAsia="hr-HR"/>
              </w:rPr>
              <w:t>Tekuća godina</w:t>
            </w:r>
            <w:r>
              <w:rPr>
                <w:rFonts w:cs="Arial" w:eastAsia="Times New Roman" w:hAnsi="Arial" w:ascii="Arial"/>
                <w:b/>
                <w:bCs/>
                <w:color w:val="FFFFFF"/>
                <w:sz w:val="16"/>
                <w:szCs w:val="16"/>
                <w:lang w:eastAsia="hr-HR"/>
              </w:rPr>
              <w:br/>
              <w:t>(neto)</w:t>
            </w:r>
          </w:p>
        </w:tc>
      </w:tr>
      <w:tr w:rsidTr="00924162" w:rsidR="00924162">
        <w:trPr>
          <w:trHeight w:val="285"/>
        </w:trPr>
        <w:tc>
          <w:tcPr>
            <w:tcW w:type="dxa" w:w="5431"/>
            <w:gridSpan w:val="8"/>
            <w:tcBorders>
              <w:top w:space="0" w:sz="8" w:color="C0C0C0" w:val="single"/>
              <w:left w:space="0" w:sz="4" w:color="auto" w:val="single"/>
              <w:bottom w:space="0" w:sz="4" w:color="auto" w:val="single"/>
              <w:right w:space="0" w:sz="4" w:color="auto" w:val="single"/>
            </w:tcBorders>
            <w:shd w:fill="969696" w:color="auto" w:val="clear"/>
            <w:vAlign w:val="center"/>
            <w:hideMark/>
          </w:tcPr>
          <w:p w:rsidRDefault="00924162" w:rsidR="00924162">
            <w:pPr>
              <w:spacing w:after="0"/>
              <w:jc w:val="center"/>
              <w:rPr>
                <w:rFonts w:cs="Arial" w:eastAsia="Times New Roman" w:hAnsi="Arial" w:ascii="Arial"/>
                <w:b/>
                <w:bCs/>
                <w:color w:val="FFFFFF"/>
                <w:sz w:val="16"/>
                <w:szCs w:val="16"/>
                <w:lang w:eastAsia="hr-HR"/>
              </w:rPr>
            </w:pPr>
            <w:r>
              <w:rPr>
                <w:rFonts w:cs="Arial" w:eastAsia="Times New Roman" w:hAnsi="Arial" w:ascii="Arial"/>
                <w:b/>
                <w:bCs/>
                <w:color w:val="FFFFFF"/>
                <w:sz w:val="16"/>
                <w:szCs w:val="16"/>
                <w:lang w:eastAsia="hr-HR"/>
              </w:rPr>
              <w:t>1</w:t>
            </w:r>
          </w:p>
        </w:tc>
        <w:tc>
          <w:tcPr>
            <w:tcW w:type="dxa" w:w="563"/>
            <w:tcBorders>
              <w:top w:val="nil"/>
              <w:left w:val="nil"/>
              <w:bottom w:space="0" w:sz="4" w:color="auto" w:val="single"/>
              <w:right w:space="0" w:sz="4" w:color="auto" w:val="single"/>
            </w:tcBorders>
            <w:shd w:fill="969696" w:color="auto" w:val="clear"/>
            <w:noWrap/>
            <w:vAlign w:val="center"/>
            <w:hideMark/>
          </w:tcPr>
          <w:p w:rsidRDefault="00924162" w:rsidR="00924162">
            <w:pPr>
              <w:spacing w:after="0"/>
              <w:jc w:val="center"/>
              <w:rPr>
                <w:rFonts w:cs="Arial" w:eastAsia="Times New Roman" w:hAnsi="Arial" w:ascii="Arial"/>
                <w:b/>
                <w:bCs/>
                <w:color w:val="FFFFFF"/>
                <w:sz w:val="16"/>
                <w:szCs w:val="16"/>
                <w:lang w:eastAsia="hr-HR"/>
              </w:rPr>
            </w:pPr>
            <w:r>
              <w:rPr>
                <w:rFonts w:cs="Arial" w:eastAsia="Times New Roman" w:hAnsi="Arial" w:ascii="Arial"/>
                <w:b/>
                <w:bCs/>
                <w:color w:val="FFFFFF"/>
                <w:sz w:val="16"/>
                <w:szCs w:val="16"/>
                <w:lang w:eastAsia="hr-HR"/>
              </w:rPr>
              <w:t>2</w:t>
            </w:r>
          </w:p>
        </w:tc>
        <w:tc>
          <w:tcPr>
            <w:tcW w:type="dxa" w:w="668"/>
            <w:tcBorders>
              <w:top w:val="nil"/>
              <w:left w:val="nil"/>
              <w:bottom w:space="0" w:sz="4" w:color="auto" w:val="single"/>
              <w:right w:space="0" w:sz="4" w:color="auto" w:val="single"/>
            </w:tcBorders>
            <w:shd w:fill="969696" w:color="auto" w:val="clear"/>
            <w:noWrap/>
            <w:vAlign w:val="center"/>
            <w:hideMark/>
          </w:tcPr>
          <w:p w:rsidRDefault="00924162" w:rsidR="00924162">
            <w:pPr>
              <w:spacing w:after="0"/>
              <w:jc w:val="center"/>
              <w:rPr>
                <w:rFonts w:cs="Arial" w:eastAsia="Times New Roman" w:hAnsi="Arial" w:ascii="Arial"/>
                <w:b/>
                <w:bCs/>
                <w:color w:val="FFFFFF"/>
                <w:sz w:val="16"/>
                <w:szCs w:val="16"/>
                <w:lang w:eastAsia="hr-HR"/>
              </w:rPr>
            </w:pPr>
            <w:r>
              <w:rPr>
                <w:rFonts w:cs="Arial" w:eastAsia="Times New Roman" w:hAnsi="Arial" w:ascii="Arial"/>
                <w:b/>
                <w:bCs/>
                <w:color w:val="FFFFFF"/>
                <w:sz w:val="16"/>
                <w:szCs w:val="16"/>
                <w:lang w:eastAsia="hr-HR"/>
              </w:rPr>
              <w:t>3</w:t>
            </w:r>
          </w:p>
        </w:tc>
        <w:tc>
          <w:tcPr>
            <w:tcW w:type="dxa" w:w="1254"/>
            <w:tcBorders>
              <w:top w:val="nil"/>
              <w:left w:val="nil"/>
              <w:bottom w:space="0" w:sz="4" w:color="auto" w:val="single"/>
              <w:right w:space="0" w:sz="4" w:color="auto" w:val="single"/>
            </w:tcBorders>
            <w:shd w:fill="969696" w:color="auto" w:val="clear"/>
            <w:vAlign w:val="center"/>
            <w:hideMark/>
          </w:tcPr>
          <w:p w:rsidRDefault="00924162" w:rsidR="00924162">
            <w:pPr>
              <w:spacing w:after="0"/>
              <w:jc w:val="center"/>
              <w:rPr>
                <w:rFonts w:cs="Arial" w:eastAsia="Times New Roman" w:hAnsi="Arial" w:ascii="Arial"/>
                <w:b/>
                <w:bCs/>
                <w:color w:val="FFFFFF"/>
                <w:sz w:val="16"/>
                <w:szCs w:val="16"/>
                <w:lang w:eastAsia="hr-HR"/>
              </w:rPr>
            </w:pPr>
            <w:r>
              <w:rPr>
                <w:rFonts w:cs="Arial" w:eastAsia="Times New Roman" w:hAnsi="Arial" w:ascii="Arial"/>
                <w:b/>
                <w:bCs/>
                <w:color w:val="FFFFFF"/>
                <w:sz w:val="16"/>
                <w:szCs w:val="16"/>
                <w:lang w:eastAsia="hr-HR"/>
              </w:rPr>
              <w:t>4</w:t>
            </w:r>
          </w:p>
        </w:tc>
        <w:tc>
          <w:tcPr>
            <w:tcW w:type="dxa" w:w="1254"/>
            <w:tcBorders>
              <w:top w:val="nil"/>
              <w:left w:val="nil"/>
              <w:bottom w:space="0" w:sz="4" w:color="auto" w:val="single"/>
              <w:right w:space="0" w:sz="4" w:color="auto" w:val="single"/>
            </w:tcBorders>
            <w:shd w:fill="969696" w:color="auto" w:val="clear"/>
            <w:vAlign w:val="center"/>
            <w:hideMark/>
          </w:tcPr>
          <w:p w:rsidRDefault="00924162" w:rsidR="00924162">
            <w:pPr>
              <w:spacing w:after="0"/>
              <w:jc w:val="center"/>
              <w:rPr>
                <w:rFonts w:cs="Arial" w:eastAsia="Times New Roman" w:hAnsi="Arial" w:ascii="Arial"/>
                <w:b/>
                <w:bCs/>
                <w:color w:val="FFFFFF"/>
                <w:sz w:val="16"/>
                <w:szCs w:val="16"/>
                <w:lang w:eastAsia="hr-HR"/>
              </w:rPr>
            </w:pPr>
            <w:r>
              <w:rPr>
                <w:rFonts w:cs="Arial" w:eastAsia="Times New Roman" w:hAnsi="Arial" w:ascii="Arial"/>
                <w:b/>
                <w:bCs/>
                <w:color w:val="FFFFFF"/>
                <w:sz w:val="16"/>
                <w:szCs w:val="16"/>
                <w:lang w:eastAsia="hr-HR"/>
              </w:rPr>
              <w:t>5</w:t>
            </w:r>
          </w:p>
        </w:tc>
      </w:tr>
      <w:tr w:rsidTr="00924162" w:rsidR="00924162">
        <w:trPr>
          <w:trHeight w:val="285"/>
        </w:trPr>
        <w:tc>
          <w:tcPr>
            <w:tcW w:type="dxa" w:w="9171"/>
            <w:gridSpan w:val="12"/>
            <w:tcBorders>
              <w:top w:val="nil"/>
              <w:left w:space="0" w:sz="4" w:color="auto" w:val="single"/>
              <w:bottom w:space="0" w:sz="4" w:color="auto" w:val="single"/>
              <w:right w:space="0" w:sz="4" w:color="000000" w:val="single"/>
            </w:tcBorders>
            <w:shd w:fill="C0C0C0" w:color="auto" w:val="clear"/>
            <w:vAlign w:val="center"/>
            <w:hideMark/>
          </w:tcPr>
          <w:p w:rsidRDefault="00924162" w:rsidR="00924162">
            <w:pPr>
              <w:spacing w:after="0"/>
              <w:rPr>
                <w:rFonts w:cs="Arial" w:eastAsia="Times New Roman" w:hAnsi="Arial" w:ascii="Arial"/>
                <w:b/>
                <w:bCs/>
                <w:color w:val="000080"/>
                <w:sz w:val="18"/>
                <w:szCs w:val="18"/>
                <w:lang w:eastAsia="hr-HR"/>
              </w:rPr>
            </w:pPr>
            <w:bookmarkStart w:name="RANGE!A9" w:id="23"/>
            <w:r>
              <w:rPr>
                <w:rFonts w:cs="Arial" w:eastAsia="Times New Roman" w:hAnsi="Arial" w:ascii="Arial"/>
                <w:b/>
                <w:bCs/>
                <w:color w:val="000080"/>
                <w:sz w:val="18"/>
                <w:szCs w:val="18"/>
                <w:lang w:eastAsia="hr-HR"/>
              </w:rPr>
              <w:t>AKTIVA</w:t>
            </w:r>
            <w:bookmarkEnd w:id="23"/>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A)  POTRAŽIVANJA ZA UPISANI A NEUPLAĆENI KAPITAL</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001</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bookmarkStart w:name="RANGE!K10" w:id="24"/>
            <w:r>
              <w:rPr>
                <w:rFonts w:cs="Arial" w:eastAsia="Times New Roman" w:hAnsi="Arial" w:ascii="Arial"/>
                <w:sz w:val="16"/>
                <w:szCs w:val="16"/>
                <w:lang w:eastAsia="hr-HR"/>
              </w:rPr>
              <w:t> </w:t>
            </w:r>
            <w:bookmarkEnd w:id="24"/>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xml:space="preserve">B)  DUGOTRAJNA IMOVINA </w:t>
            </w:r>
            <w:r>
              <w:rPr>
                <w:rFonts w:cs="Arial" w:eastAsia="Times New Roman" w:hAnsi="Arial" w:ascii="Arial"/>
                <w:sz w:val="18"/>
                <w:szCs w:val="18"/>
                <w:lang w:eastAsia="hr-HR"/>
              </w:rPr>
              <w:t>(003+010+020+029+033)</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002</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shd w:fill="auto" w:color="C0C0C0" w:val="pct25"/>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6.144.397</w:t>
            </w:r>
          </w:p>
        </w:tc>
        <w:tc>
          <w:tcPr>
            <w:tcW w:type="dxa" w:w="1254"/>
            <w:tcBorders>
              <w:top w:val="nil"/>
              <w:left w:val="nil"/>
              <w:bottom w:space="0" w:sz="4" w:color="auto" w:val="single"/>
              <w:right w:space="0" w:sz="4" w:color="auto" w:val="single"/>
            </w:tcBorders>
            <w:shd w:fill="auto" w:color="C0C0C0" w:val="pct25"/>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6.064.731</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color w:val="0000FF"/>
                <w:sz w:val="18"/>
                <w:szCs w:val="18"/>
                <w:lang w:eastAsia="hr-HR"/>
              </w:rPr>
            </w:pPr>
            <w:r>
              <w:rPr>
                <w:rFonts w:cs="Arial" w:eastAsia="Times New Roman" w:hAnsi="Arial" w:ascii="Arial"/>
                <w:color w:val="0000FF"/>
                <w:sz w:val="18"/>
                <w:szCs w:val="18"/>
                <w:lang w:eastAsia="hr-HR"/>
              </w:rPr>
              <w:t>I. NEMATERIJALNA IMOVINA (004 do 009)</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003</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shd w:fill="auto" w:color="C0C0C0" w:val="pct25"/>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24.157</w:t>
            </w:r>
          </w:p>
        </w:tc>
        <w:tc>
          <w:tcPr>
            <w:tcW w:type="dxa" w:w="1254"/>
            <w:tcBorders>
              <w:top w:val="nil"/>
              <w:left w:val="nil"/>
              <w:bottom w:space="0" w:sz="4" w:color="auto" w:val="single"/>
              <w:right w:space="0" w:sz="4" w:color="auto" w:val="single"/>
            </w:tcBorders>
            <w:shd w:fill="auto" w:color="C0C0C0" w:val="pct25"/>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24.157</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 xml:space="preserve">   1. Izdaci za razvoj</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004</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 xml:space="preserve">   2. Koncesije, patenti, licencije, robne i uslužne marke, softver i ostala prava</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005</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 xml:space="preserve">   3. </w:t>
            </w:r>
            <w:proofErr w:type="spellStart"/>
            <w:r>
              <w:rPr>
                <w:rFonts w:cs="Arial" w:eastAsia="Times New Roman" w:hAnsi="Arial" w:ascii="Arial"/>
                <w:sz w:val="18"/>
                <w:szCs w:val="18"/>
                <w:lang w:eastAsia="hr-HR"/>
              </w:rPr>
              <w:t>Goodwill</w:t>
            </w:r>
            <w:proofErr w:type="spellEnd"/>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006</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 xml:space="preserve">   4. Predujmovi za nabavu nematerijalne imovine</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007</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 xml:space="preserve">   5. Nematerijalna imovina u pripremi</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008</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24.157</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24.157</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 xml:space="preserve">   6. Ostala nematerijalna imovina</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009</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color w:val="0000FF"/>
                <w:sz w:val="18"/>
                <w:szCs w:val="18"/>
                <w:lang w:eastAsia="hr-HR"/>
              </w:rPr>
            </w:pPr>
            <w:r>
              <w:rPr>
                <w:rFonts w:cs="Arial" w:eastAsia="Times New Roman" w:hAnsi="Arial" w:ascii="Arial"/>
                <w:color w:val="0000FF"/>
                <w:sz w:val="18"/>
                <w:szCs w:val="18"/>
                <w:lang w:eastAsia="hr-HR"/>
              </w:rPr>
              <w:t>II. MATERIJALNA IMOVINA (011 do 019)</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010</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shd w:fill="auto" w:color="C0C0C0" w:val="pct25"/>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2.580.667</w:t>
            </w:r>
          </w:p>
        </w:tc>
        <w:tc>
          <w:tcPr>
            <w:tcW w:type="dxa" w:w="1254"/>
            <w:tcBorders>
              <w:top w:val="nil"/>
              <w:left w:val="nil"/>
              <w:bottom w:space="0" w:sz="4" w:color="auto" w:val="single"/>
              <w:right w:space="0" w:sz="4" w:color="auto" w:val="single"/>
            </w:tcBorders>
            <w:shd w:fill="auto" w:color="C0C0C0" w:val="pct25"/>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2.521.419</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 xml:space="preserve">    1. Zemljište</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011</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533.113</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533.113</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 xml:space="preserve">    2. Građevinski objekti</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012</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1.732.013</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1.340.910</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 xml:space="preserve">    3. Postrojenja i oprema </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013</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339.281</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 xml:space="preserve">    4. Alati, pogonski inventar i transportna imovina</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014</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48.701</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41.275</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 xml:space="preserve">    5. Biološka imovina</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015</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 xml:space="preserve">    6. Predujmovi za materijalnu imovinu</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016</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266.840</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266.840</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lastRenderedPageBreak/>
              <w:t xml:space="preserve">    7. Materijalna imovina u pripremi</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017</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 xml:space="preserve">    8. Ostala materijalna imovina</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018</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 xml:space="preserve">    9. Ulaganje u nekretnine</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019</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color w:val="0000FF"/>
                <w:sz w:val="18"/>
                <w:szCs w:val="18"/>
                <w:lang w:eastAsia="hr-HR"/>
              </w:rPr>
            </w:pPr>
            <w:r>
              <w:rPr>
                <w:rFonts w:cs="Arial" w:eastAsia="Times New Roman" w:hAnsi="Arial" w:ascii="Arial"/>
                <w:color w:val="0000FF"/>
                <w:sz w:val="18"/>
                <w:szCs w:val="18"/>
                <w:lang w:eastAsia="hr-HR"/>
              </w:rPr>
              <w:t>III. DUGOTRAJNA FINANCIJSKA IMOVINA (021 do 028)</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020</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shd w:fill="auto" w:color="C0C0C0" w:val="pct25"/>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3.210.473</w:t>
            </w:r>
          </w:p>
        </w:tc>
        <w:tc>
          <w:tcPr>
            <w:tcW w:type="dxa" w:w="1254"/>
            <w:tcBorders>
              <w:top w:val="nil"/>
              <w:left w:val="nil"/>
              <w:bottom w:space="0" w:sz="4" w:color="auto" w:val="single"/>
              <w:right w:space="0" w:sz="4" w:color="auto" w:val="single"/>
            </w:tcBorders>
            <w:shd w:fill="auto" w:color="C0C0C0" w:val="pct25"/>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3.190.055</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 xml:space="preserve">     1. Udjeli (dionice) kod povezanih poduzetnika</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021</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 xml:space="preserve">     2. Dani zajmovi povezanim poduzetnicima</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022</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3.210.473</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3.190.055</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 xml:space="preserve">     3. Sudjelujući interesi (udjeli)</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023</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 xml:space="preserve">     4. Zajmovi dani poduzetnicima u kojima postoje sudjelujući interesi</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024</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 xml:space="preserve">     5. Ulaganja u vrijednosne papire</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025</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 xml:space="preserve">     6. Dani zajmovi, depoziti i slično</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026</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 xml:space="preserve">     7. Ostala dugotrajna financijska imovina </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027</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 xml:space="preserve">     8.  Ulaganja koja se obračunavaju metodom udjela</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028</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color w:val="0000FF"/>
                <w:sz w:val="18"/>
                <w:szCs w:val="18"/>
                <w:lang w:eastAsia="hr-HR"/>
              </w:rPr>
            </w:pPr>
            <w:r>
              <w:rPr>
                <w:rFonts w:cs="Arial" w:eastAsia="Times New Roman" w:hAnsi="Arial" w:ascii="Arial"/>
                <w:color w:val="0000FF"/>
                <w:sz w:val="18"/>
                <w:szCs w:val="18"/>
                <w:lang w:eastAsia="hr-HR"/>
              </w:rPr>
              <w:t>IV. POTRAŽIVANJA (030 do 032)</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029</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shd w:fill="auto" w:color="C0C0C0" w:val="pct25"/>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329.100</w:t>
            </w:r>
          </w:p>
        </w:tc>
        <w:tc>
          <w:tcPr>
            <w:tcW w:type="dxa" w:w="1254"/>
            <w:tcBorders>
              <w:top w:val="nil"/>
              <w:left w:val="nil"/>
              <w:bottom w:space="0" w:sz="4" w:color="auto" w:val="single"/>
              <w:right w:space="0" w:sz="4" w:color="auto" w:val="single"/>
            </w:tcBorders>
            <w:shd w:fill="auto" w:color="C0C0C0" w:val="pct25"/>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329.100</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 xml:space="preserve">     1. Potraživanja od povezanih poduzetnika</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030</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 xml:space="preserve">     2. Potraživanja po osnovi prodaje na kredit</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031</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 xml:space="preserve">     3. Ostala potraživanja</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032</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329.100</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329.100</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color w:val="0000FF"/>
                <w:sz w:val="18"/>
                <w:szCs w:val="18"/>
                <w:lang w:eastAsia="hr-HR"/>
              </w:rPr>
            </w:pPr>
            <w:r>
              <w:rPr>
                <w:rFonts w:cs="Arial" w:eastAsia="Times New Roman" w:hAnsi="Arial" w:ascii="Arial"/>
                <w:color w:val="0000FF"/>
                <w:sz w:val="18"/>
                <w:szCs w:val="18"/>
                <w:lang w:eastAsia="hr-HR"/>
              </w:rPr>
              <w:t>V. ODGOĐENA POREZNA IMOVINA</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033</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xml:space="preserve">C)  KRATKOTRAJNA IMOVINA </w:t>
            </w:r>
            <w:r>
              <w:rPr>
                <w:rFonts w:cs="Arial" w:eastAsia="Times New Roman" w:hAnsi="Arial" w:ascii="Arial"/>
                <w:sz w:val="18"/>
                <w:szCs w:val="18"/>
                <w:lang w:eastAsia="hr-HR"/>
              </w:rPr>
              <w:t>(035+043+050+058)</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034</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shd w:fill="auto" w:color="C0C0C0" w:val="pct25"/>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2.575.289</w:t>
            </w:r>
          </w:p>
        </w:tc>
        <w:tc>
          <w:tcPr>
            <w:tcW w:type="dxa" w:w="1254"/>
            <w:tcBorders>
              <w:top w:val="nil"/>
              <w:left w:val="nil"/>
              <w:bottom w:space="0" w:sz="4" w:color="auto" w:val="single"/>
              <w:right w:space="0" w:sz="4" w:color="auto" w:val="single"/>
            </w:tcBorders>
            <w:shd w:fill="auto" w:color="C0C0C0" w:val="pct25"/>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3.363.954</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color w:val="0000FF"/>
                <w:sz w:val="18"/>
                <w:szCs w:val="18"/>
                <w:lang w:eastAsia="hr-HR"/>
              </w:rPr>
            </w:pPr>
            <w:r>
              <w:rPr>
                <w:rFonts w:cs="Arial" w:eastAsia="Times New Roman" w:hAnsi="Arial" w:ascii="Arial"/>
                <w:color w:val="0000FF"/>
                <w:sz w:val="18"/>
                <w:szCs w:val="18"/>
                <w:lang w:eastAsia="hr-HR"/>
              </w:rPr>
              <w:t>I. ZALIHE (036 do 042)</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035</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shd w:fill="auto" w:color="C0C0C0" w:val="pct25"/>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918.325</w:t>
            </w:r>
          </w:p>
        </w:tc>
        <w:tc>
          <w:tcPr>
            <w:tcW w:type="dxa" w:w="1254"/>
            <w:tcBorders>
              <w:top w:val="nil"/>
              <w:left w:val="nil"/>
              <w:bottom w:space="0" w:sz="4" w:color="auto" w:val="single"/>
              <w:right w:space="0" w:sz="4" w:color="auto" w:val="single"/>
            </w:tcBorders>
            <w:shd w:fill="auto" w:color="C0C0C0" w:val="pct25"/>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1.457.296</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 xml:space="preserve">   1. Sirovine i materijal</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036</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 xml:space="preserve">   2. Proizvodnja u tijeku</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037</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311.000</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505.920</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 xml:space="preserve">   3. Gotovi proizvodi</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038</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 xml:space="preserve">   4. Trgovačka roba</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039</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604.180</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951.174</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 xml:space="preserve">   5. Predujmovi za zalihe</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040</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3.145</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202</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 xml:space="preserve">   6. Dugotrajna imovina namijenjena prodaji</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041</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 xml:space="preserve">   7. Biološka imovina</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042</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color w:val="0000FF"/>
                <w:sz w:val="18"/>
                <w:szCs w:val="18"/>
                <w:lang w:eastAsia="hr-HR"/>
              </w:rPr>
            </w:pPr>
            <w:r>
              <w:rPr>
                <w:rFonts w:cs="Arial" w:eastAsia="Times New Roman" w:hAnsi="Arial" w:ascii="Arial"/>
                <w:color w:val="0000FF"/>
                <w:sz w:val="18"/>
                <w:szCs w:val="18"/>
                <w:lang w:eastAsia="hr-HR"/>
              </w:rPr>
              <w:t>II. POTRAŽIVANJA (044 do 049)</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043</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shd w:fill="auto" w:color="C0C0C0" w:val="pct25"/>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1.628.124</w:t>
            </w:r>
          </w:p>
        </w:tc>
        <w:tc>
          <w:tcPr>
            <w:tcW w:type="dxa" w:w="1254"/>
            <w:tcBorders>
              <w:top w:val="nil"/>
              <w:left w:val="nil"/>
              <w:bottom w:space="0" w:sz="4" w:color="auto" w:val="single"/>
              <w:right w:space="0" w:sz="4" w:color="auto" w:val="single"/>
            </w:tcBorders>
            <w:shd w:fill="auto" w:color="C0C0C0" w:val="pct25"/>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1.755.990</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 xml:space="preserve">   1. Potraživanja od povezanih poduzetnika</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044</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1.002.570</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1.183.036</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 xml:space="preserve">   2. Potraživanja od kupaca</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045</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266.757</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207.445</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 xml:space="preserve">   3. Potraživanja od sudjelujućih poduzetnika </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046</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 xml:space="preserve">   4. Potraživanja od zaposlenika i članova poduzetnika</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047</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111.080</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111.080</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 xml:space="preserve">   5. Potraživanja od države i drugih institucija</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048</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119.350</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126.062</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 xml:space="preserve">   6. Ostala potraživanja</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049</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128.367</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128.367</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color w:val="0000FF"/>
                <w:sz w:val="18"/>
                <w:szCs w:val="18"/>
                <w:lang w:eastAsia="hr-HR"/>
              </w:rPr>
            </w:pPr>
            <w:r>
              <w:rPr>
                <w:rFonts w:cs="Arial" w:eastAsia="Times New Roman" w:hAnsi="Arial" w:ascii="Arial"/>
                <w:color w:val="0000FF"/>
                <w:sz w:val="18"/>
                <w:szCs w:val="18"/>
                <w:lang w:eastAsia="hr-HR"/>
              </w:rPr>
              <w:t>III. KRATKOTRAJNA FINANCIJSKA IMOVINA (051 do 057)</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050</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shd w:fill="auto" w:color="C0C0C0" w:val="pct25"/>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25.000</w:t>
            </w:r>
          </w:p>
        </w:tc>
        <w:tc>
          <w:tcPr>
            <w:tcW w:type="dxa" w:w="1254"/>
            <w:tcBorders>
              <w:top w:val="nil"/>
              <w:left w:val="nil"/>
              <w:bottom w:space="0" w:sz="4" w:color="auto" w:val="single"/>
              <w:right w:space="0" w:sz="4" w:color="auto" w:val="single"/>
            </w:tcBorders>
            <w:shd w:fill="auto" w:color="C0C0C0" w:val="pct25"/>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150.628</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 xml:space="preserve">     1. Udjeli (dionice) kod povezanih poduzetnika</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051</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 xml:space="preserve">     2. Dani zajmovi povezanim poduzetnicima</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052</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121.468</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 xml:space="preserve">     3. Sudjelujući interesi (udjeli) </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053</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 xml:space="preserve">     4. Zajmovi dani poduzetnicima u kojima postoje sudjelujući interesi</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054</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 xml:space="preserve">     5. Ulaganja u vrijednosne papire</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055</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 xml:space="preserve">     6. Dani zajmovi, depoziti i slično</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056</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25.000</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29.160</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 xml:space="preserve">     7. Ostala financijska imovina </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057</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color w:val="0000FF"/>
                <w:sz w:val="18"/>
                <w:szCs w:val="18"/>
                <w:lang w:eastAsia="hr-HR"/>
              </w:rPr>
            </w:pPr>
            <w:r>
              <w:rPr>
                <w:rFonts w:cs="Arial" w:eastAsia="Times New Roman" w:hAnsi="Arial" w:ascii="Arial"/>
                <w:color w:val="0000FF"/>
                <w:sz w:val="18"/>
                <w:szCs w:val="18"/>
                <w:lang w:eastAsia="hr-HR"/>
              </w:rPr>
              <w:t>IV. NOVAC U BANCI I BLAGAJNI</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058</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3.840</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40</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D)  PLAĆENI TROŠKOVI BUDUĆEG RAZDOBLJA I OBRAČUNATI PRIHODI</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059</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xml:space="preserve">E)  UKUPNO AKTIVA </w:t>
            </w:r>
            <w:r>
              <w:rPr>
                <w:rFonts w:cs="Arial" w:eastAsia="Times New Roman" w:hAnsi="Arial" w:ascii="Arial"/>
                <w:sz w:val="18"/>
                <w:szCs w:val="18"/>
                <w:lang w:eastAsia="hr-HR"/>
              </w:rPr>
              <w:t>(001+002+034+059)</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060</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shd w:fill="auto" w:color="C0C0C0" w:val="pct25"/>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8.719.686</w:t>
            </w:r>
          </w:p>
        </w:tc>
        <w:tc>
          <w:tcPr>
            <w:tcW w:type="dxa" w:w="1254"/>
            <w:tcBorders>
              <w:top w:val="nil"/>
              <w:left w:val="nil"/>
              <w:bottom w:space="0" w:sz="4" w:color="auto" w:val="single"/>
              <w:right w:space="0" w:sz="4" w:color="auto" w:val="single"/>
            </w:tcBorders>
            <w:shd w:fill="auto" w:color="C0C0C0" w:val="pct25"/>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9.428.685</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F)  IZVANBILANČNI ZAPISI</w:t>
            </w:r>
          </w:p>
        </w:tc>
        <w:tc>
          <w:tcPr>
            <w:tcW w:type="dxa" w:w="563"/>
            <w:tcBorders>
              <w:top w:val="nil"/>
              <w:left w:val="nil"/>
              <w:bottom w:val="nil"/>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061</w:t>
            </w:r>
          </w:p>
        </w:tc>
        <w:tc>
          <w:tcPr>
            <w:tcW w:type="dxa" w:w="668"/>
            <w:tcBorders>
              <w:top w:val="nil"/>
              <w:left w:val="nil"/>
              <w:bottom w:val="nil"/>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285"/>
        </w:trPr>
        <w:tc>
          <w:tcPr>
            <w:tcW w:type="dxa" w:w="9171"/>
            <w:gridSpan w:val="12"/>
            <w:tcBorders>
              <w:top w:space="0" w:sz="4" w:color="auto" w:val="single"/>
              <w:left w:space="0" w:sz="4" w:color="auto" w:val="single"/>
              <w:bottom w:space="0" w:sz="4" w:color="auto" w:val="single"/>
              <w:right w:space="0" w:sz="4" w:color="000000" w:val="single"/>
            </w:tcBorders>
            <w:shd w:fill="C0C0C0" w:color="auto" w:val="clear"/>
            <w:vAlign w:val="center"/>
            <w:hideMark/>
          </w:tcPr>
          <w:p w:rsidRDefault="00924162" w:rsidR="00924162">
            <w:pPr>
              <w:spacing w:after="0"/>
              <w:rPr>
                <w:rFonts w:cs="Arial" w:eastAsia="Times New Roman" w:hAnsi="Arial" w:ascii="Arial"/>
                <w:b/>
                <w:bCs/>
                <w:color w:val="000080"/>
                <w:sz w:val="18"/>
                <w:szCs w:val="18"/>
                <w:lang w:eastAsia="hr-HR"/>
              </w:rPr>
            </w:pPr>
            <w:r>
              <w:rPr>
                <w:rFonts w:cs="Arial" w:eastAsia="Times New Roman" w:hAnsi="Arial" w:ascii="Arial"/>
                <w:b/>
                <w:bCs/>
                <w:color w:val="000080"/>
                <w:sz w:val="18"/>
                <w:szCs w:val="18"/>
                <w:lang w:eastAsia="hr-HR"/>
              </w:rPr>
              <w:t>PASIVA</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lastRenderedPageBreak/>
              <w:t xml:space="preserve">A)  KAPITAL I REZERVE </w:t>
            </w:r>
            <w:r>
              <w:rPr>
                <w:rFonts w:cs="Arial" w:eastAsia="Times New Roman" w:hAnsi="Arial" w:ascii="Arial"/>
                <w:sz w:val="18"/>
                <w:szCs w:val="18"/>
                <w:lang w:eastAsia="hr-HR"/>
              </w:rPr>
              <w:t>(063+064+065+071+072+075+078)</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062</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shd w:fill="auto" w:color="C0C0C0" w:val="pct25"/>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7.700.447</w:t>
            </w:r>
          </w:p>
        </w:tc>
        <w:tc>
          <w:tcPr>
            <w:tcW w:type="dxa" w:w="1254"/>
            <w:tcBorders>
              <w:top w:val="nil"/>
              <w:left w:val="nil"/>
              <w:bottom w:space="0" w:sz="4" w:color="auto" w:val="single"/>
              <w:right w:space="0" w:sz="4" w:color="auto" w:val="single"/>
            </w:tcBorders>
            <w:shd w:fill="auto" w:color="C0C0C0" w:val="pct25"/>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7.700.026</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color w:val="0000FF"/>
                <w:sz w:val="18"/>
                <w:szCs w:val="18"/>
                <w:lang w:eastAsia="hr-HR"/>
              </w:rPr>
            </w:pPr>
            <w:r>
              <w:rPr>
                <w:rFonts w:cs="Arial" w:eastAsia="Times New Roman" w:hAnsi="Arial" w:ascii="Arial"/>
                <w:color w:val="0000FF"/>
                <w:sz w:val="18"/>
                <w:szCs w:val="18"/>
                <w:lang w:eastAsia="hr-HR"/>
              </w:rPr>
              <w:t>I. TEMELJNI (UPISANI) KAPITAL</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063</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1.223.000</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1.223.000</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color w:val="0000FF"/>
                <w:sz w:val="18"/>
                <w:szCs w:val="18"/>
                <w:lang w:eastAsia="hr-HR"/>
              </w:rPr>
            </w:pPr>
            <w:r>
              <w:rPr>
                <w:rFonts w:cs="Arial" w:eastAsia="Times New Roman" w:hAnsi="Arial" w:ascii="Arial"/>
                <w:color w:val="0000FF"/>
                <w:sz w:val="18"/>
                <w:szCs w:val="18"/>
                <w:lang w:eastAsia="hr-HR"/>
              </w:rPr>
              <w:t>II. KAPITALNE REZERVE</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064</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color w:val="0000FF"/>
                <w:sz w:val="18"/>
                <w:szCs w:val="18"/>
                <w:lang w:eastAsia="hr-HR"/>
              </w:rPr>
            </w:pPr>
            <w:r>
              <w:rPr>
                <w:rFonts w:cs="Arial" w:eastAsia="Times New Roman" w:hAnsi="Arial" w:ascii="Arial"/>
                <w:color w:val="0000FF"/>
                <w:sz w:val="18"/>
                <w:szCs w:val="18"/>
                <w:lang w:eastAsia="hr-HR"/>
              </w:rPr>
              <w:t>III. REZERVE IZ DOBITI (066+067-068+069+070)</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065</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shd w:fill="auto" w:color="C0C0C0" w:val="pct25"/>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3.436.809</w:t>
            </w:r>
          </w:p>
        </w:tc>
        <w:tc>
          <w:tcPr>
            <w:tcW w:type="dxa" w:w="1254"/>
            <w:tcBorders>
              <w:top w:val="nil"/>
              <w:left w:val="nil"/>
              <w:bottom w:space="0" w:sz="4" w:color="auto" w:val="single"/>
              <w:right w:space="0" w:sz="4" w:color="auto" w:val="single"/>
            </w:tcBorders>
            <w:shd w:fill="auto" w:color="C0C0C0" w:val="pct25"/>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3.447.335</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1. Zakonske rezerve</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066</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2. Rezerve za vlastite dionice</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067</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3. Vlastite dionice i udjeli (</w:t>
            </w:r>
            <w:proofErr w:type="spellStart"/>
            <w:r>
              <w:rPr>
                <w:rFonts w:cs="Arial" w:eastAsia="Times New Roman" w:hAnsi="Arial" w:ascii="Arial"/>
                <w:sz w:val="18"/>
                <w:szCs w:val="18"/>
                <w:lang w:eastAsia="hr-HR"/>
              </w:rPr>
              <w:t>odbitna</w:t>
            </w:r>
            <w:proofErr w:type="spellEnd"/>
            <w:r>
              <w:rPr>
                <w:rFonts w:cs="Arial" w:eastAsia="Times New Roman" w:hAnsi="Arial" w:ascii="Arial"/>
                <w:sz w:val="18"/>
                <w:szCs w:val="18"/>
                <w:lang w:eastAsia="hr-HR"/>
              </w:rPr>
              <w:t xml:space="preserve"> stavka)</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068</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4. Statutarne rezerve</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069</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5. Ostale rezerve</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070</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3.436.809</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3.447.335</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color w:val="0000FF"/>
                <w:sz w:val="18"/>
                <w:szCs w:val="18"/>
                <w:lang w:eastAsia="hr-HR"/>
              </w:rPr>
            </w:pPr>
            <w:r>
              <w:rPr>
                <w:rFonts w:cs="Arial" w:eastAsia="Times New Roman" w:hAnsi="Arial" w:ascii="Arial"/>
                <w:color w:val="0000FF"/>
                <w:sz w:val="18"/>
                <w:szCs w:val="18"/>
                <w:lang w:eastAsia="hr-HR"/>
              </w:rPr>
              <w:t>IV. REVALORIZACIJSKE REZERVE</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071</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color w:val="0000FF"/>
                <w:sz w:val="18"/>
                <w:szCs w:val="18"/>
                <w:lang w:eastAsia="hr-HR"/>
              </w:rPr>
            </w:pPr>
            <w:r>
              <w:rPr>
                <w:rFonts w:cs="Arial" w:eastAsia="Times New Roman" w:hAnsi="Arial" w:ascii="Arial"/>
                <w:color w:val="0000FF"/>
                <w:sz w:val="18"/>
                <w:szCs w:val="18"/>
                <w:lang w:eastAsia="hr-HR"/>
              </w:rPr>
              <w:t>V. ZADRŽANA DOBIT ILI PRENESENI GUBITAK (073-074)</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072</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shd w:fill="auto" w:color="C0C0C0" w:val="pct25"/>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3.027.481</w:t>
            </w:r>
          </w:p>
        </w:tc>
        <w:tc>
          <w:tcPr>
            <w:tcW w:type="dxa" w:w="1254"/>
            <w:tcBorders>
              <w:top w:val="nil"/>
              <w:left w:val="nil"/>
              <w:bottom w:space="0" w:sz="4" w:color="auto" w:val="single"/>
              <w:right w:space="0" w:sz="4" w:color="auto" w:val="single"/>
            </w:tcBorders>
            <w:shd w:fill="auto" w:color="C0C0C0" w:val="pct25"/>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3.027.481</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ind w:firstLineChars="100" w:firstLine="180"/>
              <w:rPr>
                <w:rFonts w:cs="Arial" w:eastAsia="Times New Roman" w:hAnsi="Arial" w:ascii="Arial"/>
                <w:sz w:val="18"/>
                <w:szCs w:val="18"/>
                <w:lang w:eastAsia="hr-HR"/>
              </w:rPr>
            </w:pPr>
            <w:r>
              <w:rPr>
                <w:rFonts w:cs="Arial" w:eastAsia="Times New Roman" w:hAnsi="Arial" w:ascii="Arial"/>
                <w:sz w:val="18"/>
                <w:szCs w:val="18"/>
                <w:lang w:eastAsia="hr-HR"/>
              </w:rPr>
              <w:t>1. Zadržana dobit</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073</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3.027.481</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3.027.481</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ind w:firstLineChars="100" w:firstLine="180"/>
              <w:rPr>
                <w:rFonts w:cs="Arial" w:eastAsia="Times New Roman" w:hAnsi="Arial" w:ascii="Arial"/>
                <w:sz w:val="18"/>
                <w:szCs w:val="18"/>
                <w:lang w:eastAsia="hr-HR"/>
              </w:rPr>
            </w:pPr>
            <w:r>
              <w:rPr>
                <w:rFonts w:cs="Arial" w:eastAsia="Times New Roman" w:hAnsi="Arial" w:ascii="Arial"/>
                <w:sz w:val="18"/>
                <w:szCs w:val="18"/>
                <w:lang w:eastAsia="hr-HR"/>
              </w:rPr>
              <w:t>2. Preneseni gubitak</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074</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color w:val="0000FF"/>
                <w:sz w:val="18"/>
                <w:szCs w:val="18"/>
                <w:lang w:eastAsia="hr-HR"/>
              </w:rPr>
            </w:pPr>
            <w:r>
              <w:rPr>
                <w:rFonts w:cs="Arial" w:eastAsia="Times New Roman" w:hAnsi="Arial" w:ascii="Arial"/>
                <w:color w:val="0000FF"/>
                <w:sz w:val="18"/>
                <w:szCs w:val="18"/>
                <w:lang w:eastAsia="hr-HR"/>
              </w:rPr>
              <w:t>VI. DOBIT ILI GUBITAK POSLOVNE GODINE (076-077)</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075</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shd w:fill="auto" w:color="C0C0C0" w:val="pct25"/>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13.157</w:t>
            </w:r>
          </w:p>
        </w:tc>
        <w:tc>
          <w:tcPr>
            <w:tcW w:type="dxa" w:w="1254"/>
            <w:tcBorders>
              <w:top w:val="nil"/>
              <w:left w:val="nil"/>
              <w:bottom w:space="0" w:sz="4" w:color="auto" w:val="single"/>
              <w:right w:space="0" w:sz="4" w:color="auto" w:val="single"/>
            </w:tcBorders>
            <w:shd w:fill="auto" w:color="C0C0C0" w:val="pct25"/>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2.210</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ind w:firstLineChars="100" w:firstLine="180"/>
              <w:rPr>
                <w:rFonts w:cs="Arial" w:eastAsia="Times New Roman" w:hAnsi="Arial" w:ascii="Arial"/>
                <w:sz w:val="18"/>
                <w:szCs w:val="18"/>
                <w:lang w:eastAsia="hr-HR"/>
              </w:rPr>
            </w:pPr>
            <w:r>
              <w:rPr>
                <w:rFonts w:cs="Arial" w:eastAsia="Times New Roman" w:hAnsi="Arial" w:ascii="Arial"/>
                <w:sz w:val="18"/>
                <w:szCs w:val="18"/>
                <w:lang w:eastAsia="hr-HR"/>
              </w:rPr>
              <w:t>1. Dobit poslovne godine</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076</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13.157</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2.210</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ind w:firstLineChars="100" w:firstLine="180"/>
              <w:rPr>
                <w:rFonts w:cs="Arial" w:eastAsia="Times New Roman" w:hAnsi="Arial" w:ascii="Arial"/>
                <w:sz w:val="18"/>
                <w:szCs w:val="18"/>
                <w:lang w:eastAsia="hr-HR"/>
              </w:rPr>
            </w:pPr>
            <w:r>
              <w:rPr>
                <w:rFonts w:cs="Arial" w:eastAsia="Times New Roman" w:hAnsi="Arial" w:ascii="Arial"/>
                <w:sz w:val="18"/>
                <w:szCs w:val="18"/>
                <w:lang w:eastAsia="hr-HR"/>
              </w:rPr>
              <w:t>2. Gubitak poslovne godine</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077</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color w:val="0000FF"/>
                <w:sz w:val="18"/>
                <w:szCs w:val="18"/>
                <w:lang w:eastAsia="hr-HR"/>
              </w:rPr>
            </w:pPr>
            <w:r>
              <w:rPr>
                <w:rFonts w:cs="Arial" w:eastAsia="Times New Roman" w:hAnsi="Arial" w:ascii="Arial"/>
                <w:color w:val="0000FF"/>
                <w:sz w:val="18"/>
                <w:szCs w:val="18"/>
                <w:lang w:eastAsia="hr-HR"/>
              </w:rPr>
              <w:t>VII. MANJINSKI INTERES</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078</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xml:space="preserve">B)  REZERVIRANJA </w:t>
            </w:r>
            <w:r>
              <w:rPr>
                <w:rFonts w:cs="Arial" w:eastAsia="Times New Roman" w:hAnsi="Arial" w:ascii="Arial"/>
                <w:sz w:val="18"/>
                <w:szCs w:val="18"/>
                <w:lang w:eastAsia="hr-HR"/>
              </w:rPr>
              <w:t>(080 do 082)</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079</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shd w:fill="auto" w:color="C0C0C0" w:val="pct25"/>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0</w:t>
            </w:r>
          </w:p>
        </w:tc>
        <w:tc>
          <w:tcPr>
            <w:tcW w:type="dxa" w:w="1254"/>
            <w:tcBorders>
              <w:top w:val="nil"/>
              <w:left w:val="nil"/>
              <w:bottom w:space="0" w:sz="4" w:color="auto" w:val="single"/>
              <w:right w:space="0" w:sz="4" w:color="auto" w:val="single"/>
            </w:tcBorders>
            <w:shd w:fill="auto" w:color="C0C0C0" w:val="pct25"/>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0</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 xml:space="preserve">     1. Rezerviranja za mirovine, otpremnine i slične obveze</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080</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 xml:space="preserve">     2. Rezerviranja za porezne obveze</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081</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 xml:space="preserve">     3. Druga rezerviranja</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082</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xml:space="preserve">C)  DUGOROČNE OBVEZE </w:t>
            </w:r>
            <w:r>
              <w:rPr>
                <w:rFonts w:cs="Arial" w:eastAsia="Times New Roman" w:hAnsi="Arial" w:ascii="Arial"/>
                <w:sz w:val="18"/>
                <w:szCs w:val="18"/>
                <w:lang w:eastAsia="hr-HR"/>
              </w:rPr>
              <w:t>(084 do 092)</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083</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shd w:fill="auto" w:color="C0C0C0" w:val="pct25"/>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0</w:t>
            </w:r>
          </w:p>
        </w:tc>
        <w:tc>
          <w:tcPr>
            <w:tcW w:type="dxa" w:w="1254"/>
            <w:tcBorders>
              <w:top w:val="nil"/>
              <w:left w:val="nil"/>
              <w:bottom w:space="0" w:sz="4" w:color="auto" w:val="single"/>
              <w:right w:space="0" w:sz="4" w:color="auto" w:val="single"/>
            </w:tcBorders>
            <w:shd w:fill="auto" w:color="C0C0C0" w:val="pct25"/>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0</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 xml:space="preserve">     1. Obveze prema povezanim poduzetnicima</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084</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 xml:space="preserve">     2. Obveze za zajmove, depozite i slično</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085</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 xml:space="preserve">     3. Obveze prema bankama i drugim financijskim institucijama</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086</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 xml:space="preserve">     4. Obveze za predujmove</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087</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 xml:space="preserve">     5. Obveze prema dobavljačima</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088</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 xml:space="preserve">     6. Obveze po vrijednosnim papirima</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089</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 xml:space="preserve">     7. Obveze prema poduzetnicima u kojima postoje sudjelujući interesi</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090</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 xml:space="preserve">     8. Ostale dugoročne obveze</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091</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 xml:space="preserve">     9. Odgođena porezna obveza</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092</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xml:space="preserve">D)  KRATKOROČNE OBVEZE </w:t>
            </w:r>
            <w:r>
              <w:rPr>
                <w:rFonts w:cs="Arial" w:eastAsia="Times New Roman" w:hAnsi="Arial" w:ascii="Arial"/>
                <w:sz w:val="18"/>
                <w:szCs w:val="18"/>
                <w:lang w:eastAsia="hr-HR"/>
              </w:rPr>
              <w:t>(094 do 105)</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093</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shd w:fill="auto" w:color="C0C0C0" w:val="pct25"/>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1.019.239</w:t>
            </w:r>
          </w:p>
        </w:tc>
        <w:tc>
          <w:tcPr>
            <w:tcW w:type="dxa" w:w="1254"/>
            <w:tcBorders>
              <w:top w:val="nil"/>
              <w:left w:val="nil"/>
              <w:bottom w:space="0" w:sz="4" w:color="auto" w:val="single"/>
              <w:right w:space="0" w:sz="4" w:color="auto" w:val="single"/>
            </w:tcBorders>
            <w:shd w:fill="auto" w:color="C0C0C0" w:val="pct25"/>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1.728.659</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 xml:space="preserve">     1. Obveze prema povezanim poduzetnicima</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094</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457.475</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530.950</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 xml:space="preserve">     2. Obveze za zajmove, depozite i slično</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095</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3.000</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 xml:space="preserve">     3. Obveze prema bankama i drugim financijskim institucijama</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096</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 xml:space="preserve">     4. Obveze za predujmove</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097</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30.933</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33.763</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 xml:space="preserve">     5. Obveze prema dobavljačima</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098</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395.812</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1.020.870</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 xml:space="preserve">     6. Obveze po vrijednosnim papirima</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099</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 xml:space="preserve">     7. Obveze prema poduzetnicima u kojima postoje sudjelujući interesi</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100</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 xml:space="preserve">     8. Obveze prema zaposlenicima</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101</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47.986</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111.666</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 xml:space="preserve">     9. Obveze za poreze, doprinose i slična davanja</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102</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71.923</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19.300</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 xml:space="preserve">   10. Obveze s osnove udjela u rezultatu</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103</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 xml:space="preserve">   11. Obveze po osnovi dugotrajne imovine namijenjene prodaji</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104</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sz w:val="18"/>
                <w:szCs w:val="18"/>
                <w:lang w:eastAsia="hr-HR"/>
              </w:rPr>
            </w:pPr>
            <w:r>
              <w:rPr>
                <w:rFonts w:cs="Arial" w:eastAsia="Times New Roman" w:hAnsi="Arial" w:ascii="Arial"/>
                <w:sz w:val="18"/>
                <w:szCs w:val="18"/>
                <w:lang w:eastAsia="hr-HR"/>
              </w:rPr>
              <w:t xml:space="preserve">   12. Ostale kratkoročne obveze</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105</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12.110</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12.110</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lastRenderedPageBreak/>
              <w:t>E) ODGOĐENO PLAĆANJE TROŠKOVA I PRIHOD BUDUĆEGA RAZDOBLJA</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106</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xml:space="preserve">F) UKUPNO – PASIVA </w:t>
            </w:r>
            <w:r>
              <w:rPr>
                <w:rFonts w:cs="Arial" w:eastAsia="Times New Roman" w:hAnsi="Arial" w:ascii="Arial"/>
                <w:sz w:val="18"/>
                <w:szCs w:val="18"/>
                <w:lang w:eastAsia="hr-HR"/>
              </w:rPr>
              <w:t>(062+079+083+093+106)</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107</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shd w:fill="auto" w:color="C0C0C0" w:val="pct25"/>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8.719.686</w:t>
            </w:r>
          </w:p>
        </w:tc>
        <w:tc>
          <w:tcPr>
            <w:tcW w:type="dxa" w:w="1254"/>
            <w:tcBorders>
              <w:top w:val="nil"/>
              <w:left w:val="nil"/>
              <w:bottom w:space="0" w:sz="4" w:color="auto" w:val="single"/>
              <w:right w:space="0" w:sz="4" w:color="auto" w:val="single"/>
            </w:tcBorders>
            <w:shd w:fill="auto" w:color="C0C0C0" w:val="pct25"/>
            <w:noWrap/>
            <w:vAlign w:val="center"/>
            <w:hideMark/>
          </w:tcPr>
          <w:p w:rsidRDefault="00924162" w:rsidR="00924162">
            <w:pPr>
              <w:spacing w:after="0"/>
              <w:jc w:val="right"/>
              <w:rPr>
                <w:rFonts w:cs="Arial" w:eastAsia="Times New Roman" w:hAnsi="Arial" w:ascii="Arial"/>
                <w:sz w:val="16"/>
                <w:szCs w:val="16"/>
                <w:lang w:eastAsia="hr-HR"/>
              </w:rPr>
            </w:pPr>
            <w:r>
              <w:rPr>
                <w:rFonts w:cs="Arial" w:eastAsia="Times New Roman" w:hAnsi="Arial" w:ascii="Arial"/>
                <w:sz w:val="16"/>
                <w:szCs w:val="16"/>
                <w:lang w:eastAsia="hr-HR"/>
              </w:rPr>
              <w:t>9.428.685</w:t>
            </w:r>
          </w:p>
        </w:tc>
      </w:tr>
      <w:tr w:rsidTr="00924162" w:rsidR="00924162">
        <w:trPr>
          <w:trHeight w:val="285"/>
        </w:trPr>
        <w:tc>
          <w:tcPr>
            <w:tcW w:type="dxa" w:w="5431"/>
            <w:gridSpan w:val="8"/>
            <w:tcBorders>
              <w:top w:space="0" w:sz="4" w:color="auto" w:val="single"/>
              <w:left w:space="0" w:sz="4" w:color="auto" w:val="single"/>
              <w:bottom w:val="nil"/>
              <w:right w:space="0" w:sz="4" w:color="000000" w:val="single"/>
            </w:tcBorders>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G)  IZVANBILANČNI ZAPISI</w:t>
            </w:r>
          </w:p>
        </w:tc>
        <w:tc>
          <w:tcPr>
            <w:tcW w:type="dxa" w:w="563"/>
            <w:tcBorders>
              <w:top w:val="nil"/>
              <w:left w:val="nil"/>
              <w:bottom w:val="nil"/>
              <w:right w:space="0" w:sz="4" w:color="auto" w:val="single"/>
            </w:tcBorders>
            <w:noWrap/>
            <w:vAlign w:val="center"/>
            <w:hideMark/>
          </w:tcPr>
          <w:p w:rsidRDefault="00924162" w:rsidR="00924162">
            <w:pPr>
              <w:spacing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108</w:t>
            </w:r>
          </w:p>
        </w:tc>
        <w:tc>
          <w:tcPr>
            <w:tcW w:type="dxa" w:w="668"/>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285"/>
        </w:trPr>
        <w:tc>
          <w:tcPr>
            <w:tcW w:type="dxa" w:w="9171"/>
            <w:gridSpan w:val="12"/>
            <w:tcBorders>
              <w:top w:space="0" w:sz="4" w:color="auto" w:val="single"/>
              <w:left w:space="0" w:sz="4" w:color="auto" w:val="single"/>
              <w:bottom w:space="0" w:sz="4" w:color="auto" w:val="single"/>
              <w:right w:space="0" w:sz="4" w:color="000000" w:val="single"/>
            </w:tcBorders>
            <w:shd w:fill="C0C0C0" w:color="auto" w:val="clear"/>
            <w:vAlign w:val="center"/>
            <w:hideMark/>
          </w:tcPr>
          <w:p w:rsidRDefault="00924162" w:rsidR="00924162">
            <w:pPr>
              <w:spacing w:after="0"/>
              <w:rPr>
                <w:rFonts w:cs="Arial" w:eastAsia="Times New Roman" w:hAnsi="Arial" w:ascii="Arial"/>
                <w:b/>
                <w:bCs/>
                <w:color w:val="000080"/>
                <w:sz w:val="18"/>
                <w:szCs w:val="18"/>
                <w:lang w:eastAsia="hr-HR"/>
              </w:rPr>
            </w:pPr>
            <w:r>
              <w:rPr>
                <w:rFonts w:cs="Arial" w:eastAsia="Times New Roman" w:hAnsi="Arial" w:ascii="Arial"/>
                <w:b/>
                <w:bCs/>
                <w:color w:val="000080"/>
                <w:sz w:val="18"/>
                <w:szCs w:val="18"/>
                <w:lang w:eastAsia="hr-HR"/>
              </w:rPr>
              <w:t>DODATAK BILANCI</w:t>
            </w:r>
            <w:r>
              <w:rPr>
                <w:rFonts w:cs="Arial" w:eastAsia="Times New Roman" w:hAnsi="Arial" w:ascii="Arial"/>
                <w:b/>
                <w:bCs/>
                <w:color w:val="000080"/>
                <w:sz w:val="16"/>
                <w:szCs w:val="16"/>
                <w:lang w:eastAsia="hr-HR"/>
              </w:rPr>
              <w:t xml:space="preserve"> (popunjava poduzetnik koji sastavlja konsolidirani godišnji financijski izvještaj)</w:t>
            </w:r>
          </w:p>
        </w:tc>
      </w:tr>
      <w:tr w:rsidTr="00924162" w:rsidR="00924162">
        <w:trPr>
          <w:trHeight w:val="285"/>
        </w:trPr>
        <w:tc>
          <w:tcPr>
            <w:tcW w:type="dxa" w:w="9171"/>
            <w:gridSpan w:val="12"/>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b/>
                <w:bCs/>
                <w:color w:val="000080"/>
                <w:sz w:val="18"/>
                <w:szCs w:val="18"/>
                <w:lang w:eastAsia="hr-HR"/>
              </w:rPr>
            </w:pPr>
            <w:r>
              <w:rPr>
                <w:rFonts w:cs="Arial" w:eastAsia="Times New Roman" w:hAnsi="Arial" w:ascii="Arial"/>
                <w:b/>
                <w:bCs/>
                <w:color w:val="000080"/>
                <w:sz w:val="18"/>
                <w:szCs w:val="18"/>
                <w:lang w:eastAsia="hr-HR"/>
              </w:rPr>
              <w:t>A) KAPITAL I REZERVE</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color w:val="000080"/>
                <w:sz w:val="18"/>
                <w:szCs w:val="18"/>
                <w:lang w:eastAsia="hr-HR"/>
              </w:rPr>
            </w:pPr>
            <w:r>
              <w:rPr>
                <w:rFonts w:cs="Arial" w:eastAsia="Times New Roman" w:hAnsi="Arial" w:ascii="Arial"/>
                <w:color w:val="000080"/>
                <w:sz w:val="18"/>
                <w:szCs w:val="18"/>
                <w:lang w:eastAsia="hr-HR"/>
              </w:rPr>
              <w:t>1. Pripisano imateljima kapitala matice</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color w:val="000080"/>
                <w:sz w:val="18"/>
                <w:szCs w:val="18"/>
                <w:lang w:eastAsia="hr-HR"/>
              </w:rPr>
            </w:pPr>
            <w:r>
              <w:rPr>
                <w:rFonts w:cs="Arial" w:eastAsia="Times New Roman" w:hAnsi="Arial" w:ascii="Arial"/>
                <w:b/>
                <w:bCs/>
                <w:color w:val="000080"/>
                <w:sz w:val="18"/>
                <w:szCs w:val="18"/>
                <w:lang w:eastAsia="hr-HR"/>
              </w:rPr>
              <w:t>109</w:t>
            </w:r>
          </w:p>
        </w:tc>
        <w:tc>
          <w:tcPr>
            <w:tcW w:type="dxa" w:w="668"/>
            <w:tcBorders>
              <w:top w:val="nil"/>
              <w:left w:val="nil"/>
              <w:bottom w:space="0" w:sz="4" w:color="auto" w:val="single"/>
              <w:right w:val="nil"/>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space="0" w:sz="4" w:color="auto" w:val="single"/>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924162" w:rsidR="00924162">
        <w:trPr>
          <w:trHeight w:val="285"/>
        </w:trPr>
        <w:tc>
          <w:tcPr>
            <w:tcW w:type="dxa" w:w="5431"/>
            <w:gridSpan w:val="8"/>
            <w:tcBorders>
              <w:top w:space="0" w:sz="4" w:color="auto" w:val="single"/>
              <w:left w:space="0" w:sz="4" w:color="auto" w:val="single"/>
              <w:bottom w:space="0" w:sz="4" w:color="auto" w:val="single"/>
              <w:right w:space="0" w:sz="4" w:color="000000" w:val="single"/>
            </w:tcBorders>
            <w:vAlign w:val="center"/>
            <w:hideMark/>
          </w:tcPr>
          <w:p w:rsidRDefault="00924162" w:rsidR="00924162">
            <w:pPr>
              <w:spacing w:after="0"/>
              <w:rPr>
                <w:rFonts w:cs="Arial" w:eastAsia="Times New Roman" w:hAnsi="Arial" w:ascii="Arial"/>
                <w:color w:val="000080"/>
                <w:sz w:val="18"/>
                <w:szCs w:val="18"/>
                <w:lang w:eastAsia="hr-HR"/>
              </w:rPr>
            </w:pPr>
            <w:r>
              <w:rPr>
                <w:rFonts w:cs="Arial" w:eastAsia="Times New Roman" w:hAnsi="Arial" w:ascii="Arial"/>
                <w:color w:val="000080"/>
                <w:sz w:val="18"/>
                <w:szCs w:val="18"/>
                <w:lang w:eastAsia="hr-HR"/>
              </w:rPr>
              <w:t>2. Pripisano manjinskom interesu</w:t>
            </w:r>
          </w:p>
        </w:tc>
        <w:tc>
          <w:tcPr>
            <w:tcW w:type="dxa" w:w="563"/>
            <w:tcBorders>
              <w:top w:val="nil"/>
              <w:left w:val="nil"/>
              <w:bottom w:space="0" w:sz="4" w:color="auto" w:val="single"/>
              <w:right w:space="0" w:sz="4" w:color="auto" w:val="single"/>
            </w:tcBorders>
            <w:noWrap/>
            <w:vAlign w:val="center"/>
            <w:hideMark/>
          </w:tcPr>
          <w:p w:rsidRDefault="00924162" w:rsidR="00924162">
            <w:pPr>
              <w:spacing w:after="0"/>
              <w:jc w:val="center"/>
              <w:rPr>
                <w:rFonts w:cs="Arial" w:eastAsia="Times New Roman" w:hAnsi="Arial" w:ascii="Arial"/>
                <w:b/>
                <w:bCs/>
                <w:color w:val="000080"/>
                <w:sz w:val="18"/>
                <w:szCs w:val="18"/>
                <w:lang w:eastAsia="hr-HR"/>
              </w:rPr>
            </w:pPr>
            <w:r>
              <w:rPr>
                <w:rFonts w:cs="Arial" w:eastAsia="Times New Roman" w:hAnsi="Arial" w:ascii="Arial"/>
                <w:b/>
                <w:bCs/>
                <w:color w:val="000080"/>
                <w:sz w:val="18"/>
                <w:szCs w:val="18"/>
                <w:lang w:eastAsia="hr-HR"/>
              </w:rPr>
              <w:t>110</w:t>
            </w:r>
          </w:p>
        </w:tc>
        <w:tc>
          <w:tcPr>
            <w:tcW w:type="dxa" w:w="668"/>
            <w:tcBorders>
              <w:top w:val="nil"/>
              <w:left w:val="nil"/>
              <w:bottom w:space="0" w:sz="4" w:color="auto" w:val="single"/>
              <w:right w:val="nil"/>
            </w:tcBorders>
            <w:noWrap/>
            <w:vAlign w:val="center"/>
            <w:hideMark/>
          </w:tcPr>
          <w:p w:rsidRDefault="00924162" w:rsidR="00924162">
            <w:pPr>
              <w:spacing w:after="0"/>
              <w:rPr>
                <w:rFonts w:cs="Arial" w:eastAsia="Times New Roman" w:hAnsi="Arial" w:ascii="Arial"/>
                <w:b/>
                <w:bCs/>
                <w:sz w:val="18"/>
                <w:szCs w:val="18"/>
                <w:lang w:eastAsia="hr-HR"/>
              </w:rPr>
            </w:pPr>
            <w:r>
              <w:rPr>
                <w:rFonts w:cs="Arial" w:eastAsia="Times New Roman" w:hAnsi="Arial" w:ascii="Arial"/>
                <w:b/>
                <w:bCs/>
                <w:sz w:val="18"/>
                <w:szCs w:val="18"/>
                <w:lang w:eastAsia="hr-HR"/>
              </w:rPr>
              <w:t> </w:t>
            </w:r>
          </w:p>
        </w:tc>
        <w:tc>
          <w:tcPr>
            <w:tcW w:type="dxa" w:w="1254"/>
            <w:tcBorders>
              <w:top w:val="nil"/>
              <w:left w:space="0" w:sz="4" w:color="auto" w:val="single"/>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54"/>
            <w:tcBorders>
              <w:top w:val="nil"/>
              <w:left w:val="nil"/>
              <w:bottom w:space="0" w:sz="4" w:color="auto" w:val="single"/>
              <w:right w:space="0" w:sz="4" w:color="auto" w:val="single"/>
            </w:tcBorders>
            <w:noWrap/>
            <w:vAlign w:val="center"/>
            <w:hideMark/>
          </w:tcPr>
          <w:p w:rsidRDefault="00924162" w:rsidR="00924162">
            <w:pPr>
              <w:spacing w:after="0"/>
              <w:rPr>
                <w:rFonts w:cs="Arial" w:eastAsia="Times New Roman" w:hAnsi="Arial" w:ascii="Arial"/>
                <w:sz w:val="16"/>
                <w:szCs w:val="16"/>
                <w:lang w:eastAsia="hr-HR"/>
              </w:rPr>
            </w:pPr>
            <w:r>
              <w:rPr>
                <w:rFonts w:cs="Arial" w:eastAsia="Times New Roman" w:hAnsi="Arial" w:ascii="Arial"/>
                <w:sz w:val="16"/>
                <w:szCs w:val="16"/>
                <w:lang w:eastAsia="hr-HR"/>
              </w:rPr>
              <w:t> </w:t>
            </w:r>
          </w:p>
        </w:tc>
      </w:tr>
    </w:tbl>
    <w:p w:rsidRDefault="00924162" w:rsidP="00924162" w:rsidR="00924162">
      <w:pPr>
        <w:rPr>
          <w:rFonts w:cs="Times New Roman"/>
        </w:rPr>
      </w:pPr>
    </w:p>
    <w:p w:rsidRDefault="00924162" w:rsidP="00924162" w:rsidR="00924162">
      <w:pPr>
        <w:spacing w:lineRule="auto" w:line="360"/>
        <w:jc w:val="both"/>
        <w:rPr>
          <w:rFonts w:cs="Times New Roman"/>
        </w:rPr>
      </w:pPr>
      <w:r>
        <w:rPr>
          <w:rFonts w:cs="Times New Roman"/>
        </w:rPr>
        <w:t xml:space="preserve">Bilanca prikazuje stanje društva u 2015. godini i na datum 30.06.2016. godine i to kroz materijalnu imovinu, obveze (dugovanje) i kapital. Zbog sezonskog karaktera poslovanja i nedostatka obrtnih sredstava društvo je provelo prisilnu naplatu plaća zaposlenika putem FINE, odnosno ovršilo je vlastiti bankovni račun. Nakon ovrhe radničkih </w:t>
      </w:r>
      <w:proofErr w:type="spellStart"/>
      <w:r>
        <w:rPr>
          <w:rFonts w:cs="Times New Roman"/>
        </w:rPr>
        <w:t>potraživanjna</w:t>
      </w:r>
      <w:proofErr w:type="spellEnd"/>
      <w:r>
        <w:rPr>
          <w:rFonts w:cs="Times New Roman"/>
        </w:rPr>
        <w:t xml:space="preserve">, bankovni račun blokirala je i ERSTE&amp;STEIERMÄRKISCHE BANK d. </w:t>
      </w:r>
      <w:proofErr w:type="spellStart"/>
      <w:r>
        <w:rPr>
          <w:rFonts w:cs="Times New Roman"/>
        </w:rPr>
        <w:t>d.</w:t>
      </w:r>
      <w:proofErr w:type="spellEnd"/>
      <w:r>
        <w:rPr>
          <w:rFonts w:cs="Times New Roman"/>
        </w:rPr>
        <w:t>.</w:t>
      </w:r>
    </w:p>
    <w:p w:rsidRDefault="00924162" w:rsidP="00924162" w:rsidR="00924162">
      <w:pPr>
        <w:rPr>
          <w:rFonts w:cs="Times New Roman"/>
        </w:rPr>
      </w:pPr>
    </w:p>
    <w:p w:rsidRDefault="00924162" w:rsidP="00924162" w:rsidR="00924162">
      <w:pPr>
        <w:rPr>
          <w:rFonts w:cs="Times New Roman"/>
        </w:rPr>
      </w:pPr>
    </w:p>
    <w:p w:rsidRDefault="00924162" w:rsidP="00924162" w:rsidR="00924162">
      <w:pPr>
        <w:rPr>
          <w:rFonts w:cs="Times New Roman"/>
        </w:rPr>
      </w:pPr>
    </w:p>
    <w:p w:rsidRDefault="00924162" w:rsidP="00924162" w:rsidR="00924162">
      <w:pPr>
        <w:rPr>
          <w:rFonts w:cs="Times New Roman"/>
        </w:rPr>
      </w:pPr>
    </w:p>
    <w:p w:rsidRDefault="00924162" w:rsidP="00924162" w:rsidR="00924162">
      <w:pPr>
        <w:rPr>
          <w:rFonts w:cs="Times New Roman"/>
        </w:rPr>
      </w:pPr>
    </w:p>
    <w:p w:rsidRDefault="00924162" w:rsidP="00924162" w:rsidR="00924162">
      <w:pPr>
        <w:rPr>
          <w:rFonts w:cs="Times New Roman"/>
        </w:rPr>
      </w:pPr>
    </w:p>
    <w:p w:rsidRDefault="00924162" w:rsidP="00924162" w:rsidR="00924162">
      <w:pPr>
        <w:rPr>
          <w:rFonts w:cs="Times New Roman"/>
        </w:rPr>
      </w:pPr>
    </w:p>
    <w:p w:rsidRDefault="00924162" w:rsidP="00924162" w:rsidR="00924162">
      <w:pPr>
        <w:rPr>
          <w:rFonts w:cs="Times New Roman"/>
        </w:rPr>
      </w:pPr>
    </w:p>
    <w:p w:rsidRDefault="00924162" w:rsidP="00924162" w:rsidR="00924162">
      <w:pPr>
        <w:rPr>
          <w:rFonts w:cs="Times New Roman"/>
        </w:rPr>
      </w:pPr>
    </w:p>
    <w:p w:rsidRDefault="00924162" w:rsidP="00924162" w:rsidR="00924162">
      <w:pPr>
        <w:rPr>
          <w:rFonts w:cs="Times New Roman"/>
        </w:rPr>
      </w:pPr>
    </w:p>
    <w:p w:rsidRDefault="00924162" w:rsidP="00924162" w:rsidR="00924162">
      <w:pPr>
        <w:rPr>
          <w:rFonts w:cs="Times New Roman"/>
        </w:rPr>
      </w:pPr>
    </w:p>
    <w:p w:rsidRDefault="00924162" w:rsidP="00924162" w:rsidR="00924162">
      <w:pPr>
        <w:rPr>
          <w:rFonts w:cs="Times New Roman"/>
        </w:rPr>
      </w:pPr>
    </w:p>
    <w:p w:rsidRDefault="00924162" w:rsidP="00924162" w:rsidR="00924162">
      <w:pPr>
        <w:rPr>
          <w:rFonts w:cs="Times New Roman"/>
        </w:rPr>
      </w:pPr>
    </w:p>
    <w:p w:rsidRDefault="00924162" w:rsidP="00924162" w:rsidR="00924162">
      <w:pPr>
        <w:rPr>
          <w:rFonts w:cs="Times New Roman"/>
        </w:rPr>
      </w:pPr>
    </w:p>
    <w:p w:rsidRDefault="00924162" w:rsidP="00924162" w:rsidR="00924162">
      <w:pPr>
        <w:rPr>
          <w:rFonts w:cs="Times New Roman"/>
        </w:rPr>
      </w:pPr>
    </w:p>
    <w:p w:rsidRDefault="00924162" w:rsidP="00924162" w:rsidR="00924162">
      <w:pPr>
        <w:pStyle w:val="Naslov2"/>
        <w:keepLines/>
        <w:numPr>
          <w:ilvl w:val="0"/>
          <w:numId w:val="44"/>
        </w:numPr>
        <w:spacing w:lineRule="auto" w:line="360" w:after="200" w:before="240"/>
        <w:jc w:val="left"/>
        <w:rPr>
          <w:rFonts w:cs="Times New Roman"/>
          <w:sz w:val="24"/>
          <w:szCs w:val="24"/>
        </w:rPr>
      </w:pPr>
      <w:bookmarkStart w:name="_Toc458436246" w:id="25"/>
      <w:bookmarkStart w:name="_Toc432416055" w:id="26"/>
      <w:bookmarkStart w:name="_Toc430627153" w:id="27"/>
      <w:r>
        <w:rPr>
          <w:rFonts w:cs="Times New Roman"/>
          <w:sz w:val="24"/>
          <w:szCs w:val="24"/>
        </w:rPr>
        <w:lastRenderedPageBreak/>
        <w:t xml:space="preserve">Opis činjenica iz kojih proizlazi postojanje uvjeta za otvaranje postupaka </w:t>
      </w:r>
      <w:proofErr w:type="spellStart"/>
      <w:r>
        <w:rPr>
          <w:rFonts w:cs="Times New Roman"/>
          <w:sz w:val="24"/>
          <w:szCs w:val="24"/>
        </w:rPr>
        <w:t>predstečajne</w:t>
      </w:r>
      <w:proofErr w:type="spellEnd"/>
      <w:r>
        <w:rPr>
          <w:rFonts w:cs="Times New Roman"/>
          <w:sz w:val="24"/>
          <w:szCs w:val="24"/>
        </w:rPr>
        <w:t xml:space="preserve"> nagodbe</w:t>
      </w:r>
      <w:bookmarkEnd w:id="25"/>
      <w:bookmarkEnd w:id="26"/>
      <w:bookmarkEnd w:id="27"/>
    </w:p>
    <w:p w:rsidRDefault="00924162" w:rsidP="00924162" w:rsidR="00924162">
      <w:pPr>
        <w:spacing w:lineRule="auto" w:line="360"/>
        <w:jc w:val="both"/>
        <w:rPr>
          <w:rFonts w:cs="Times New Roman"/>
        </w:rPr>
      </w:pPr>
      <w:r>
        <w:rPr>
          <w:rFonts w:cs="Times New Roman"/>
        </w:rPr>
        <w:t xml:space="preserve">Sukladno čl. 18. Zakona o financijskom poslovanju i </w:t>
      </w:r>
      <w:proofErr w:type="spellStart"/>
      <w:r>
        <w:rPr>
          <w:rFonts w:cs="Times New Roman"/>
        </w:rPr>
        <w:t>predstečajnoj</w:t>
      </w:r>
      <w:proofErr w:type="spellEnd"/>
      <w:r>
        <w:rPr>
          <w:rFonts w:cs="Times New Roman"/>
        </w:rPr>
        <w:t xml:space="preserve"> nagodbi, u uvjetima nastupa nelikvidnosti i insolventnosti koje se ogleda u nemogućnosti da društvo poduzetim mjerama financijskog restrukturiranja izvan postupaka </w:t>
      </w:r>
      <w:proofErr w:type="spellStart"/>
      <w:r>
        <w:rPr>
          <w:rFonts w:cs="Times New Roman"/>
        </w:rPr>
        <w:t>predstečajne</w:t>
      </w:r>
      <w:proofErr w:type="spellEnd"/>
      <w:r>
        <w:rPr>
          <w:rFonts w:cs="Times New Roman"/>
        </w:rPr>
        <w:t xml:space="preserve"> nagodbe samo uspostavi stanje likvidnosti i solventnosti, društvo RATARSTVO d.o.o., Matice Hrvatske 4/I, Bjelovar OIB: 39141474711 pokreće postupak </w:t>
      </w:r>
      <w:proofErr w:type="spellStart"/>
      <w:r>
        <w:rPr>
          <w:rFonts w:cs="Times New Roman"/>
        </w:rPr>
        <w:t>predstečajne</w:t>
      </w:r>
      <w:proofErr w:type="spellEnd"/>
      <w:r>
        <w:rPr>
          <w:rFonts w:cs="Times New Roman"/>
        </w:rPr>
        <w:t xml:space="preserve"> nagodbe.</w:t>
      </w:r>
    </w:p>
    <w:p w:rsidRDefault="00924162" w:rsidP="00924162" w:rsidR="00924162">
      <w:pPr>
        <w:spacing w:lineRule="auto" w:line="360"/>
        <w:jc w:val="both"/>
        <w:rPr>
          <w:rFonts w:cs="Times New Roman"/>
        </w:rPr>
      </w:pPr>
      <w:r>
        <w:rPr>
          <w:rFonts w:cs="Times New Roman"/>
        </w:rPr>
        <w:t xml:space="preserve">Činjenice i okolnosti iz kojih proizlazi postojanje uvjeta za otvaranje postupka </w:t>
      </w:r>
      <w:proofErr w:type="spellStart"/>
      <w:r>
        <w:rPr>
          <w:rFonts w:cs="Times New Roman"/>
        </w:rPr>
        <w:t>predstečajne</w:t>
      </w:r>
      <w:proofErr w:type="spellEnd"/>
      <w:r>
        <w:rPr>
          <w:rFonts w:cs="Times New Roman"/>
        </w:rPr>
        <w:t xml:space="preserve"> nagodbe dani su u nastavku.</w:t>
      </w:r>
    </w:p>
    <w:p w:rsidRDefault="00924162" w:rsidP="00924162" w:rsidR="00924162">
      <w:pPr>
        <w:spacing w:lineRule="auto" w:line="360"/>
        <w:jc w:val="both"/>
        <w:rPr>
          <w:rFonts w:cs="Times New Roman"/>
        </w:rPr>
      </w:pPr>
      <w:r>
        <w:rPr>
          <w:rFonts w:cs="Times New Roman"/>
        </w:rPr>
        <w:t xml:space="preserve">Zbog sezonskog karaktera poslovanja i nedostatka obrtnih sredstava društvo je provelo prisilnu naplatu plaća zaposlenika putem FINE, odnosno ovršilo je vlastiti bankovni račun. Nakon ovrhe radničkih </w:t>
      </w:r>
      <w:proofErr w:type="spellStart"/>
      <w:r>
        <w:rPr>
          <w:rFonts w:cs="Times New Roman"/>
        </w:rPr>
        <w:t>potraživanjna</w:t>
      </w:r>
      <w:proofErr w:type="spellEnd"/>
      <w:r>
        <w:rPr>
          <w:rFonts w:cs="Times New Roman"/>
        </w:rPr>
        <w:t xml:space="preserve">, bankovni račun blokirala je i ERSTE&amp;STEIERMÄRKISCHE BANK d. d.  te tako produljila razdoblje provedeno u blokadi. Budući da je društvo Ratarstvo d.o.o. naslonjeno na poslovanje VRT-a d.o.o., kojem je jamac po svim kreditnim obvezama s osnove vlasnički povezanih osoba, ERSTE&amp;STEIERMÄRKISCHE BANK d. d. je blokirala račune društva Ratarstvo d.o.o. istovremeno kada je blokirala društvo VRT d.o.o.. </w:t>
      </w:r>
    </w:p>
    <w:p w:rsidRDefault="00924162" w:rsidP="00924162" w:rsidR="00924162">
      <w:pPr>
        <w:spacing w:lineRule="auto" w:line="360"/>
        <w:jc w:val="both"/>
        <w:rPr>
          <w:rFonts w:cs="Times New Roman"/>
        </w:rPr>
      </w:pPr>
    </w:p>
    <w:p w:rsidRDefault="00924162" w:rsidP="00924162" w:rsidR="00924162">
      <w:pPr>
        <w:rPr>
          <w:rFonts w:cs="Times New Roman"/>
        </w:rPr>
      </w:pPr>
    </w:p>
    <w:p w:rsidRDefault="00924162" w:rsidP="00924162" w:rsidR="00924162">
      <w:pPr>
        <w:rPr>
          <w:rFonts w:cs="Times New Roman"/>
        </w:rPr>
      </w:pPr>
    </w:p>
    <w:p w:rsidRDefault="00924162" w:rsidP="00924162" w:rsidR="00924162">
      <w:pPr>
        <w:rPr>
          <w:rFonts w:cs="Times New Roman"/>
        </w:rPr>
      </w:pPr>
    </w:p>
    <w:p w:rsidRDefault="00924162" w:rsidP="00924162" w:rsidR="00924162">
      <w:pPr>
        <w:rPr>
          <w:rFonts w:cs="Times New Roman"/>
        </w:rPr>
      </w:pPr>
    </w:p>
    <w:p w:rsidRDefault="00924162" w:rsidP="00924162" w:rsidR="00924162">
      <w:pPr>
        <w:rPr>
          <w:rFonts w:cs="Times New Roman"/>
        </w:rPr>
      </w:pPr>
    </w:p>
    <w:p w:rsidRDefault="00924162" w:rsidP="00924162" w:rsidR="00924162">
      <w:pPr>
        <w:rPr>
          <w:rFonts w:cs="Times New Roman"/>
        </w:rPr>
      </w:pPr>
    </w:p>
    <w:p w:rsidRDefault="00924162" w:rsidP="00924162" w:rsidR="00924162">
      <w:pPr>
        <w:rPr>
          <w:rFonts w:cs="Times New Roman"/>
        </w:rPr>
      </w:pPr>
    </w:p>
    <w:p w:rsidRDefault="00924162" w:rsidP="00924162" w:rsidR="00924162">
      <w:pPr>
        <w:rPr>
          <w:rFonts w:cs="Times New Roman"/>
        </w:rPr>
      </w:pPr>
    </w:p>
    <w:p w:rsidRDefault="00924162" w:rsidP="00924162" w:rsidR="00924162">
      <w:pPr>
        <w:rPr>
          <w:rFonts w:cs="Times New Roman"/>
        </w:rPr>
      </w:pPr>
    </w:p>
    <w:p w:rsidRDefault="00924162" w:rsidP="00924162" w:rsidR="00924162">
      <w:pPr>
        <w:pStyle w:val="Naslov1"/>
        <w:spacing w:lineRule="auto" w:line="360"/>
        <w:rPr>
          <w:rFonts w:cs="Times New Roman"/>
          <w:sz w:val="24"/>
          <w:szCs w:val="24"/>
        </w:rPr>
      </w:pPr>
      <w:bookmarkStart w:name="_Toc458436247" w:id="28"/>
      <w:bookmarkStart w:name="_Toc432416056" w:id="29"/>
      <w:bookmarkStart w:name="_Toc430627154" w:id="30"/>
      <w:r>
        <w:rPr>
          <w:rFonts w:cs="Times New Roman"/>
          <w:sz w:val="24"/>
          <w:szCs w:val="24"/>
        </w:rPr>
        <w:lastRenderedPageBreak/>
        <w:t>2. IZRAČUN MANJKA LIKVIDNIH SREDSTAVA NA DAN PRILOŽENIH FINANCIJSKIH IZVJEŠTAJA</w:t>
      </w:r>
      <w:bookmarkEnd w:id="28"/>
      <w:bookmarkEnd w:id="29"/>
      <w:bookmarkEnd w:id="30"/>
      <w:r>
        <w:rPr>
          <w:rFonts w:cs="Times New Roman"/>
          <w:sz w:val="24"/>
          <w:szCs w:val="24"/>
        </w:rPr>
        <w:br/>
      </w:r>
    </w:p>
    <w:tbl>
      <w:tblPr>
        <w:tblW w:type="dxa" w:w="8560"/>
        <w:tblInd w:type="dxa" w:w="93"/>
        <w:tblLook w:val="04A0" w:noVBand="1" w:noHBand="0" w:lastColumn="0" w:firstColumn="1" w:lastRow="0" w:firstRow="1"/>
      </w:tblPr>
      <w:tblGrid>
        <w:gridCol w:w="803"/>
        <w:gridCol w:w="5118"/>
        <w:gridCol w:w="2639"/>
      </w:tblGrid>
      <w:tr w:rsidTr="00924162" w:rsidR="00924162">
        <w:trPr>
          <w:trHeight w:val="315"/>
        </w:trPr>
        <w:tc>
          <w:tcPr>
            <w:tcW w:type="dxa" w:w="800"/>
            <w:vMerge w:val="restart"/>
            <w:tcBorders>
              <w:top w:space="0" w:sz="8" w:color="000000" w:val="single"/>
              <w:left w:space="0" w:sz="8" w:color="000000" w:val="single"/>
              <w:bottom w:space="0" w:sz="8" w:color="000000" w:val="single"/>
              <w:right w:space="0" w:sz="8" w:color="000000" w:val="single"/>
            </w:tcBorders>
            <w:vAlign w:val="bottom"/>
            <w:hideMark/>
          </w:tcPr>
          <w:p w:rsidRDefault="00924162" w:rsidR="00924162">
            <w:pPr>
              <w:spacing w:after="0"/>
              <w:rPr>
                <w:rFonts w:cs="Times New Roman" w:eastAsia="Times New Roman"/>
                <w:b/>
                <w:bCs/>
                <w:i/>
                <w:iCs/>
                <w:color w:val="000000"/>
                <w:lang w:eastAsia="hr-HR"/>
              </w:rPr>
            </w:pPr>
            <w:r>
              <w:rPr>
                <w:rFonts w:cs="Times New Roman" w:eastAsia="Times New Roman"/>
                <w:b/>
                <w:bCs/>
                <w:i/>
                <w:iCs/>
                <w:color w:val="000000"/>
                <w:lang w:eastAsia="hr-HR"/>
              </w:rPr>
              <w:t>Redni broj</w:t>
            </w:r>
          </w:p>
        </w:tc>
        <w:tc>
          <w:tcPr>
            <w:tcW w:type="dxa" w:w="5120"/>
            <w:vMerge w:val="restart"/>
            <w:tcBorders>
              <w:top w:space="0" w:sz="8" w:color="000000" w:val="single"/>
              <w:left w:space="0" w:sz="8" w:color="000000" w:val="single"/>
              <w:bottom w:space="0" w:sz="8" w:color="000000" w:val="single"/>
              <w:right w:space="0" w:sz="8" w:color="000000" w:val="single"/>
            </w:tcBorders>
            <w:vAlign w:val="bottom"/>
            <w:hideMark/>
          </w:tcPr>
          <w:p w:rsidRDefault="00924162" w:rsidR="00924162">
            <w:pPr>
              <w:spacing w:after="0"/>
              <w:rPr>
                <w:rFonts w:cs="Times New Roman" w:eastAsia="Times New Roman"/>
                <w:b/>
                <w:bCs/>
                <w:i/>
                <w:iCs/>
                <w:color w:val="000000"/>
                <w:lang w:eastAsia="hr-HR"/>
              </w:rPr>
            </w:pPr>
            <w:r>
              <w:rPr>
                <w:rFonts w:cs="Times New Roman" w:eastAsia="Times New Roman"/>
                <w:b/>
                <w:bCs/>
                <w:i/>
                <w:iCs/>
                <w:color w:val="000000"/>
                <w:lang w:eastAsia="hr-HR"/>
              </w:rPr>
              <w:t>Pozicija</w:t>
            </w:r>
          </w:p>
        </w:tc>
        <w:tc>
          <w:tcPr>
            <w:tcW w:type="dxa" w:w="2640"/>
            <w:tcBorders>
              <w:top w:space="0" w:sz="8" w:color="000000" w:val="single"/>
              <w:left w:val="nil"/>
              <w:bottom w:val="nil"/>
              <w:right w:space="0" w:sz="8" w:color="000000" w:val="single"/>
            </w:tcBorders>
            <w:vAlign w:val="bottom"/>
            <w:hideMark/>
          </w:tcPr>
          <w:p w:rsidRDefault="00924162" w:rsidR="00924162">
            <w:pPr>
              <w:spacing w:after="0"/>
              <w:jc w:val="center"/>
              <w:rPr>
                <w:rFonts w:cs="Times New Roman" w:eastAsia="Times New Roman"/>
                <w:b/>
                <w:bCs/>
                <w:i/>
                <w:iCs/>
                <w:color w:val="000000"/>
                <w:lang w:eastAsia="hr-HR"/>
              </w:rPr>
            </w:pPr>
            <w:r>
              <w:rPr>
                <w:rFonts w:cs="Times New Roman" w:eastAsia="Times New Roman"/>
                <w:b/>
                <w:bCs/>
                <w:i/>
                <w:iCs/>
                <w:color w:val="000000"/>
                <w:lang w:eastAsia="hr-HR"/>
              </w:rPr>
              <w:t>30.06.2016.</w:t>
            </w:r>
          </w:p>
        </w:tc>
      </w:tr>
      <w:tr w:rsidTr="00924162" w:rsidR="00924162">
        <w:trPr>
          <w:trHeight w:val="330"/>
        </w:trPr>
        <w:tc>
          <w:tcPr>
            <w:tcW w:type="auto" w:w="0"/>
            <w:vMerge/>
            <w:tcBorders>
              <w:top w:space="0" w:sz="8" w:color="000000" w:val="single"/>
              <w:left w:space="0" w:sz="8" w:color="000000" w:val="single"/>
              <w:bottom w:space="0" w:sz="8" w:color="000000" w:val="single"/>
              <w:right w:space="0" w:sz="8" w:color="000000" w:val="single"/>
            </w:tcBorders>
            <w:vAlign w:val="center"/>
            <w:hideMark/>
          </w:tcPr>
          <w:p w:rsidRDefault="00924162" w:rsidR="00924162">
            <w:pPr>
              <w:spacing w:after="0"/>
              <w:rPr>
                <w:rFonts w:cs="Times New Roman" w:eastAsia="Times New Roman"/>
                <w:b/>
                <w:bCs/>
                <w:i/>
                <w:iCs/>
                <w:color w:val="000000"/>
                <w:lang w:eastAsia="hr-HR"/>
              </w:rPr>
            </w:pPr>
          </w:p>
        </w:tc>
        <w:tc>
          <w:tcPr>
            <w:tcW w:type="auto" w:w="0"/>
            <w:vMerge/>
            <w:tcBorders>
              <w:top w:space="0" w:sz="8" w:color="000000" w:val="single"/>
              <w:left w:space="0" w:sz="8" w:color="000000" w:val="single"/>
              <w:bottom w:space="0" w:sz="8" w:color="000000" w:val="single"/>
              <w:right w:space="0" w:sz="8" w:color="000000" w:val="single"/>
            </w:tcBorders>
            <w:vAlign w:val="center"/>
            <w:hideMark/>
          </w:tcPr>
          <w:p w:rsidRDefault="00924162" w:rsidR="00924162">
            <w:pPr>
              <w:spacing w:after="0"/>
              <w:rPr>
                <w:rFonts w:cs="Times New Roman" w:eastAsia="Times New Roman"/>
                <w:b/>
                <w:bCs/>
                <w:i/>
                <w:iCs/>
                <w:color w:val="000000"/>
                <w:lang w:eastAsia="hr-HR"/>
              </w:rPr>
            </w:pPr>
          </w:p>
        </w:tc>
        <w:tc>
          <w:tcPr>
            <w:tcW w:type="dxa" w:w="2640"/>
            <w:tcBorders>
              <w:top w:val="nil"/>
              <w:left w:val="nil"/>
              <w:bottom w:space="0" w:sz="8" w:color="000000" w:val="single"/>
              <w:right w:space="0" w:sz="8" w:color="000000" w:val="single"/>
            </w:tcBorders>
            <w:vAlign w:val="bottom"/>
            <w:hideMark/>
          </w:tcPr>
          <w:p w:rsidRDefault="00924162" w:rsidR="00924162">
            <w:pPr>
              <w:spacing w:after="0"/>
              <w:jc w:val="center"/>
              <w:rPr>
                <w:rFonts w:cs="Times New Roman" w:eastAsia="Times New Roman"/>
                <w:b/>
                <w:bCs/>
                <w:i/>
                <w:iCs/>
                <w:color w:val="000000"/>
                <w:lang w:eastAsia="hr-HR"/>
              </w:rPr>
            </w:pPr>
            <w:r>
              <w:rPr>
                <w:rFonts w:cs="Times New Roman" w:eastAsia="Times New Roman"/>
                <w:b/>
                <w:bCs/>
                <w:i/>
                <w:iCs/>
                <w:color w:val="000000"/>
                <w:lang w:eastAsia="hr-HR"/>
              </w:rPr>
              <w:t>(iznosi u kn)</w:t>
            </w:r>
          </w:p>
        </w:tc>
      </w:tr>
      <w:tr w:rsidTr="00924162" w:rsidR="00924162">
        <w:trPr>
          <w:trHeight w:val="330"/>
        </w:trPr>
        <w:tc>
          <w:tcPr>
            <w:tcW w:type="dxa" w:w="800"/>
            <w:tcBorders>
              <w:top w:val="nil"/>
              <w:left w:space="0" w:sz="8" w:color="000000" w:val="single"/>
              <w:bottom w:space="0" w:sz="8" w:color="000000" w:val="single"/>
              <w:right w:space="0" w:sz="8" w:color="000000" w:val="single"/>
            </w:tcBorders>
            <w:vAlign w:val="bottom"/>
            <w:hideMark/>
          </w:tcPr>
          <w:p w:rsidRDefault="00924162" w:rsidR="00924162">
            <w:pPr>
              <w:spacing w:after="0"/>
              <w:jc w:val="center"/>
              <w:rPr>
                <w:rFonts w:cs="Times New Roman" w:eastAsia="Times New Roman"/>
                <w:i/>
                <w:iCs/>
                <w:color w:val="000000"/>
                <w:lang w:eastAsia="hr-HR"/>
              </w:rPr>
            </w:pPr>
            <w:r>
              <w:rPr>
                <w:rFonts w:cs="Times New Roman" w:eastAsia="Times New Roman"/>
                <w:i/>
                <w:iCs/>
                <w:color w:val="000000"/>
                <w:lang w:eastAsia="hr-HR"/>
              </w:rPr>
              <w:t>1</w:t>
            </w:r>
          </w:p>
        </w:tc>
        <w:tc>
          <w:tcPr>
            <w:tcW w:type="dxa" w:w="5120"/>
            <w:tcBorders>
              <w:top w:val="nil"/>
              <w:left w:val="nil"/>
              <w:bottom w:space="0" w:sz="8" w:color="000000" w:val="single"/>
              <w:right w:space="0" w:sz="8" w:color="000000" w:val="single"/>
            </w:tcBorders>
            <w:vAlign w:val="bottom"/>
            <w:hideMark/>
          </w:tcPr>
          <w:p w:rsidRDefault="00924162" w:rsidR="00924162">
            <w:pPr>
              <w:spacing w:after="0"/>
              <w:rPr>
                <w:rFonts w:cs="Times New Roman" w:eastAsia="Times New Roman"/>
                <w:i/>
                <w:iCs/>
                <w:color w:val="000000"/>
                <w:lang w:eastAsia="hr-HR"/>
              </w:rPr>
            </w:pPr>
            <w:r>
              <w:rPr>
                <w:rFonts w:cs="Times New Roman" w:eastAsia="Times New Roman"/>
                <w:i/>
                <w:iCs/>
                <w:color w:val="000000"/>
                <w:lang w:eastAsia="hr-HR"/>
              </w:rPr>
              <w:t>Zalihe</w:t>
            </w:r>
          </w:p>
        </w:tc>
        <w:tc>
          <w:tcPr>
            <w:tcW w:type="dxa" w:w="2640"/>
            <w:tcBorders>
              <w:top w:val="nil"/>
              <w:left w:val="nil"/>
              <w:bottom w:space="0" w:sz="8" w:color="000000" w:val="single"/>
              <w:right w:space="0" w:sz="8" w:color="000000" w:val="single"/>
            </w:tcBorders>
            <w:vAlign w:val="bottom"/>
            <w:hideMark/>
          </w:tcPr>
          <w:p w:rsidRDefault="00924162" w:rsidR="00924162">
            <w:pPr>
              <w:spacing w:after="0"/>
              <w:jc w:val="right"/>
              <w:rPr>
                <w:rFonts w:cs="Times New Roman" w:eastAsia="Times New Roman"/>
                <w:i/>
                <w:iCs/>
                <w:color w:val="000000"/>
                <w:lang w:eastAsia="hr-HR"/>
              </w:rPr>
            </w:pPr>
            <w:r>
              <w:rPr>
                <w:rFonts w:cs="Times New Roman" w:eastAsia="Times New Roman"/>
                <w:i/>
                <w:iCs/>
                <w:color w:val="000000"/>
                <w:lang w:eastAsia="hr-HR"/>
              </w:rPr>
              <w:t>1.457.296,00</w:t>
            </w:r>
          </w:p>
        </w:tc>
      </w:tr>
      <w:tr w:rsidTr="00924162" w:rsidR="00924162">
        <w:trPr>
          <w:trHeight w:val="330"/>
        </w:trPr>
        <w:tc>
          <w:tcPr>
            <w:tcW w:type="dxa" w:w="800"/>
            <w:tcBorders>
              <w:top w:val="nil"/>
              <w:left w:space="0" w:sz="8" w:color="000000" w:val="single"/>
              <w:bottom w:space="0" w:sz="8" w:color="000000" w:val="single"/>
              <w:right w:space="0" w:sz="8" w:color="000000" w:val="single"/>
            </w:tcBorders>
            <w:vAlign w:val="bottom"/>
            <w:hideMark/>
          </w:tcPr>
          <w:p w:rsidRDefault="00924162" w:rsidR="00924162">
            <w:pPr>
              <w:spacing w:after="0"/>
              <w:jc w:val="center"/>
              <w:rPr>
                <w:rFonts w:cs="Times New Roman" w:eastAsia="Times New Roman"/>
                <w:i/>
                <w:iCs/>
                <w:color w:val="000000"/>
                <w:lang w:eastAsia="hr-HR"/>
              </w:rPr>
            </w:pPr>
            <w:r>
              <w:rPr>
                <w:rFonts w:cs="Times New Roman" w:eastAsia="Times New Roman"/>
                <w:i/>
                <w:iCs/>
                <w:color w:val="000000"/>
                <w:lang w:eastAsia="hr-HR"/>
              </w:rPr>
              <w:t>2</w:t>
            </w:r>
          </w:p>
        </w:tc>
        <w:tc>
          <w:tcPr>
            <w:tcW w:type="dxa" w:w="5120"/>
            <w:tcBorders>
              <w:top w:val="nil"/>
              <w:left w:val="nil"/>
              <w:bottom w:space="0" w:sz="8" w:color="000000" w:val="single"/>
              <w:right w:space="0" w:sz="8" w:color="000000" w:val="single"/>
            </w:tcBorders>
            <w:vAlign w:val="bottom"/>
            <w:hideMark/>
          </w:tcPr>
          <w:p w:rsidRDefault="00924162" w:rsidR="00924162">
            <w:pPr>
              <w:spacing w:after="0"/>
              <w:rPr>
                <w:rFonts w:cs="Times New Roman" w:eastAsia="Times New Roman"/>
                <w:i/>
                <w:iCs/>
                <w:color w:val="000000"/>
                <w:lang w:eastAsia="hr-HR"/>
              </w:rPr>
            </w:pPr>
            <w:r>
              <w:rPr>
                <w:rFonts w:cs="Times New Roman" w:eastAsia="Times New Roman"/>
                <w:i/>
                <w:iCs/>
                <w:color w:val="000000"/>
                <w:lang w:eastAsia="hr-HR"/>
              </w:rPr>
              <w:t>Potraživanja</w:t>
            </w:r>
          </w:p>
        </w:tc>
        <w:tc>
          <w:tcPr>
            <w:tcW w:type="dxa" w:w="2640"/>
            <w:tcBorders>
              <w:top w:val="nil"/>
              <w:left w:val="nil"/>
              <w:bottom w:space="0" w:sz="8" w:color="000000" w:val="single"/>
              <w:right w:space="0" w:sz="8" w:color="000000" w:val="single"/>
            </w:tcBorders>
            <w:vAlign w:val="bottom"/>
            <w:hideMark/>
          </w:tcPr>
          <w:p w:rsidRDefault="00924162" w:rsidR="00924162">
            <w:pPr>
              <w:spacing w:after="0"/>
              <w:jc w:val="right"/>
              <w:rPr>
                <w:rFonts w:cs="Times New Roman" w:eastAsia="Times New Roman"/>
                <w:i/>
                <w:iCs/>
                <w:color w:val="000000"/>
                <w:lang w:eastAsia="hr-HR"/>
              </w:rPr>
            </w:pPr>
            <w:r>
              <w:rPr>
                <w:rFonts w:cs="Times New Roman" w:eastAsia="Times New Roman"/>
                <w:i/>
                <w:iCs/>
                <w:color w:val="000000"/>
                <w:lang w:eastAsia="hr-HR"/>
              </w:rPr>
              <w:t>1.755.990,00</w:t>
            </w:r>
          </w:p>
        </w:tc>
      </w:tr>
      <w:tr w:rsidTr="00924162" w:rsidR="00924162">
        <w:trPr>
          <w:trHeight w:val="330"/>
        </w:trPr>
        <w:tc>
          <w:tcPr>
            <w:tcW w:type="dxa" w:w="800"/>
            <w:tcBorders>
              <w:top w:val="nil"/>
              <w:left w:space="0" w:sz="8" w:color="000000" w:val="single"/>
              <w:bottom w:space="0" w:sz="8" w:color="000000" w:val="single"/>
              <w:right w:space="0" w:sz="8" w:color="000000" w:val="single"/>
            </w:tcBorders>
            <w:vAlign w:val="bottom"/>
            <w:hideMark/>
          </w:tcPr>
          <w:p w:rsidRDefault="00924162" w:rsidR="00924162">
            <w:pPr>
              <w:spacing w:after="0"/>
              <w:jc w:val="center"/>
              <w:rPr>
                <w:rFonts w:cs="Times New Roman" w:eastAsia="Times New Roman"/>
                <w:i/>
                <w:iCs/>
                <w:color w:val="000000"/>
                <w:lang w:eastAsia="hr-HR"/>
              </w:rPr>
            </w:pPr>
            <w:r>
              <w:rPr>
                <w:rFonts w:cs="Times New Roman" w:eastAsia="Times New Roman"/>
                <w:i/>
                <w:iCs/>
                <w:color w:val="000000"/>
                <w:lang w:eastAsia="hr-HR"/>
              </w:rPr>
              <w:t>3</w:t>
            </w:r>
          </w:p>
        </w:tc>
        <w:tc>
          <w:tcPr>
            <w:tcW w:type="dxa" w:w="5120"/>
            <w:tcBorders>
              <w:top w:val="nil"/>
              <w:left w:val="nil"/>
              <w:bottom w:space="0" w:sz="8" w:color="000000" w:val="single"/>
              <w:right w:space="0" w:sz="8" w:color="000000" w:val="single"/>
            </w:tcBorders>
            <w:vAlign w:val="bottom"/>
            <w:hideMark/>
          </w:tcPr>
          <w:p w:rsidRDefault="00924162" w:rsidR="00924162">
            <w:pPr>
              <w:spacing w:after="0"/>
              <w:rPr>
                <w:rFonts w:cs="Times New Roman" w:eastAsia="Times New Roman"/>
                <w:i/>
                <w:iCs/>
                <w:color w:val="000000"/>
                <w:lang w:eastAsia="hr-HR"/>
              </w:rPr>
            </w:pPr>
            <w:r>
              <w:rPr>
                <w:rFonts w:cs="Times New Roman" w:eastAsia="Times New Roman"/>
                <w:i/>
                <w:iCs/>
                <w:color w:val="000000"/>
                <w:lang w:eastAsia="hr-HR"/>
              </w:rPr>
              <w:t>Kratkotrajna financijska imovina</w:t>
            </w:r>
          </w:p>
        </w:tc>
        <w:tc>
          <w:tcPr>
            <w:tcW w:type="dxa" w:w="2640"/>
            <w:tcBorders>
              <w:top w:val="nil"/>
              <w:left w:val="nil"/>
              <w:bottom w:space="0" w:sz="8" w:color="000000" w:val="single"/>
              <w:right w:space="0" w:sz="8" w:color="000000" w:val="single"/>
            </w:tcBorders>
            <w:vAlign w:val="bottom"/>
            <w:hideMark/>
          </w:tcPr>
          <w:p w:rsidRDefault="00924162" w:rsidR="00924162">
            <w:pPr>
              <w:spacing w:after="0"/>
              <w:jc w:val="right"/>
              <w:rPr>
                <w:rFonts w:cs="Times New Roman" w:eastAsia="Times New Roman"/>
                <w:i/>
                <w:iCs/>
                <w:color w:val="000000"/>
                <w:lang w:eastAsia="hr-HR"/>
              </w:rPr>
            </w:pPr>
            <w:r>
              <w:rPr>
                <w:rFonts w:cs="Times New Roman" w:eastAsia="Times New Roman"/>
                <w:i/>
                <w:iCs/>
                <w:color w:val="000000"/>
                <w:lang w:eastAsia="hr-HR"/>
              </w:rPr>
              <w:t>150.628,00</w:t>
            </w:r>
          </w:p>
        </w:tc>
      </w:tr>
      <w:tr w:rsidTr="00924162" w:rsidR="00924162">
        <w:trPr>
          <w:trHeight w:val="330"/>
        </w:trPr>
        <w:tc>
          <w:tcPr>
            <w:tcW w:type="dxa" w:w="800"/>
            <w:tcBorders>
              <w:top w:val="nil"/>
              <w:left w:space="0" w:sz="8" w:color="000000" w:val="single"/>
              <w:bottom w:space="0" w:sz="8" w:color="000000" w:val="single"/>
              <w:right w:space="0" w:sz="8" w:color="000000" w:val="single"/>
            </w:tcBorders>
            <w:vAlign w:val="bottom"/>
            <w:hideMark/>
          </w:tcPr>
          <w:p w:rsidRDefault="00924162" w:rsidR="00924162">
            <w:pPr>
              <w:spacing w:after="0"/>
              <w:jc w:val="center"/>
              <w:rPr>
                <w:rFonts w:cs="Times New Roman" w:eastAsia="Times New Roman"/>
                <w:i/>
                <w:iCs/>
                <w:color w:val="000000"/>
                <w:lang w:eastAsia="hr-HR"/>
              </w:rPr>
            </w:pPr>
            <w:r>
              <w:rPr>
                <w:rFonts w:cs="Times New Roman" w:eastAsia="Times New Roman"/>
                <w:i/>
                <w:iCs/>
                <w:color w:val="000000"/>
                <w:lang w:eastAsia="hr-HR"/>
              </w:rPr>
              <w:t>4</w:t>
            </w:r>
          </w:p>
        </w:tc>
        <w:tc>
          <w:tcPr>
            <w:tcW w:type="dxa" w:w="5120"/>
            <w:tcBorders>
              <w:top w:val="nil"/>
              <w:left w:val="nil"/>
              <w:bottom w:space="0" w:sz="8" w:color="000000" w:val="single"/>
              <w:right w:space="0" w:sz="8" w:color="000000" w:val="single"/>
            </w:tcBorders>
            <w:vAlign w:val="bottom"/>
            <w:hideMark/>
          </w:tcPr>
          <w:p w:rsidRDefault="00924162" w:rsidR="00924162">
            <w:pPr>
              <w:spacing w:after="0"/>
              <w:rPr>
                <w:rFonts w:cs="Times New Roman" w:eastAsia="Times New Roman"/>
                <w:i/>
                <w:iCs/>
                <w:color w:val="000000"/>
                <w:lang w:eastAsia="hr-HR"/>
              </w:rPr>
            </w:pPr>
            <w:r>
              <w:rPr>
                <w:rFonts w:cs="Times New Roman" w:eastAsia="Times New Roman"/>
                <w:i/>
                <w:iCs/>
                <w:color w:val="000000"/>
                <w:lang w:eastAsia="hr-HR"/>
              </w:rPr>
              <w:t>Novac u banci i blagajni</w:t>
            </w:r>
          </w:p>
        </w:tc>
        <w:tc>
          <w:tcPr>
            <w:tcW w:type="dxa" w:w="2640"/>
            <w:tcBorders>
              <w:top w:val="nil"/>
              <w:left w:val="nil"/>
              <w:bottom w:space="0" w:sz="8" w:color="000000" w:val="single"/>
              <w:right w:space="0" w:sz="8" w:color="000000" w:val="single"/>
            </w:tcBorders>
            <w:vAlign w:val="bottom"/>
            <w:hideMark/>
          </w:tcPr>
          <w:p w:rsidRDefault="00924162" w:rsidR="00924162">
            <w:pPr>
              <w:spacing w:after="0"/>
              <w:jc w:val="right"/>
              <w:rPr>
                <w:rFonts w:cs="Times New Roman" w:eastAsia="Times New Roman"/>
                <w:i/>
                <w:iCs/>
                <w:color w:val="000000"/>
                <w:lang w:eastAsia="hr-HR"/>
              </w:rPr>
            </w:pPr>
            <w:r>
              <w:rPr>
                <w:rFonts w:cs="Times New Roman" w:eastAsia="Times New Roman"/>
                <w:i/>
                <w:iCs/>
                <w:color w:val="000000"/>
                <w:lang w:eastAsia="hr-HR"/>
              </w:rPr>
              <w:t>40,00</w:t>
            </w:r>
          </w:p>
        </w:tc>
      </w:tr>
      <w:tr w:rsidTr="00924162" w:rsidR="00924162">
        <w:trPr>
          <w:trHeight w:val="330"/>
        </w:trPr>
        <w:tc>
          <w:tcPr>
            <w:tcW w:type="dxa" w:w="800"/>
            <w:tcBorders>
              <w:top w:val="nil"/>
              <w:left w:space="0" w:sz="8" w:color="000000" w:val="single"/>
              <w:bottom w:space="0" w:sz="8" w:color="000000" w:val="single"/>
              <w:right w:space="0" w:sz="8" w:color="000000" w:val="single"/>
            </w:tcBorders>
            <w:vAlign w:val="bottom"/>
            <w:hideMark/>
          </w:tcPr>
          <w:p w:rsidRDefault="00924162" w:rsidR="00924162">
            <w:pPr>
              <w:spacing w:after="0"/>
              <w:jc w:val="center"/>
              <w:rPr>
                <w:rFonts w:cs="Times New Roman" w:eastAsia="Times New Roman"/>
                <w:b/>
                <w:bCs/>
                <w:i/>
                <w:iCs/>
                <w:color w:val="000000"/>
                <w:lang w:eastAsia="hr-HR"/>
              </w:rPr>
            </w:pPr>
            <w:r>
              <w:rPr>
                <w:rFonts w:cs="Times New Roman" w:eastAsia="Times New Roman"/>
                <w:b/>
                <w:bCs/>
                <w:i/>
                <w:iCs/>
                <w:color w:val="000000"/>
                <w:lang w:eastAsia="hr-HR"/>
              </w:rPr>
              <w:t>I</w:t>
            </w:r>
          </w:p>
        </w:tc>
        <w:tc>
          <w:tcPr>
            <w:tcW w:type="dxa" w:w="5120"/>
            <w:tcBorders>
              <w:top w:val="nil"/>
              <w:left w:val="nil"/>
              <w:bottom w:space="0" w:sz="8" w:color="000000" w:val="single"/>
              <w:right w:space="0" w:sz="8" w:color="000000" w:val="single"/>
            </w:tcBorders>
            <w:vAlign w:val="bottom"/>
            <w:hideMark/>
          </w:tcPr>
          <w:p w:rsidRDefault="00924162" w:rsidR="00924162">
            <w:pPr>
              <w:spacing w:after="0"/>
              <w:rPr>
                <w:rFonts w:cs="Times New Roman" w:eastAsia="Times New Roman"/>
                <w:b/>
                <w:bCs/>
                <w:i/>
                <w:iCs/>
                <w:color w:val="000000"/>
                <w:lang w:eastAsia="hr-HR"/>
              </w:rPr>
            </w:pPr>
            <w:r>
              <w:rPr>
                <w:rFonts w:cs="Times New Roman" w:eastAsia="Times New Roman"/>
                <w:b/>
                <w:bCs/>
                <w:i/>
                <w:iCs/>
                <w:color w:val="000000"/>
                <w:lang w:eastAsia="hr-HR"/>
              </w:rPr>
              <w:t>UKUPNO LIKVIDNA IMOVINA</w:t>
            </w:r>
          </w:p>
        </w:tc>
        <w:tc>
          <w:tcPr>
            <w:tcW w:type="dxa" w:w="2640"/>
            <w:tcBorders>
              <w:top w:val="nil"/>
              <w:left w:val="nil"/>
              <w:bottom w:space="0" w:sz="8" w:color="000000" w:val="single"/>
              <w:right w:space="0" w:sz="8" w:color="000000" w:val="single"/>
            </w:tcBorders>
            <w:vAlign w:val="bottom"/>
            <w:hideMark/>
          </w:tcPr>
          <w:p w:rsidRDefault="00924162" w:rsidR="00924162">
            <w:pPr>
              <w:spacing w:after="0"/>
              <w:jc w:val="right"/>
              <w:rPr>
                <w:rFonts w:cs="Times New Roman" w:eastAsia="Times New Roman"/>
                <w:b/>
                <w:bCs/>
                <w:i/>
                <w:iCs/>
                <w:color w:val="000000"/>
                <w:lang w:eastAsia="hr-HR"/>
              </w:rPr>
            </w:pPr>
            <w:r>
              <w:rPr>
                <w:rFonts w:cs="Times New Roman" w:eastAsia="Times New Roman"/>
                <w:b/>
                <w:bCs/>
                <w:i/>
                <w:iCs/>
                <w:color w:val="000000"/>
                <w:lang w:eastAsia="hr-HR"/>
              </w:rPr>
              <w:t>3.363.954,00</w:t>
            </w:r>
          </w:p>
        </w:tc>
      </w:tr>
      <w:tr w:rsidTr="00924162" w:rsidR="00924162">
        <w:trPr>
          <w:trHeight w:val="330"/>
        </w:trPr>
        <w:tc>
          <w:tcPr>
            <w:tcW w:type="dxa" w:w="800"/>
            <w:tcBorders>
              <w:top w:val="nil"/>
              <w:left w:space="0" w:sz="8" w:color="000000" w:val="single"/>
              <w:bottom w:space="0" w:sz="8" w:color="000000" w:val="single"/>
              <w:right w:space="0" w:sz="8" w:color="000000" w:val="single"/>
            </w:tcBorders>
            <w:vAlign w:val="bottom"/>
            <w:hideMark/>
          </w:tcPr>
          <w:p w:rsidRDefault="00924162" w:rsidR="00924162">
            <w:pPr>
              <w:spacing w:after="0"/>
              <w:jc w:val="center"/>
              <w:rPr>
                <w:rFonts w:cs="Times New Roman" w:eastAsia="Times New Roman"/>
                <w:i/>
                <w:iCs/>
                <w:color w:val="000000"/>
                <w:lang w:eastAsia="hr-HR"/>
              </w:rPr>
            </w:pPr>
            <w:r>
              <w:rPr>
                <w:rFonts w:cs="Times New Roman" w:eastAsia="Times New Roman"/>
                <w:i/>
                <w:iCs/>
                <w:color w:val="000000"/>
                <w:lang w:eastAsia="hr-HR"/>
              </w:rPr>
              <w:t>1</w:t>
            </w:r>
          </w:p>
        </w:tc>
        <w:tc>
          <w:tcPr>
            <w:tcW w:type="dxa" w:w="5120"/>
            <w:tcBorders>
              <w:top w:val="nil"/>
              <w:left w:val="nil"/>
              <w:bottom w:space="0" w:sz="8" w:color="000000" w:val="single"/>
              <w:right w:space="0" w:sz="8" w:color="000000" w:val="single"/>
            </w:tcBorders>
            <w:vAlign w:val="bottom"/>
            <w:hideMark/>
          </w:tcPr>
          <w:p w:rsidRDefault="00924162" w:rsidR="00924162">
            <w:pPr>
              <w:spacing w:after="0"/>
              <w:rPr>
                <w:rFonts w:cs="Times New Roman" w:eastAsia="Times New Roman"/>
                <w:i/>
                <w:iCs/>
                <w:color w:val="000000"/>
                <w:lang w:eastAsia="hr-HR"/>
              </w:rPr>
            </w:pPr>
            <w:r>
              <w:rPr>
                <w:rFonts w:cs="Times New Roman" w:eastAsia="Times New Roman"/>
                <w:i/>
                <w:iCs/>
                <w:color w:val="000000"/>
                <w:lang w:eastAsia="hr-HR"/>
              </w:rPr>
              <w:t>Obveze prema povezanim poduzetnicima</w:t>
            </w:r>
          </w:p>
        </w:tc>
        <w:tc>
          <w:tcPr>
            <w:tcW w:type="dxa" w:w="2640"/>
            <w:tcBorders>
              <w:top w:val="nil"/>
              <w:left w:val="nil"/>
              <w:bottom w:space="0" w:sz="8" w:color="000000" w:val="single"/>
              <w:right w:space="0" w:sz="8" w:color="000000" w:val="single"/>
            </w:tcBorders>
            <w:vAlign w:val="bottom"/>
            <w:hideMark/>
          </w:tcPr>
          <w:p w:rsidRDefault="00924162" w:rsidR="00924162">
            <w:pPr>
              <w:spacing w:after="0"/>
              <w:jc w:val="right"/>
              <w:rPr>
                <w:rFonts w:cs="Times New Roman" w:eastAsia="Times New Roman"/>
                <w:i/>
                <w:iCs/>
                <w:color w:val="000000"/>
                <w:lang w:eastAsia="hr-HR"/>
              </w:rPr>
            </w:pPr>
            <w:r>
              <w:rPr>
                <w:rFonts w:cs="Times New Roman" w:eastAsia="Times New Roman"/>
                <w:i/>
                <w:iCs/>
                <w:color w:val="000000"/>
                <w:lang w:eastAsia="hr-HR"/>
              </w:rPr>
              <w:t>530.950,00</w:t>
            </w:r>
          </w:p>
        </w:tc>
      </w:tr>
      <w:tr w:rsidTr="00924162" w:rsidR="00924162">
        <w:trPr>
          <w:trHeight w:val="330"/>
        </w:trPr>
        <w:tc>
          <w:tcPr>
            <w:tcW w:type="dxa" w:w="800"/>
            <w:tcBorders>
              <w:top w:val="nil"/>
              <w:left w:space="0" w:sz="8" w:color="000000" w:val="single"/>
              <w:bottom w:space="0" w:sz="8" w:color="000000" w:val="single"/>
              <w:right w:space="0" w:sz="8" w:color="000000" w:val="single"/>
            </w:tcBorders>
            <w:vAlign w:val="bottom"/>
            <w:hideMark/>
          </w:tcPr>
          <w:p w:rsidRDefault="00924162" w:rsidR="00924162">
            <w:pPr>
              <w:spacing w:after="0"/>
              <w:jc w:val="center"/>
              <w:rPr>
                <w:rFonts w:cs="Times New Roman" w:eastAsia="Times New Roman"/>
                <w:i/>
                <w:iCs/>
                <w:color w:val="000000"/>
                <w:lang w:eastAsia="hr-HR"/>
              </w:rPr>
            </w:pPr>
            <w:r>
              <w:rPr>
                <w:rFonts w:cs="Times New Roman" w:eastAsia="Times New Roman"/>
                <w:i/>
                <w:iCs/>
                <w:color w:val="000000"/>
                <w:lang w:eastAsia="hr-HR"/>
              </w:rPr>
              <w:t>2</w:t>
            </w:r>
          </w:p>
        </w:tc>
        <w:tc>
          <w:tcPr>
            <w:tcW w:type="dxa" w:w="5120"/>
            <w:tcBorders>
              <w:top w:val="nil"/>
              <w:left w:val="nil"/>
              <w:bottom w:space="0" w:sz="8" w:color="000000" w:val="single"/>
              <w:right w:space="0" w:sz="8" w:color="000000" w:val="single"/>
            </w:tcBorders>
            <w:vAlign w:val="bottom"/>
            <w:hideMark/>
          </w:tcPr>
          <w:p w:rsidRDefault="00924162" w:rsidR="00924162">
            <w:pPr>
              <w:spacing w:after="0"/>
              <w:rPr>
                <w:rFonts w:cs="Times New Roman" w:eastAsia="Times New Roman"/>
                <w:i/>
                <w:iCs/>
                <w:color w:val="000000"/>
                <w:lang w:eastAsia="hr-HR"/>
              </w:rPr>
            </w:pPr>
            <w:r>
              <w:rPr>
                <w:rFonts w:cs="Times New Roman" w:eastAsia="Times New Roman"/>
                <w:i/>
                <w:iCs/>
                <w:color w:val="000000"/>
                <w:lang w:eastAsia="hr-HR"/>
              </w:rPr>
              <w:t>Obveze za predujmove</w:t>
            </w:r>
          </w:p>
        </w:tc>
        <w:tc>
          <w:tcPr>
            <w:tcW w:type="dxa" w:w="2640"/>
            <w:tcBorders>
              <w:top w:val="nil"/>
              <w:left w:val="nil"/>
              <w:bottom w:space="0" w:sz="8" w:color="000000" w:val="single"/>
              <w:right w:space="0" w:sz="8" w:color="000000" w:val="single"/>
            </w:tcBorders>
            <w:vAlign w:val="bottom"/>
            <w:hideMark/>
          </w:tcPr>
          <w:p w:rsidRDefault="00924162" w:rsidR="00924162">
            <w:pPr>
              <w:spacing w:after="0"/>
              <w:jc w:val="right"/>
              <w:rPr>
                <w:rFonts w:cs="Times New Roman" w:eastAsia="Times New Roman"/>
                <w:i/>
                <w:iCs/>
                <w:color w:val="000000"/>
                <w:lang w:eastAsia="hr-HR"/>
              </w:rPr>
            </w:pPr>
            <w:r>
              <w:rPr>
                <w:rFonts w:cs="Times New Roman" w:eastAsia="Times New Roman"/>
                <w:i/>
                <w:iCs/>
                <w:color w:val="000000"/>
                <w:lang w:eastAsia="hr-HR"/>
              </w:rPr>
              <w:t>33.763</w:t>
            </w:r>
          </w:p>
        </w:tc>
      </w:tr>
      <w:tr w:rsidTr="00924162" w:rsidR="00924162">
        <w:trPr>
          <w:trHeight w:val="330"/>
        </w:trPr>
        <w:tc>
          <w:tcPr>
            <w:tcW w:type="dxa" w:w="800"/>
            <w:tcBorders>
              <w:top w:val="nil"/>
              <w:left w:space="0" w:sz="8" w:color="000000" w:val="single"/>
              <w:bottom w:space="0" w:sz="8" w:color="000000" w:val="single"/>
              <w:right w:space="0" w:sz="8" w:color="000000" w:val="single"/>
            </w:tcBorders>
            <w:vAlign w:val="bottom"/>
            <w:hideMark/>
          </w:tcPr>
          <w:p w:rsidRDefault="00924162" w:rsidR="00924162">
            <w:pPr>
              <w:spacing w:after="0"/>
              <w:jc w:val="center"/>
              <w:rPr>
                <w:rFonts w:cs="Times New Roman" w:eastAsia="Times New Roman"/>
                <w:i/>
                <w:iCs/>
                <w:color w:val="000000"/>
                <w:lang w:eastAsia="hr-HR"/>
              </w:rPr>
            </w:pPr>
            <w:r>
              <w:rPr>
                <w:rFonts w:cs="Times New Roman" w:eastAsia="Times New Roman"/>
                <w:i/>
                <w:iCs/>
                <w:color w:val="000000"/>
                <w:lang w:eastAsia="hr-HR"/>
              </w:rPr>
              <w:t>3</w:t>
            </w:r>
          </w:p>
        </w:tc>
        <w:tc>
          <w:tcPr>
            <w:tcW w:type="dxa" w:w="5120"/>
            <w:tcBorders>
              <w:top w:val="nil"/>
              <w:left w:val="nil"/>
              <w:bottom w:space="0" w:sz="8" w:color="000000" w:val="single"/>
              <w:right w:space="0" w:sz="8" w:color="000000" w:val="single"/>
            </w:tcBorders>
            <w:vAlign w:val="bottom"/>
            <w:hideMark/>
          </w:tcPr>
          <w:p w:rsidRDefault="00924162" w:rsidR="00924162">
            <w:pPr>
              <w:spacing w:after="0"/>
              <w:rPr>
                <w:rFonts w:cs="Times New Roman" w:eastAsia="Times New Roman"/>
                <w:i/>
                <w:iCs/>
                <w:color w:val="000000"/>
                <w:lang w:eastAsia="hr-HR"/>
              </w:rPr>
            </w:pPr>
            <w:r>
              <w:rPr>
                <w:rFonts w:cs="Times New Roman" w:eastAsia="Times New Roman"/>
                <w:i/>
                <w:iCs/>
                <w:color w:val="000000"/>
                <w:lang w:eastAsia="hr-HR"/>
              </w:rPr>
              <w:t>Obveze prema dobavljačima</w:t>
            </w:r>
          </w:p>
        </w:tc>
        <w:tc>
          <w:tcPr>
            <w:tcW w:type="dxa" w:w="2640"/>
            <w:tcBorders>
              <w:top w:val="nil"/>
              <w:left w:val="nil"/>
              <w:bottom w:space="0" w:sz="8" w:color="000000" w:val="single"/>
              <w:right w:space="0" w:sz="8" w:color="000000" w:val="single"/>
            </w:tcBorders>
            <w:vAlign w:val="bottom"/>
            <w:hideMark/>
          </w:tcPr>
          <w:p w:rsidRDefault="00924162" w:rsidR="00924162">
            <w:pPr>
              <w:spacing w:after="0"/>
              <w:jc w:val="right"/>
              <w:rPr>
                <w:rFonts w:cs="Times New Roman" w:eastAsia="Times New Roman"/>
                <w:i/>
                <w:iCs/>
                <w:color w:val="000000"/>
                <w:lang w:eastAsia="hr-HR"/>
              </w:rPr>
            </w:pPr>
            <w:r>
              <w:rPr>
                <w:rFonts w:cs="Times New Roman" w:eastAsia="Times New Roman"/>
                <w:i/>
                <w:iCs/>
                <w:color w:val="000000"/>
                <w:lang w:eastAsia="hr-HR"/>
              </w:rPr>
              <w:t>1.020.870</w:t>
            </w:r>
          </w:p>
        </w:tc>
      </w:tr>
      <w:tr w:rsidTr="00924162" w:rsidR="00924162">
        <w:trPr>
          <w:trHeight w:val="330"/>
        </w:trPr>
        <w:tc>
          <w:tcPr>
            <w:tcW w:type="dxa" w:w="800"/>
            <w:tcBorders>
              <w:top w:val="nil"/>
              <w:left w:space="0" w:sz="8" w:color="000000" w:val="single"/>
              <w:bottom w:space="0" w:sz="8" w:color="000000" w:val="single"/>
              <w:right w:space="0" w:sz="8" w:color="000000" w:val="single"/>
            </w:tcBorders>
            <w:vAlign w:val="bottom"/>
            <w:hideMark/>
          </w:tcPr>
          <w:p w:rsidRDefault="00924162" w:rsidR="00924162">
            <w:pPr>
              <w:spacing w:after="0"/>
              <w:jc w:val="center"/>
              <w:rPr>
                <w:rFonts w:cs="Times New Roman" w:eastAsia="Times New Roman"/>
                <w:i/>
                <w:iCs/>
                <w:color w:val="000000"/>
                <w:lang w:eastAsia="hr-HR"/>
              </w:rPr>
            </w:pPr>
            <w:r>
              <w:rPr>
                <w:rFonts w:cs="Times New Roman" w:eastAsia="Times New Roman"/>
                <w:i/>
                <w:iCs/>
                <w:color w:val="000000"/>
                <w:lang w:eastAsia="hr-HR"/>
              </w:rPr>
              <w:t>4</w:t>
            </w:r>
          </w:p>
        </w:tc>
        <w:tc>
          <w:tcPr>
            <w:tcW w:type="dxa" w:w="5120"/>
            <w:tcBorders>
              <w:top w:val="nil"/>
              <w:left w:val="nil"/>
              <w:bottom w:space="0" w:sz="8" w:color="000000" w:val="single"/>
              <w:right w:space="0" w:sz="8" w:color="000000" w:val="single"/>
            </w:tcBorders>
            <w:vAlign w:val="bottom"/>
            <w:hideMark/>
          </w:tcPr>
          <w:p w:rsidRDefault="00924162" w:rsidR="00924162">
            <w:pPr>
              <w:spacing w:after="0"/>
              <w:rPr>
                <w:rFonts w:cs="Times New Roman" w:eastAsia="Times New Roman"/>
                <w:i/>
                <w:iCs/>
                <w:color w:val="000000"/>
                <w:lang w:eastAsia="hr-HR"/>
              </w:rPr>
            </w:pPr>
            <w:r>
              <w:rPr>
                <w:rFonts w:cs="Times New Roman" w:eastAsia="Times New Roman"/>
                <w:i/>
                <w:iCs/>
                <w:color w:val="000000"/>
                <w:lang w:eastAsia="hr-HR"/>
              </w:rPr>
              <w:t>Obveze prema zaposlenicima</w:t>
            </w:r>
          </w:p>
        </w:tc>
        <w:tc>
          <w:tcPr>
            <w:tcW w:type="dxa" w:w="2640"/>
            <w:tcBorders>
              <w:top w:val="nil"/>
              <w:left w:val="nil"/>
              <w:bottom w:space="0" w:sz="8" w:color="000000" w:val="single"/>
              <w:right w:space="0" w:sz="8" w:color="000000" w:val="single"/>
            </w:tcBorders>
            <w:vAlign w:val="bottom"/>
            <w:hideMark/>
          </w:tcPr>
          <w:p w:rsidRDefault="00924162" w:rsidR="00924162">
            <w:pPr>
              <w:spacing w:after="0"/>
              <w:jc w:val="right"/>
              <w:rPr>
                <w:rFonts w:cs="Times New Roman" w:eastAsia="Times New Roman"/>
                <w:i/>
                <w:iCs/>
                <w:color w:val="000000"/>
                <w:lang w:eastAsia="hr-HR"/>
              </w:rPr>
            </w:pPr>
            <w:r>
              <w:rPr>
                <w:rFonts w:cs="Times New Roman" w:eastAsia="Times New Roman"/>
                <w:i/>
                <w:iCs/>
                <w:color w:val="000000"/>
                <w:lang w:eastAsia="hr-HR"/>
              </w:rPr>
              <w:t>111.666</w:t>
            </w:r>
          </w:p>
        </w:tc>
      </w:tr>
      <w:tr w:rsidTr="00924162" w:rsidR="00924162">
        <w:trPr>
          <w:trHeight w:val="330"/>
        </w:trPr>
        <w:tc>
          <w:tcPr>
            <w:tcW w:type="dxa" w:w="800"/>
            <w:tcBorders>
              <w:top w:val="nil"/>
              <w:left w:space="0" w:sz="8" w:color="000000" w:val="single"/>
              <w:bottom w:space="0" w:sz="8" w:color="000000" w:val="single"/>
              <w:right w:space="0" w:sz="8" w:color="000000" w:val="single"/>
            </w:tcBorders>
            <w:vAlign w:val="bottom"/>
            <w:hideMark/>
          </w:tcPr>
          <w:p w:rsidRDefault="00924162" w:rsidR="00924162">
            <w:pPr>
              <w:spacing w:after="0"/>
              <w:jc w:val="center"/>
              <w:rPr>
                <w:rFonts w:cs="Times New Roman" w:eastAsia="Times New Roman"/>
                <w:i/>
                <w:iCs/>
                <w:color w:val="000000"/>
                <w:lang w:eastAsia="hr-HR"/>
              </w:rPr>
            </w:pPr>
            <w:r>
              <w:rPr>
                <w:rFonts w:cs="Times New Roman" w:eastAsia="Times New Roman"/>
                <w:i/>
                <w:iCs/>
                <w:color w:val="000000"/>
                <w:lang w:eastAsia="hr-HR"/>
              </w:rPr>
              <w:t>5</w:t>
            </w:r>
          </w:p>
        </w:tc>
        <w:tc>
          <w:tcPr>
            <w:tcW w:type="dxa" w:w="5120"/>
            <w:tcBorders>
              <w:top w:val="nil"/>
              <w:left w:val="nil"/>
              <w:bottom w:space="0" w:sz="8" w:color="000000" w:val="single"/>
              <w:right w:space="0" w:sz="8" w:color="000000" w:val="single"/>
            </w:tcBorders>
            <w:vAlign w:val="bottom"/>
            <w:hideMark/>
          </w:tcPr>
          <w:p w:rsidRDefault="00924162" w:rsidR="00924162">
            <w:pPr>
              <w:spacing w:after="0"/>
              <w:rPr>
                <w:rFonts w:cs="Times New Roman" w:eastAsia="Times New Roman"/>
                <w:i/>
                <w:iCs/>
                <w:color w:val="000000"/>
                <w:lang w:eastAsia="hr-HR"/>
              </w:rPr>
            </w:pPr>
            <w:r>
              <w:rPr>
                <w:rFonts w:cs="Times New Roman" w:eastAsia="Times New Roman"/>
                <w:i/>
                <w:iCs/>
                <w:color w:val="000000"/>
                <w:lang w:eastAsia="hr-HR"/>
              </w:rPr>
              <w:t>Obveze za poreze, doprinose i slična davanja</w:t>
            </w:r>
          </w:p>
        </w:tc>
        <w:tc>
          <w:tcPr>
            <w:tcW w:type="dxa" w:w="2640"/>
            <w:tcBorders>
              <w:top w:val="nil"/>
              <w:left w:val="nil"/>
              <w:bottom w:space="0" w:sz="8" w:color="000000" w:val="single"/>
              <w:right w:space="0" w:sz="8" w:color="000000" w:val="single"/>
            </w:tcBorders>
            <w:vAlign w:val="bottom"/>
            <w:hideMark/>
          </w:tcPr>
          <w:p w:rsidRDefault="00924162" w:rsidR="00924162">
            <w:pPr>
              <w:spacing w:after="0"/>
              <w:jc w:val="right"/>
              <w:rPr>
                <w:rFonts w:cs="Times New Roman" w:eastAsia="Times New Roman"/>
                <w:i/>
                <w:iCs/>
                <w:color w:val="000000"/>
                <w:lang w:eastAsia="hr-HR"/>
              </w:rPr>
            </w:pPr>
            <w:r>
              <w:rPr>
                <w:rFonts w:cs="Times New Roman" w:eastAsia="Times New Roman"/>
                <w:i/>
                <w:iCs/>
                <w:color w:val="000000"/>
                <w:lang w:eastAsia="hr-HR"/>
              </w:rPr>
              <w:t>19.300</w:t>
            </w:r>
          </w:p>
        </w:tc>
      </w:tr>
      <w:tr w:rsidTr="00924162" w:rsidR="00924162">
        <w:trPr>
          <w:trHeight w:val="330"/>
        </w:trPr>
        <w:tc>
          <w:tcPr>
            <w:tcW w:type="dxa" w:w="800"/>
            <w:tcBorders>
              <w:top w:val="nil"/>
              <w:left w:space="0" w:sz="8" w:color="000000" w:val="single"/>
              <w:bottom w:space="0" w:sz="8" w:color="000000" w:val="single"/>
              <w:right w:space="0" w:sz="8" w:color="000000" w:val="single"/>
            </w:tcBorders>
            <w:vAlign w:val="bottom"/>
            <w:hideMark/>
          </w:tcPr>
          <w:p w:rsidRDefault="00924162" w:rsidR="00924162">
            <w:pPr>
              <w:spacing w:after="0"/>
              <w:jc w:val="center"/>
              <w:rPr>
                <w:rFonts w:cs="Times New Roman" w:eastAsia="Times New Roman"/>
                <w:i/>
                <w:iCs/>
                <w:color w:val="000000"/>
                <w:lang w:eastAsia="hr-HR"/>
              </w:rPr>
            </w:pPr>
            <w:r>
              <w:rPr>
                <w:rFonts w:cs="Times New Roman" w:eastAsia="Times New Roman"/>
                <w:i/>
                <w:iCs/>
                <w:color w:val="000000"/>
                <w:lang w:eastAsia="hr-HR"/>
              </w:rPr>
              <w:t>6</w:t>
            </w:r>
          </w:p>
        </w:tc>
        <w:tc>
          <w:tcPr>
            <w:tcW w:type="dxa" w:w="5120"/>
            <w:tcBorders>
              <w:top w:val="nil"/>
              <w:left w:val="nil"/>
              <w:bottom w:space="0" w:sz="8" w:color="000000" w:val="single"/>
              <w:right w:space="0" w:sz="8" w:color="000000" w:val="single"/>
            </w:tcBorders>
            <w:vAlign w:val="bottom"/>
            <w:hideMark/>
          </w:tcPr>
          <w:p w:rsidRDefault="00924162" w:rsidR="00924162">
            <w:pPr>
              <w:spacing w:after="0"/>
              <w:rPr>
                <w:rFonts w:cs="Times New Roman" w:eastAsia="Times New Roman"/>
                <w:i/>
                <w:iCs/>
                <w:color w:val="000000"/>
                <w:lang w:eastAsia="hr-HR"/>
              </w:rPr>
            </w:pPr>
            <w:r>
              <w:rPr>
                <w:rFonts w:cs="Times New Roman" w:eastAsia="Times New Roman"/>
                <w:i/>
                <w:iCs/>
                <w:color w:val="000000"/>
                <w:lang w:eastAsia="hr-HR"/>
              </w:rPr>
              <w:t>Ostale kratkoročne obveze</w:t>
            </w:r>
          </w:p>
        </w:tc>
        <w:tc>
          <w:tcPr>
            <w:tcW w:type="dxa" w:w="2640"/>
            <w:tcBorders>
              <w:top w:val="nil"/>
              <w:left w:val="nil"/>
              <w:bottom w:space="0" w:sz="8" w:color="000000" w:val="single"/>
              <w:right w:space="0" w:sz="8" w:color="000000" w:val="single"/>
            </w:tcBorders>
            <w:vAlign w:val="bottom"/>
            <w:hideMark/>
          </w:tcPr>
          <w:p w:rsidRDefault="00924162" w:rsidR="00924162">
            <w:pPr>
              <w:spacing w:after="0"/>
              <w:jc w:val="right"/>
              <w:rPr>
                <w:rFonts w:cs="Times New Roman" w:eastAsia="Times New Roman"/>
                <w:i/>
                <w:iCs/>
                <w:color w:val="000000"/>
                <w:lang w:eastAsia="hr-HR"/>
              </w:rPr>
            </w:pPr>
            <w:r>
              <w:rPr>
                <w:rFonts w:cs="Times New Roman" w:eastAsia="Times New Roman"/>
                <w:i/>
                <w:iCs/>
                <w:color w:val="000000"/>
                <w:lang w:eastAsia="hr-HR"/>
              </w:rPr>
              <w:t>12.110</w:t>
            </w:r>
          </w:p>
        </w:tc>
      </w:tr>
      <w:tr w:rsidTr="00924162" w:rsidR="00924162">
        <w:trPr>
          <w:trHeight w:val="330"/>
        </w:trPr>
        <w:tc>
          <w:tcPr>
            <w:tcW w:type="dxa" w:w="800"/>
            <w:tcBorders>
              <w:top w:val="nil"/>
              <w:left w:space="0" w:sz="8" w:color="000000" w:val="single"/>
              <w:bottom w:space="0" w:sz="8" w:color="000000" w:val="single"/>
              <w:right w:space="0" w:sz="8" w:color="000000" w:val="single"/>
            </w:tcBorders>
            <w:vAlign w:val="bottom"/>
            <w:hideMark/>
          </w:tcPr>
          <w:p w:rsidRDefault="00924162" w:rsidR="00924162">
            <w:pPr>
              <w:spacing w:after="0"/>
              <w:jc w:val="center"/>
              <w:rPr>
                <w:rFonts w:cs="Times New Roman" w:eastAsia="Times New Roman"/>
                <w:b/>
                <w:bCs/>
                <w:i/>
                <w:iCs/>
                <w:color w:val="000000"/>
                <w:lang w:eastAsia="hr-HR"/>
              </w:rPr>
            </w:pPr>
            <w:r>
              <w:rPr>
                <w:rFonts w:cs="Times New Roman" w:eastAsia="Times New Roman"/>
                <w:b/>
                <w:bCs/>
                <w:i/>
                <w:iCs/>
                <w:color w:val="000000"/>
                <w:lang w:eastAsia="hr-HR"/>
              </w:rPr>
              <w:t>II</w:t>
            </w:r>
          </w:p>
        </w:tc>
        <w:tc>
          <w:tcPr>
            <w:tcW w:type="dxa" w:w="5120"/>
            <w:tcBorders>
              <w:top w:val="nil"/>
              <w:left w:val="nil"/>
              <w:bottom w:space="0" w:sz="8" w:color="000000" w:val="single"/>
              <w:right w:space="0" w:sz="8" w:color="000000" w:val="single"/>
            </w:tcBorders>
            <w:vAlign w:val="bottom"/>
            <w:hideMark/>
          </w:tcPr>
          <w:p w:rsidRDefault="00924162" w:rsidR="00924162">
            <w:pPr>
              <w:spacing w:after="0"/>
              <w:rPr>
                <w:rFonts w:cs="Times New Roman" w:eastAsia="Times New Roman"/>
                <w:b/>
                <w:bCs/>
                <w:i/>
                <w:iCs/>
                <w:color w:val="000000"/>
                <w:lang w:eastAsia="hr-HR"/>
              </w:rPr>
            </w:pPr>
            <w:r>
              <w:rPr>
                <w:rFonts w:cs="Times New Roman" w:eastAsia="Times New Roman"/>
                <w:b/>
                <w:bCs/>
                <w:i/>
                <w:iCs/>
                <w:color w:val="000000"/>
                <w:lang w:eastAsia="hr-HR"/>
              </w:rPr>
              <w:t>KRATKOROČNE OBVEZE</w:t>
            </w:r>
          </w:p>
        </w:tc>
        <w:tc>
          <w:tcPr>
            <w:tcW w:type="dxa" w:w="2640"/>
            <w:tcBorders>
              <w:top w:val="nil"/>
              <w:left w:val="nil"/>
              <w:bottom w:space="0" w:sz="8" w:color="000000" w:val="single"/>
              <w:right w:space="0" w:sz="8" w:color="000000" w:val="single"/>
            </w:tcBorders>
            <w:vAlign w:val="bottom"/>
            <w:hideMark/>
          </w:tcPr>
          <w:p w:rsidRDefault="00924162" w:rsidR="00924162">
            <w:pPr>
              <w:spacing w:after="0"/>
              <w:jc w:val="right"/>
              <w:rPr>
                <w:rFonts w:cs="Times New Roman" w:eastAsia="Times New Roman"/>
                <w:b/>
                <w:bCs/>
                <w:i/>
                <w:iCs/>
                <w:color w:val="000000"/>
                <w:lang w:eastAsia="hr-HR"/>
              </w:rPr>
            </w:pPr>
            <w:r>
              <w:rPr>
                <w:rFonts w:cs="Times New Roman" w:eastAsia="Times New Roman"/>
                <w:b/>
                <w:bCs/>
                <w:i/>
                <w:iCs/>
                <w:color w:val="000000"/>
                <w:lang w:eastAsia="hr-HR"/>
              </w:rPr>
              <w:t>1.728.659</w:t>
            </w:r>
          </w:p>
        </w:tc>
      </w:tr>
      <w:tr w:rsidTr="00924162" w:rsidR="00924162">
        <w:trPr>
          <w:trHeight w:val="330"/>
        </w:trPr>
        <w:tc>
          <w:tcPr>
            <w:tcW w:type="dxa" w:w="800"/>
            <w:tcBorders>
              <w:top w:val="nil"/>
              <w:left w:space="0" w:sz="8" w:color="000000" w:val="single"/>
              <w:bottom w:space="0" w:sz="8" w:color="000000" w:val="single"/>
              <w:right w:space="0" w:sz="8" w:color="000000" w:val="single"/>
            </w:tcBorders>
            <w:vAlign w:val="bottom"/>
            <w:hideMark/>
          </w:tcPr>
          <w:p w:rsidRDefault="00924162" w:rsidR="00924162">
            <w:pPr>
              <w:spacing w:after="0"/>
              <w:jc w:val="center"/>
              <w:rPr>
                <w:rFonts w:cs="Times New Roman" w:eastAsia="Times New Roman"/>
                <w:b/>
                <w:bCs/>
                <w:i/>
                <w:iCs/>
                <w:color w:val="000000"/>
                <w:lang w:eastAsia="hr-HR"/>
              </w:rPr>
            </w:pPr>
            <w:r>
              <w:rPr>
                <w:rFonts w:cs="Times New Roman" w:eastAsia="Times New Roman"/>
                <w:b/>
                <w:bCs/>
                <w:i/>
                <w:iCs/>
                <w:color w:val="000000"/>
                <w:lang w:eastAsia="hr-HR"/>
              </w:rPr>
              <w:t>III</w:t>
            </w:r>
          </w:p>
        </w:tc>
        <w:tc>
          <w:tcPr>
            <w:tcW w:type="dxa" w:w="5120"/>
            <w:tcBorders>
              <w:top w:val="nil"/>
              <w:left w:val="nil"/>
              <w:bottom w:space="0" w:sz="8" w:color="000000" w:val="single"/>
              <w:right w:space="0" w:sz="8" w:color="000000" w:val="single"/>
            </w:tcBorders>
            <w:vAlign w:val="bottom"/>
            <w:hideMark/>
          </w:tcPr>
          <w:p w:rsidRDefault="00924162" w:rsidR="00924162">
            <w:pPr>
              <w:spacing w:after="0"/>
              <w:rPr>
                <w:rFonts w:cs="Times New Roman" w:eastAsia="Times New Roman"/>
                <w:b/>
                <w:bCs/>
                <w:i/>
                <w:iCs/>
                <w:color w:val="000000"/>
                <w:lang w:eastAsia="hr-HR"/>
              </w:rPr>
            </w:pPr>
            <w:r>
              <w:rPr>
                <w:rFonts w:cs="Times New Roman" w:eastAsia="Times New Roman"/>
                <w:b/>
                <w:bCs/>
                <w:i/>
                <w:iCs/>
                <w:color w:val="000000"/>
                <w:lang w:eastAsia="hr-HR"/>
              </w:rPr>
              <w:t>VIŠAK LIKVIDNIH SREDSTAVA (I-II)</w:t>
            </w:r>
          </w:p>
        </w:tc>
        <w:tc>
          <w:tcPr>
            <w:tcW w:type="dxa" w:w="2640"/>
            <w:tcBorders>
              <w:top w:val="nil"/>
              <w:left w:val="nil"/>
              <w:bottom w:space="0" w:sz="8" w:color="000000" w:val="single"/>
              <w:right w:space="0" w:sz="8" w:color="000000" w:val="single"/>
            </w:tcBorders>
            <w:vAlign w:val="bottom"/>
            <w:hideMark/>
          </w:tcPr>
          <w:p w:rsidRDefault="00924162" w:rsidR="00924162">
            <w:pPr>
              <w:spacing w:after="0"/>
              <w:jc w:val="right"/>
              <w:rPr>
                <w:rFonts w:cs="Times New Roman" w:eastAsia="Times New Roman"/>
                <w:b/>
                <w:bCs/>
                <w:i/>
                <w:iCs/>
                <w:color w:val="000000"/>
                <w:lang w:eastAsia="hr-HR"/>
              </w:rPr>
            </w:pPr>
            <w:r>
              <w:rPr>
                <w:rFonts w:cs="Times New Roman" w:eastAsia="Times New Roman"/>
                <w:b/>
                <w:bCs/>
                <w:i/>
                <w:iCs/>
                <w:color w:val="000000"/>
                <w:lang w:eastAsia="hr-HR"/>
              </w:rPr>
              <w:t>1.635.295</w:t>
            </w:r>
          </w:p>
        </w:tc>
      </w:tr>
    </w:tbl>
    <w:p w:rsidRDefault="00924162" w:rsidP="00924162" w:rsidR="00924162">
      <w:pPr>
        <w:spacing w:lineRule="auto" w:line="360"/>
        <w:jc w:val="both"/>
        <w:rPr>
          <w:rFonts w:cs="Times New Roman"/>
        </w:rPr>
      </w:pPr>
    </w:p>
    <w:p w:rsidRDefault="00924162" w:rsidP="00924162" w:rsidR="00924162">
      <w:pPr>
        <w:spacing w:lineRule="auto" w:line="360"/>
        <w:jc w:val="both"/>
        <w:rPr>
          <w:rFonts w:cs="Times New Roman"/>
        </w:rPr>
      </w:pPr>
      <w:r>
        <w:rPr>
          <w:rFonts w:cs="Times New Roman"/>
        </w:rPr>
        <w:t xml:space="preserve">Društvo je na dan 30.06.2015. godine iskazalo manjak likvidnih sredstava u iznosu 1.635.295 kn a isti je iskazan kao razlika likvidne imovine i dospjelih obveza. Zbog sezonskog karaktera poslovanja i nedostatka obrtnih sredstava društvo je provelo prisilnu naplatu plaća zaposlenika putem FINE, odnosno ovršilo je vlastiti bankovni račun. Nakon ovrhe radničkih </w:t>
      </w:r>
      <w:proofErr w:type="spellStart"/>
      <w:r>
        <w:rPr>
          <w:rFonts w:cs="Times New Roman"/>
        </w:rPr>
        <w:t>potraživanjna</w:t>
      </w:r>
      <w:proofErr w:type="spellEnd"/>
      <w:r>
        <w:rPr>
          <w:rFonts w:cs="Times New Roman"/>
        </w:rPr>
        <w:t xml:space="preserve">, bankovni račun blokirala je i ERSTE&amp;STEIERMÄRKISCHE BANK d. d. </w:t>
      </w:r>
    </w:p>
    <w:p w:rsidRDefault="00924162" w:rsidP="00924162" w:rsidR="00924162">
      <w:pPr>
        <w:spacing w:lineRule="auto" w:line="360" w:after="0"/>
        <w:rPr>
          <w:rFonts w:cs="Times New Roman"/>
        </w:rPr>
        <w:sectPr w:rsidR="00924162">
          <w:type w:val="continuous"/>
          <w:pgSz w:h="16838" w:w="11906"/>
          <w:pgMar w:gutter="0" w:footer="708" w:header="708" w:left="1417" w:bottom="1417" w:right="1417" w:top="1417"/>
          <w:cols w:space="720"/>
        </w:sectPr>
      </w:pPr>
    </w:p>
    <w:p w:rsidRDefault="00924162" w:rsidP="00924162" w:rsidR="00924162">
      <w:pPr>
        <w:spacing w:lineRule="auto" w:line="360"/>
        <w:rPr>
          <w:rFonts w:cs="Times New Roman"/>
        </w:rPr>
      </w:pPr>
    </w:p>
    <w:p w:rsidRDefault="00924162" w:rsidP="00924162" w:rsidR="00924162">
      <w:pPr>
        <w:pStyle w:val="Naslov1"/>
        <w:rPr>
          <w:rFonts w:cs="Times New Roman"/>
          <w:sz w:val="24"/>
          <w:szCs w:val="24"/>
        </w:rPr>
      </w:pPr>
      <w:bookmarkStart w:name="_Toc458436248" w:id="31"/>
      <w:bookmarkStart w:name="_Toc432416057" w:id="32"/>
      <w:bookmarkStart w:name="_Toc430627155" w:id="33"/>
      <w:r>
        <w:rPr>
          <w:rFonts w:cs="Times New Roman"/>
          <w:sz w:val="24"/>
          <w:szCs w:val="24"/>
        </w:rPr>
        <w:t>3. OPIS MJERA FINANCIJSKOG RESTRUKTURIRANJA</w:t>
      </w:r>
      <w:bookmarkEnd w:id="31"/>
      <w:bookmarkEnd w:id="32"/>
      <w:bookmarkEnd w:id="33"/>
      <w:r>
        <w:rPr>
          <w:rFonts w:cs="Times New Roman"/>
          <w:sz w:val="24"/>
          <w:szCs w:val="24"/>
        </w:rPr>
        <w:br/>
      </w:r>
    </w:p>
    <w:p w:rsidRDefault="00924162" w:rsidP="00924162" w:rsidR="00924162">
      <w:pPr>
        <w:rPr>
          <w:rFonts w:cs="Times New Roman"/>
        </w:rPr>
      </w:pPr>
      <w:r>
        <w:rPr>
          <w:rFonts w:cs="Times New Roman"/>
        </w:rPr>
        <w:t>Obveze društva na dan 30.06.2016. godine po grupama vjerovnika prikazane su u nastavku (iznosi u kn):</w:t>
      </w:r>
    </w:p>
    <w:tbl>
      <w:tblPr>
        <w:tblW w:type="dxa" w:w="13879"/>
        <w:tblInd w:type="dxa" w:w="93"/>
        <w:tblLook w:val="04A0" w:noVBand="1" w:noHBand="0" w:lastColumn="0" w:firstColumn="1" w:lastRow="0" w:firstRow="1"/>
      </w:tblPr>
      <w:tblGrid>
        <w:gridCol w:w="1622"/>
        <w:gridCol w:w="7854"/>
        <w:gridCol w:w="2564"/>
        <w:gridCol w:w="1839"/>
      </w:tblGrid>
      <w:tr w:rsidTr="00924162" w:rsidR="00924162">
        <w:trPr>
          <w:trHeight w:val="645"/>
        </w:trPr>
        <w:tc>
          <w:tcPr>
            <w:tcW w:type="dxa" w:w="1622"/>
            <w:tcBorders>
              <w:top w:space="0" w:sz="8" w:color="auto" w:val="single"/>
              <w:left w:space="0" w:sz="8" w:color="auto" w:val="single"/>
              <w:bottom w:space="0" w:sz="8" w:color="auto" w:val="single"/>
              <w:right w:space="0" w:sz="8" w:color="auto" w:val="single"/>
            </w:tcBorders>
            <w:shd w:fill="E5E0EC" w:color="auto" w:val="clear"/>
            <w:hideMark/>
          </w:tcPr>
          <w:p w:rsidRDefault="00924162" w:rsidR="00924162">
            <w:pPr>
              <w:spacing w:after="0"/>
              <w:rPr>
                <w:rFonts w:cs="Times New Roman" w:eastAsia="Times New Roman"/>
                <w:color w:val="000000"/>
                <w:lang w:eastAsia="hr-HR"/>
              </w:rPr>
            </w:pPr>
            <w:r>
              <w:rPr>
                <w:rFonts w:cs="Times New Roman" w:eastAsia="Times New Roman"/>
                <w:color w:val="000000"/>
                <w:lang w:eastAsia="hr-HR"/>
              </w:rPr>
              <w:t>RB</w:t>
            </w:r>
          </w:p>
        </w:tc>
        <w:tc>
          <w:tcPr>
            <w:tcW w:type="dxa" w:w="7854"/>
            <w:tcBorders>
              <w:top w:space="0" w:sz="8" w:color="auto" w:val="single"/>
              <w:left w:val="nil"/>
              <w:bottom w:space="0" w:sz="8" w:color="auto" w:val="single"/>
              <w:right w:space="0" w:sz="8" w:color="auto" w:val="single"/>
            </w:tcBorders>
            <w:shd w:fill="E5E0EC" w:color="auto" w:val="clear"/>
            <w:hideMark/>
          </w:tcPr>
          <w:p w:rsidRDefault="00924162" w:rsidR="00924162">
            <w:pPr>
              <w:spacing w:after="0"/>
              <w:rPr>
                <w:rFonts w:cs="Times New Roman" w:eastAsia="Times New Roman"/>
                <w:b/>
                <w:bCs/>
                <w:color w:val="000000"/>
                <w:lang w:eastAsia="hr-HR"/>
              </w:rPr>
            </w:pPr>
            <w:r>
              <w:rPr>
                <w:rFonts w:cs="Times New Roman" w:eastAsia="Times New Roman"/>
                <w:b/>
                <w:bCs/>
                <w:color w:val="000000"/>
                <w:lang w:eastAsia="hr-HR"/>
              </w:rPr>
              <w:t>OPIS</w:t>
            </w:r>
          </w:p>
        </w:tc>
        <w:tc>
          <w:tcPr>
            <w:tcW w:type="dxa" w:w="2564"/>
            <w:tcBorders>
              <w:top w:space="0" w:sz="8" w:color="auto" w:val="single"/>
              <w:left w:val="nil"/>
              <w:bottom w:space="0" w:sz="8" w:color="auto" w:val="single"/>
              <w:right w:space="0" w:sz="8" w:color="auto" w:val="single"/>
            </w:tcBorders>
            <w:shd w:fill="E5E0EC" w:color="auto" w:val="clear"/>
            <w:hideMark/>
          </w:tcPr>
          <w:p w:rsidRDefault="00924162" w:rsidR="00924162">
            <w:pPr>
              <w:spacing w:after="0"/>
              <w:rPr>
                <w:rFonts w:cs="Times New Roman" w:eastAsia="Times New Roman"/>
                <w:b/>
                <w:bCs/>
                <w:color w:val="000000"/>
                <w:lang w:eastAsia="hr-HR"/>
              </w:rPr>
            </w:pPr>
            <w:r>
              <w:rPr>
                <w:rFonts w:cs="Times New Roman" w:eastAsia="Times New Roman"/>
                <w:b/>
                <w:bCs/>
                <w:color w:val="000000"/>
                <w:lang w:eastAsia="hr-HR"/>
              </w:rPr>
              <w:t>UKUPNE OBVEZE</w:t>
            </w:r>
          </w:p>
        </w:tc>
        <w:tc>
          <w:tcPr>
            <w:tcW w:type="dxa" w:w="1839"/>
            <w:tcBorders>
              <w:top w:space="0" w:sz="8" w:color="auto" w:val="single"/>
              <w:left w:val="nil"/>
              <w:bottom w:space="0" w:sz="8" w:color="auto" w:val="single"/>
              <w:right w:space="0" w:sz="8" w:color="auto" w:val="single"/>
            </w:tcBorders>
            <w:shd w:fill="E5E0EC" w:color="auto" w:val="clear"/>
            <w:hideMark/>
          </w:tcPr>
          <w:p w:rsidRDefault="00924162" w:rsidR="00924162">
            <w:pPr>
              <w:spacing w:after="0"/>
              <w:jc w:val="center"/>
              <w:rPr>
                <w:rFonts w:cs="Times New Roman" w:eastAsia="Times New Roman"/>
                <w:b/>
                <w:bCs/>
                <w:color w:val="000000"/>
                <w:lang w:eastAsia="hr-HR"/>
              </w:rPr>
            </w:pPr>
            <w:r>
              <w:rPr>
                <w:rFonts w:cs="Times New Roman" w:eastAsia="Times New Roman"/>
                <w:b/>
                <w:bCs/>
                <w:color w:val="000000"/>
                <w:lang w:eastAsia="hr-HR"/>
              </w:rPr>
              <w:t>%</w:t>
            </w:r>
          </w:p>
        </w:tc>
      </w:tr>
      <w:tr w:rsidTr="00924162" w:rsidR="00924162">
        <w:trPr>
          <w:trHeight w:val="645"/>
        </w:trPr>
        <w:tc>
          <w:tcPr>
            <w:tcW w:type="dxa" w:w="1622"/>
            <w:tcBorders>
              <w:top w:val="nil"/>
              <w:left w:space="0" w:sz="8" w:color="auto" w:val="single"/>
              <w:bottom w:space="0" w:sz="8" w:color="auto" w:val="single"/>
              <w:right w:space="0" w:sz="8" w:color="auto" w:val="single"/>
            </w:tcBorders>
            <w:hideMark/>
          </w:tcPr>
          <w:p w:rsidRDefault="00924162" w:rsidR="00924162">
            <w:pPr>
              <w:spacing w:after="0"/>
              <w:rPr>
                <w:rFonts w:cs="Times New Roman" w:eastAsia="Times New Roman"/>
                <w:color w:val="000000"/>
                <w:lang w:eastAsia="hr-HR"/>
              </w:rPr>
            </w:pPr>
            <w:r>
              <w:rPr>
                <w:rFonts w:cs="Times New Roman" w:eastAsia="Times New Roman"/>
                <w:color w:val="000000"/>
                <w:lang w:eastAsia="hr-HR"/>
              </w:rPr>
              <w:t>1.</w:t>
            </w:r>
          </w:p>
        </w:tc>
        <w:tc>
          <w:tcPr>
            <w:tcW w:type="dxa" w:w="7854"/>
            <w:tcBorders>
              <w:top w:val="nil"/>
              <w:left w:val="nil"/>
              <w:bottom w:space="0" w:sz="8" w:color="auto" w:val="single"/>
              <w:right w:space="0" w:sz="8" w:color="auto" w:val="single"/>
            </w:tcBorders>
            <w:hideMark/>
          </w:tcPr>
          <w:p w:rsidRDefault="00924162" w:rsidR="00924162">
            <w:pPr>
              <w:spacing w:after="0"/>
              <w:rPr>
                <w:rFonts w:cs="Times New Roman" w:eastAsia="Times New Roman"/>
                <w:color w:val="000000"/>
                <w:lang w:eastAsia="hr-HR"/>
              </w:rPr>
            </w:pPr>
            <w:r>
              <w:rPr>
                <w:rFonts w:cs="Times New Roman" w:eastAsia="Times New Roman"/>
                <w:color w:val="000000"/>
                <w:lang w:eastAsia="hr-HR"/>
              </w:rPr>
              <w:t>Javna uprava i trgovačka društva u većinskom vlasništvu RH</w:t>
            </w:r>
          </w:p>
        </w:tc>
        <w:tc>
          <w:tcPr>
            <w:tcW w:type="dxa" w:w="2564"/>
            <w:tcBorders>
              <w:top w:val="nil"/>
              <w:left w:val="nil"/>
              <w:bottom w:space="0" w:sz="8" w:color="auto" w:val="single"/>
              <w:right w:space="0" w:sz="8" w:color="auto" w:val="single"/>
            </w:tcBorders>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32.591,48</w:t>
            </w:r>
          </w:p>
        </w:tc>
        <w:tc>
          <w:tcPr>
            <w:tcW w:type="dxa" w:w="1839"/>
            <w:tcBorders>
              <w:top w:val="nil"/>
              <w:left w:val="nil"/>
              <w:bottom w:space="0" w:sz="8" w:color="auto" w:val="single"/>
              <w:right w:space="0" w:sz="8" w:color="auto" w:val="single"/>
            </w:tcBorders>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1,89%</w:t>
            </w:r>
          </w:p>
        </w:tc>
      </w:tr>
      <w:tr w:rsidTr="00924162" w:rsidR="00924162">
        <w:trPr>
          <w:trHeight w:val="330"/>
        </w:trPr>
        <w:tc>
          <w:tcPr>
            <w:tcW w:type="dxa" w:w="1622"/>
            <w:tcBorders>
              <w:top w:val="nil"/>
              <w:left w:space="0" w:sz="8" w:color="auto" w:val="single"/>
              <w:bottom w:space="0" w:sz="8" w:color="auto" w:val="single"/>
              <w:right w:space="0" w:sz="8" w:color="auto" w:val="single"/>
            </w:tcBorders>
            <w:hideMark/>
          </w:tcPr>
          <w:p w:rsidRDefault="00924162" w:rsidR="00924162">
            <w:pPr>
              <w:spacing w:after="0"/>
              <w:rPr>
                <w:rFonts w:cs="Times New Roman" w:eastAsia="Times New Roman"/>
                <w:color w:val="000000"/>
                <w:lang w:eastAsia="hr-HR"/>
              </w:rPr>
            </w:pPr>
            <w:r>
              <w:rPr>
                <w:rFonts w:cs="Times New Roman" w:eastAsia="Times New Roman"/>
                <w:color w:val="000000"/>
                <w:lang w:eastAsia="hr-HR"/>
              </w:rPr>
              <w:t>2.</w:t>
            </w:r>
          </w:p>
        </w:tc>
        <w:tc>
          <w:tcPr>
            <w:tcW w:type="dxa" w:w="7854"/>
            <w:tcBorders>
              <w:top w:val="nil"/>
              <w:left w:val="nil"/>
              <w:bottom w:space="0" w:sz="8" w:color="auto" w:val="single"/>
              <w:right w:space="0" w:sz="8" w:color="auto" w:val="single"/>
            </w:tcBorders>
            <w:hideMark/>
          </w:tcPr>
          <w:p w:rsidRDefault="00924162" w:rsidR="00924162">
            <w:pPr>
              <w:spacing w:after="0"/>
              <w:rPr>
                <w:rFonts w:cs="Times New Roman" w:eastAsia="Times New Roman"/>
                <w:color w:val="000000"/>
                <w:lang w:eastAsia="hr-HR"/>
              </w:rPr>
            </w:pPr>
            <w:r>
              <w:rPr>
                <w:rFonts w:cs="Times New Roman" w:eastAsia="Times New Roman"/>
                <w:color w:val="000000"/>
                <w:lang w:eastAsia="hr-HR"/>
              </w:rPr>
              <w:t>Financijske institucije</w:t>
            </w:r>
          </w:p>
        </w:tc>
        <w:tc>
          <w:tcPr>
            <w:tcW w:type="dxa" w:w="2564"/>
            <w:tcBorders>
              <w:top w:val="nil"/>
              <w:left w:val="nil"/>
              <w:bottom w:space="0" w:sz="8" w:color="auto" w:val="single"/>
              <w:right w:space="0" w:sz="8" w:color="auto" w:val="single"/>
            </w:tcBorders>
            <w:noWrap/>
            <w:vAlign w:val="bottom"/>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262,22</w:t>
            </w:r>
          </w:p>
        </w:tc>
        <w:tc>
          <w:tcPr>
            <w:tcW w:type="dxa" w:w="1839"/>
            <w:tcBorders>
              <w:top w:val="nil"/>
              <w:left w:val="nil"/>
              <w:bottom w:space="0" w:sz="8" w:color="auto" w:val="single"/>
              <w:right w:space="0" w:sz="8" w:color="auto" w:val="single"/>
            </w:tcBorders>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0,02%</w:t>
            </w:r>
          </w:p>
        </w:tc>
      </w:tr>
      <w:tr w:rsidTr="00924162" w:rsidR="00924162">
        <w:trPr>
          <w:trHeight w:val="330"/>
        </w:trPr>
        <w:tc>
          <w:tcPr>
            <w:tcW w:type="dxa" w:w="1622"/>
            <w:tcBorders>
              <w:top w:val="nil"/>
              <w:left w:space="0" w:sz="8" w:color="auto" w:val="single"/>
              <w:bottom w:space="0" w:sz="8" w:color="auto" w:val="single"/>
              <w:right w:space="0" w:sz="8" w:color="auto" w:val="single"/>
            </w:tcBorders>
            <w:hideMark/>
          </w:tcPr>
          <w:p w:rsidRDefault="00924162" w:rsidR="00924162">
            <w:pPr>
              <w:spacing w:after="0"/>
              <w:rPr>
                <w:rFonts w:cs="Times New Roman" w:eastAsia="Times New Roman"/>
                <w:color w:val="000000"/>
                <w:lang w:eastAsia="hr-HR"/>
              </w:rPr>
            </w:pPr>
            <w:r>
              <w:rPr>
                <w:rFonts w:cs="Times New Roman" w:eastAsia="Times New Roman"/>
                <w:color w:val="000000"/>
                <w:lang w:eastAsia="hr-HR"/>
              </w:rPr>
              <w:t>3.</w:t>
            </w:r>
          </w:p>
        </w:tc>
        <w:tc>
          <w:tcPr>
            <w:tcW w:type="dxa" w:w="7854"/>
            <w:tcBorders>
              <w:top w:val="nil"/>
              <w:left w:val="nil"/>
              <w:bottom w:space="0" w:sz="8" w:color="auto" w:val="single"/>
              <w:right w:space="0" w:sz="8" w:color="auto" w:val="single"/>
            </w:tcBorders>
            <w:hideMark/>
          </w:tcPr>
          <w:p w:rsidRDefault="00924162" w:rsidR="00924162">
            <w:pPr>
              <w:spacing w:after="0"/>
              <w:rPr>
                <w:rFonts w:cs="Times New Roman" w:eastAsia="Times New Roman"/>
                <w:color w:val="000000"/>
                <w:lang w:eastAsia="hr-HR"/>
              </w:rPr>
            </w:pPr>
            <w:r>
              <w:rPr>
                <w:rFonts w:cs="Times New Roman" w:eastAsia="Times New Roman"/>
                <w:color w:val="000000"/>
                <w:lang w:eastAsia="hr-HR"/>
              </w:rPr>
              <w:t>Ostali vjerovnici</w:t>
            </w:r>
          </w:p>
        </w:tc>
        <w:tc>
          <w:tcPr>
            <w:tcW w:type="dxa" w:w="2564"/>
            <w:tcBorders>
              <w:top w:val="nil"/>
              <w:left w:val="nil"/>
              <w:bottom w:space="0" w:sz="8" w:color="auto" w:val="single"/>
              <w:right w:space="0" w:sz="8" w:color="auto" w:val="single"/>
            </w:tcBorders>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1.580.020,20</w:t>
            </w:r>
          </w:p>
        </w:tc>
        <w:tc>
          <w:tcPr>
            <w:tcW w:type="dxa" w:w="1839"/>
            <w:tcBorders>
              <w:top w:val="nil"/>
              <w:left w:val="nil"/>
              <w:bottom w:space="0" w:sz="8" w:color="auto" w:val="single"/>
              <w:right w:space="0" w:sz="8" w:color="auto" w:val="single"/>
            </w:tcBorders>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91,40%</w:t>
            </w:r>
          </w:p>
        </w:tc>
      </w:tr>
      <w:tr w:rsidTr="00924162" w:rsidR="00924162">
        <w:trPr>
          <w:trHeight w:val="330"/>
        </w:trPr>
        <w:tc>
          <w:tcPr>
            <w:tcW w:type="dxa" w:w="1622"/>
            <w:tcBorders>
              <w:top w:val="nil"/>
              <w:left w:space="0" w:sz="8" w:color="auto" w:val="single"/>
              <w:bottom w:space="0" w:sz="8" w:color="auto" w:val="single"/>
              <w:right w:space="0" w:sz="8" w:color="auto" w:val="single"/>
            </w:tcBorders>
            <w:hideMark/>
          </w:tcPr>
          <w:p w:rsidRDefault="00924162" w:rsidR="00924162">
            <w:pPr>
              <w:spacing w:after="0"/>
              <w:rPr>
                <w:rFonts w:cs="Times New Roman" w:eastAsia="Times New Roman"/>
                <w:color w:val="000000"/>
                <w:lang w:eastAsia="hr-HR"/>
              </w:rPr>
            </w:pPr>
            <w:r>
              <w:rPr>
                <w:rFonts w:cs="Times New Roman" w:eastAsia="Times New Roman"/>
                <w:color w:val="000000"/>
                <w:lang w:eastAsia="hr-HR"/>
              </w:rPr>
              <w:t>4.</w:t>
            </w:r>
          </w:p>
        </w:tc>
        <w:tc>
          <w:tcPr>
            <w:tcW w:type="dxa" w:w="7854"/>
            <w:tcBorders>
              <w:top w:val="nil"/>
              <w:left w:val="nil"/>
              <w:bottom w:space="0" w:sz="8" w:color="auto" w:val="single"/>
              <w:right w:space="0" w:sz="8" w:color="auto" w:val="single"/>
            </w:tcBorders>
            <w:hideMark/>
          </w:tcPr>
          <w:p w:rsidRDefault="00924162" w:rsidR="00924162">
            <w:pPr>
              <w:spacing w:after="0"/>
              <w:rPr>
                <w:rFonts w:cs="Times New Roman" w:eastAsia="Times New Roman"/>
                <w:color w:val="000000"/>
                <w:lang w:eastAsia="hr-HR"/>
              </w:rPr>
            </w:pPr>
            <w:r>
              <w:rPr>
                <w:rFonts w:cs="Times New Roman" w:eastAsia="Times New Roman"/>
                <w:color w:val="000000"/>
                <w:lang w:eastAsia="hr-HR"/>
              </w:rPr>
              <w:t>Zaposlenici</w:t>
            </w:r>
          </w:p>
        </w:tc>
        <w:tc>
          <w:tcPr>
            <w:tcW w:type="dxa" w:w="2564"/>
            <w:tcBorders>
              <w:top w:val="nil"/>
              <w:left w:val="nil"/>
              <w:bottom w:space="0" w:sz="8" w:color="auto" w:val="single"/>
              <w:right w:space="0" w:sz="8" w:color="auto" w:val="single"/>
            </w:tcBorders>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115.785,00</w:t>
            </w:r>
          </w:p>
        </w:tc>
        <w:tc>
          <w:tcPr>
            <w:tcW w:type="dxa" w:w="1839"/>
            <w:tcBorders>
              <w:top w:val="nil"/>
              <w:left w:val="nil"/>
              <w:bottom w:space="0" w:sz="8" w:color="auto" w:val="single"/>
              <w:right w:space="0" w:sz="8" w:color="auto" w:val="single"/>
            </w:tcBorders>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6,70%</w:t>
            </w:r>
          </w:p>
        </w:tc>
      </w:tr>
      <w:tr w:rsidTr="00924162" w:rsidR="00924162">
        <w:trPr>
          <w:trHeight w:val="330"/>
        </w:trPr>
        <w:tc>
          <w:tcPr>
            <w:tcW w:type="dxa" w:w="1622"/>
            <w:tcBorders>
              <w:top w:val="nil"/>
              <w:left w:space="0" w:sz="8" w:color="auto" w:val="single"/>
              <w:bottom w:space="0" w:sz="8" w:color="auto" w:val="single"/>
              <w:right w:space="0" w:sz="8" w:color="auto" w:val="single"/>
            </w:tcBorders>
            <w:hideMark/>
          </w:tcPr>
          <w:p w:rsidRDefault="00924162" w:rsidR="00924162">
            <w:pPr>
              <w:spacing w:after="0"/>
              <w:rPr>
                <w:rFonts w:cs="Times New Roman" w:eastAsia="Times New Roman"/>
                <w:color w:val="000000"/>
                <w:lang w:eastAsia="hr-HR"/>
              </w:rPr>
            </w:pPr>
            <w:r>
              <w:rPr>
                <w:rFonts w:cs="Times New Roman" w:eastAsia="Times New Roman"/>
                <w:color w:val="000000"/>
                <w:lang w:eastAsia="hr-HR"/>
              </w:rPr>
              <w:t> </w:t>
            </w:r>
          </w:p>
        </w:tc>
        <w:tc>
          <w:tcPr>
            <w:tcW w:type="dxa" w:w="7854"/>
            <w:tcBorders>
              <w:top w:val="nil"/>
              <w:left w:val="nil"/>
              <w:bottom w:space="0" w:sz="8" w:color="auto" w:val="single"/>
              <w:right w:space="0" w:sz="8" w:color="auto" w:val="single"/>
            </w:tcBorders>
            <w:hideMark/>
          </w:tcPr>
          <w:p w:rsidRDefault="00924162" w:rsidR="00924162">
            <w:pPr>
              <w:spacing w:after="0"/>
              <w:rPr>
                <w:rFonts w:cs="Times New Roman" w:eastAsia="Times New Roman"/>
                <w:color w:val="000000"/>
                <w:lang w:eastAsia="hr-HR"/>
              </w:rPr>
            </w:pPr>
            <w:r>
              <w:rPr>
                <w:rFonts w:cs="Times New Roman" w:eastAsia="Times New Roman"/>
                <w:color w:val="000000"/>
                <w:lang w:eastAsia="hr-HR"/>
              </w:rPr>
              <w:t>UKUPNO</w:t>
            </w:r>
          </w:p>
        </w:tc>
        <w:tc>
          <w:tcPr>
            <w:tcW w:type="dxa" w:w="2564"/>
            <w:tcBorders>
              <w:top w:val="nil"/>
              <w:left w:val="nil"/>
              <w:bottom w:space="0" w:sz="8" w:color="auto" w:val="single"/>
              <w:right w:space="0" w:sz="8" w:color="auto" w:val="single"/>
            </w:tcBorders>
            <w:noWrap/>
            <w:vAlign w:val="bottom"/>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1.728.658,90</w:t>
            </w:r>
          </w:p>
        </w:tc>
        <w:tc>
          <w:tcPr>
            <w:tcW w:type="dxa" w:w="1839"/>
            <w:tcBorders>
              <w:top w:val="nil"/>
              <w:left w:val="nil"/>
              <w:bottom w:space="0" w:sz="8" w:color="auto" w:val="single"/>
              <w:right w:space="0" w:sz="8" w:color="auto" w:val="single"/>
            </w:tcBorders>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100,00%</w:t>
            </w:r>
          </w:p>
        </w:tc>
      </w:tr>
    </w:tbl>
    <w:p w:rsidRDefault="00924162" w:rsidP="00924162" w:rsidR="00924162">
      <w:pPr>
        <w:spacing w:before="240"/>
        <w:rPr>
          <w:rFonts w:cs="Times New Roman"/>
        </w:rPr>
      </w:pPr>
    </w:p>
    <w:p w:rsidRDefault="00924162" w:rsidP="00924162" w:rsidR="00924162">
      <w:pPr>
        <w:spacing w:lineRule="auto" w:line="360"/>
        <w:rPr>
          <w:rFonts w:cs="Times New Roman"/>
        </w:rPr>
      </w:pPr>
      <w:r>
        <w:rPr>
          <w:rFonts w:cs="Times New Roman"/>
        </w:rPr>
        <w:t>U svrhu restrukturiranja poslovanja tvrtke potrebno je poduzeti sljedeće mjere:</w:t>
      </w:r>
    </w:p>
    <w:p w:rsidRDefault="00924162" w:rsidP="00924162" w:rsidR="00924162">
      <w:pPr>
        <w:suppressLineNumbers/>
        <w:tabs>
          <w:tab w:pos="340" w:val="left"/>
          <w:tab w:pos="426" w:val="center"/>
          <w:tab w:pos="720" w:val="left"/>
          <w:tab w:pos="4320" w:val="center"/>
          <w:tab w:pos="8640" w:val="right"/>
        </w:tabs>
        <w:spacing w:lineRule="auto" w:line="360"/>
        <w:ind w:right="-64" w:left="-46"/>
        <w:jc w:val="both"/>
        <w:rPr>
          <w:rFonts w:cs="Times New Roman"/>
          <w:i/>
        </w:rPr>
      </w:pPr>
      <w:r>
        <w:rPr>
          <w:rFonts w:cs="Times New Roman"/>
          <w:b/>
          <w:i/>
          <w:u w:val="single"/>
        </w:rPr>
        <w:t xml:space="preserve">Za prvu grupu vjerovnika: </w:t>
      </w:r>
    </w:p>
    <w:p w:rsidRDefault="00924162" w:rsidP="00924162" w:rsidR="00924162">
      <w:pPr>
        <w:spacing w:lineRule="auto" w:line="360"/>
        <w:jc w:val="both"/>
        <w:rPr>
          <w:rFonts w:cs="Times New Roman"/>
        </w:rPr>
      </w:pPr>
      <w:r>
        <w:rPr>
          <w:rFonts w:cs="Times New Roman"/>
        </w:rPr>
        <w:t xml:space="preserve">Dug prema Javnoj upravi i trgovačkim društvima u većinskom vlasništvu RH na dan 30.06.2016. godine iznosi </w:t>
      </w:r>
      <w:r>
        <w:rPr>
          <w:rFonts w:cs="Times New Roman" w:eastAsia="Times New Roman"/>
          <w:color w:val="000000"/>
          <w:lang w:eastAsia="hr-HR"/>
        </w:rPr>
        <w:t>32.591,48</w:t>
      </w:r>
      <w:r>
        <w:rPr>
          <w:rFonts w:cs="Times New Roman"/>
        </w:rPr>
        <w:t xml:space="preserve"> kn. Kod Ministarstva financija i drugih tijela javne uprave i trgovačkih društava u većinskom državnom vlasništvu predviđen je otpis 70% ukupno utvrđene tražbine, te nakon dvije godine počeka, obročna otplata 30% ukupno utvrđene tražbine u 60 jednakih mjesečnih obroka (anuiteta) uz propisanu kamatu od 4,5% godišnje, a sve počevši od dana pravomoćnosti Rješenja o sklopljenoj </w:t>
      </w:r>
      <w:proofErr w:type="spellStart"/>
      <w:r>
        <w:rPr>
          <w:rFonts w:cs="Times New Roman"/>
        </w:rPr>
        <w:t>predstečajnoj</w:t>
      </w:r>
      <w:proofErr w:type="spellEnd"/>
      <w:r>
        <w:rPr>
          <w:rFonts w:cs="Times New Roman"/>
        </w:rPr>
        <w:t xml:space="preserve"> nagodbi pred Trgovačkim sudom. Prioritetne tražbine prema državi će se izuzeti iz nagodbe i one će se prioritetno podmiriti.</w:t>
      </w:r>
    </w:p>
    <w:tbl>
      <w:tblPr>
        <w:tblW w:type="dxa" w:w="14381"/>
        <w:tblInd w:type="dxa" w:w="93"/>
        <w:tblLook w:val="04A0" w:noVBand="1" w:noHBand="0" w:lastColumn="0" w:firstColumn="1" w:lastRow="0" w:firstRow="1"/>
      </w:tblPr>
      <w:tblGrid>
        <w:gridCol w:w="681"/>
        <w:gridCol w:w="2684"/>
        <w:gridCol w:w="1555"/>
        <w:gridCol w:w="2752"/>
        <w:gridCol w:w="1188"/>
        <w:gridCol w:w="935"/>
        <w:gridCol w:w="1605"/>
        <w:gridCol w:w="1605"/>
        <w:gridCol w:w="1404"/>
      </w:tblGrid>
      <w:tr w:rsidTr="00924162" w:rsidR="00924162">
        <w:trPr>
          <w:trHeight w:val="1030"/>
        </w:trPr>
        <w:tc>
          <w:tcPr>
            <w:tcW w:type="dxa" w:w="681"/>
            <w:tcBorders>
              <w:top w:space="0" w:sz="4" w:color="auto" w:val="single"/>
              <w:left w:space="0" w:sz="4" w:color="auto" w:val="single"/>
              <w:bottom w:space="0" w:sz="4" w:color="auto" w:val="single"/>
              <w:right w:space="0" w:sz="4" w:color="auto" w:val="single"/>
            </w:tcBorders>
            <w:shd w:fill="E5E0EC" w:color="auto" w:val="clear"/>
            <w:noWrap/>
            <w:vAlign w:val="bottom"/>
            <w:hideMark/>
          </w:tcPr>
          <w:p w:rsidRDefault="00924162" w:rsidR="00924162">
            <w:pPr>
              <w:spacing w:after="0"/>
              <w:jc w:val="center"/>
              <w:rPr>
                <w:rFonts w:cs="Times New Roman" w:eastAsia="Times New Roman"/>
                <w:b/>
                <w:bCs/>
                <w:color w:val="000000"/>
                <w:sz w:val="20"/>
                <w:szCs w:val="20"/>
                <w:lang w:eastAsia="hr-HR"/>
              </w:rPr>
            </w:pPr>
            <w:r>
              <w:rPr>
                <w:rFonts w:cs="Times New Roman" w:eastAsia="Times New Roman"/>
                <w:b/>
                <w:bCs/>
                <w:color w:val="000000"/>
                <w:sz w:val="20"/>
                <w:szCs w:val="20"/>
                <w:lang w:eastAsia="hr-HR"/>
              </w:rPr>
              <w:lastRenderedPageBreak/>
              <w:t>RBR</w:t>
            </w:r>
          </w:p>
        </w:tc>
        <w:tc>
          <w:tcPr>
            <w:tcW w:type="dxa" w:w="2684"/>
            <w:tcBorders>
              <w:top w:space="0" w:sz="4" w:color="auto" w:val="single"/>
              <w:left w:val="nil"/>
              <w:bottom w:space="0" w:sz="4" w:color="auto" w:val="single"/>
              <w:right w:space="0" w:sz="4" w:color="auto" w:val="single"/>
            </w:tcBorders>
            <w:shd w:fill="E5E0EC" w:color="auto" w:val="clear"/>
            <w:vAlign w:val="bottom"/>
            <w:hideMark/>
          </w:tcPr>
          <w:p w:rsidRDefault="00924162" w:rsidR="00924162">
            <w:pPr>
              <w:spacing w:after="0"/>
              <w:jc w:val="center"/>
              <w:rPr>
                <w:rFonts w:cs="Times New Roman" w:eastAsia="Times New Roman"/>
                <w:b/>
                <w:bCs/>
                <w:color w:val="000000"/>
                <w:sz w:val="20"/>
                <w:szCs w:val="20"/>
                <w:lang w:eastAsia="hr-HR"/>
              </w:rPr>
            </w:pPr>
            <w:r>
              <w:rPr>
                <w:rFonts w:cs="Times New Roman" w:eastAsia="Times New Roman"/>
                <w:b/>
                <w:bCs/>
                <w:color w:val="000000"/>
                <w:sz w:val="20"/>
                <w:szCs w:val="20"/>
                <w:lang w:eastAsia="hr-HR"/>
              </w:rPr>
              <w:t>NAZIV VJEROVNIKA</w:t>
            </w:r>
          </w:p>
        </w:tc>
        <w:tc>
          <w:tcPr>
            <w:tcW w:type="dxa" w:w="1538"/>
            <w:tcBorders>
              <w:top w:space="0" w:sz="4" w:color="auto" w:val="single"/>
              <w:left w:val="nil"/>
              <w:bottom w:space="0" w:sz="4" w:color="auto" w:val="single"/>
              <w:right w:space="0" w:sz="4" w:color="auto" w:val="single"/>
            </w:tcBorders>
            <w:shd w:fill="E5E0EC" w:color="auto" w:val="clear"/>
            <w:vAlign w:val="bottom"/>
            <w:hideMark/>
          </w:tcPr>
          <w:p w:rsidRDefault="00924162" w:rsidR="00924162">
            <w:pPr>
              <w:spacing w:after="0"/>
              <w:jc w:val="center"/>
              <w:rPr>
                <w:rFonts w:cs="Times New Roman" w:eastAsia="Times New Roman"/>
                <w:b/>
                <w:bCs/>
                <w:color w:val="000000"/>
                <w:sz w:val="20"/>
                <w:szCs w:val="20"/>
                <w:lang w:eastAsia="hr-HR"/>
              </w:rPr>
            </w:pPr>
            <w:r>
              <w:rPr>
                <w:rFonts w:cs="Times New Roman" w:eastAsia="Times New Roman"/>
                <w:b/>
                <w:bCs/>
                <w:color w:val="000000"/>
                <w:sz w:val="20"/>
                <w:szCs w:val="20"/>
                <w:lang w:eastAsia="hr-HR"/>
              </w:rPr>
              <w:t>OIB</w:t>
            </w:r>
          </w:p>
        </w:tc>
        <w:tc>
          <w:tcPr>
            <w:tcW w:type="dxa" w:w="2752"/>
            <w:tcBorders>
              <w:top w:space="0" w:sz="4" w:color="auto" w:val="single"/>
              <w:left w:val="nil"/>
              <w:bottom w:space="0" w:sz="4" w:color="auto" w:val="single"/>
              <w:right w:space="0" w:sz="4" w:color="auto" w:val="single"/>
            </w:tcBorders>
            <w:shd w:fill="E5E0EC" w:color="auto" w:val="clear"/>
            <w:vAlign w:val="bottom"/>
            <w:hideMark/>
          </w:tcPr>
          <w:p w:rsidRDefault="00924162" w:rsidR="00924162">
            <w:pPr>
              <w:spacing w:after="0"/>
              <w:jc w:val="center"/>
              <w:rPr>
                <w:rFonts w:cs="Times New Roman" w:eastAsia="Times New Roman"/>
                <w:b/>
                <w:bCs/>
                <w:color w:val="000000"/>
                <w:sz w:val="20"/>
                <w:szCs w:val="20"/>
                <w:lang w:eastAsia="hr-HR"/>
              </w:rPr>
            </w:pPr>
            <w:r>
              <w:rPr>
                <w:rFonts w:cs="Times New Roman" w:eastAsia="Times New Roman"/>
                <w:b/>
                <w:bCs/>
                <w:color w:val="000000"/>
                <w:sz w:val="20"/>
                <w:szCs w:val="20"/>
                <w:lang w:eastAsia="hr-HR"/>
              </w:rPr>
              <w:t>ADRESA</w:t>
            </w:r>
          </w:p>
        </w:tc>
        <w:tc>
          <w:tcPr>
            <w:tcW w:type="dxa" w:w="1180"/>
            <w:tcBorders>
              <w:top w:space="0" w:sz="4" w:color="auto" w:val="single"/>
              <w:left w:val="nil"/>
              <w:bottom w:space="0" w:sz="4" w:color="auto" w:val="single"/>
              <w:right w:space="0" w:sz="4" w:color="auto" w:val="single"/>
            </w:tcBorders>
            <w:shd w:fill="E5E0EC" w:color="auto" w:val="clear"/>
            <w:vAlign w:val="bottom"/>
            <w:hideMark/>
          </w:tcPr>
          <w:p w:rsidRDefault="00924162" w:rsidR="00924162">
            <w:pPr>
              <w:spacing w:after="0"/>
              <w:jc w:val="center"/>
              <w:rPr>
                <w:rFonts w:cs="Times New Roman" w:eastAsia="Times New Roman"/>
                <w:b/>
                <w:bCs/>
                <w:color w:val="000000"/>
                <w:sz w:val="20"/>
                <w:szCs w:val="20"/>
                <w:lang w:eastAsia="hr-HR"/>
              </w:rPr>
            </w:pPr>
            <w:r>
              <w:rPr>
                <w:rFonts w:cs="Times New Roman" w:eastAsia="Times New Roman"/>
                <w:b/>
                <w:bCs/>
                <w:color w:val="000000"/>
                <w:sz w:val="20"/>
                <w:szCs w:val="20"/>
                <w:lang w:eastAsia="hr-HR"/>
              </w:rPr>
              <w:t>IZNOS</w:t>
            </w:r>
          </w:p>
        </w:tc>
        <w:tc>
          <w:tcPr>
            <w:tcW w:type="dxa" w:w="932"/>
            <w:tcBorders>
              <w:top w:space="0" w:sz="4" w:color="auto" w:val="single"/>
              <w:left w:val="nil"/>
              <w:bottom w:space="0" w:sz="4" w:color="auto" w:val="single"/>
              <w:right w:space="0" w:sz="4" w:color="auto" w:val="single"/>
            </w:tcBorders>
            <w:shd w:fill="E5E0EC" w:color="auto" w:val="clear"/>
            <w:vAlign w:val="bottom"/>
            <w:hideMark/>
          </w:tcPr>
          <w:p w:rsidRDefault="00924162" w:rsidR="00924162">
            <w:pPr>
              <w:spacing w:after="0"/>
              <w:jc w:val="center"/>
              <w:rPr>
                <w:rFonts w:cs="Times New Roman" w:eastAsia="Times New Roman"/>
                <w:b/>
                <w:bCs/>
                <w:color w:val="000000"/>
                <w:sz w:val="20"/>
                <w:szCs w:val="20"/>
                <w:lang w:eastAsia="hr-HR"/>
              </w:rPr>
            </w:pPr>
            <w:r>
              <w:rPr>
                <w:rFonts w:cs="Times New Roman" w:eastAsia="Times New Roman"/>
                <w:b/>
                <w:bCs/>
                <w:color w:val="000000"/>
                <w:sz w:val="20"/>
                <w:szCs w:val="20"/>
                <w:lang w:eastAsia="hr-HR"/>
              </w:rPr>
              <w:t>OTPIS</w:t>
            </w:r>
          </w:p>
        </w:tc>
        <w:tc>
          <w:tcPr>
            <w:tcW w:type="dxa" w:w="1605"/>
            <w:tcBorders>
              <w:top w:space="0" w:sz="4" w:color="auto" w:val="single"/>
              <w:left w:val="nil"/>
              <w:bottom w:space="0" w:sz="4" w:color="auto" w:val="single"/>
              <w:right w:space="0" w:sz="4" w:color="auto" w:val="single"/>
            </w:tcBorders>
            <w:shd w:fill="E5E0EC" w:color="auto" w:val="clear"/>
            <w:vAlign w:val="bottom"/>
            <w:hideMark/>
          </w:tcPr>
          <w:p w:rsidRDefault="00924162" w:rsidR="00924162">
            <w:pPr>
              <w:spacing w:after="0"/>
              <w:rPr>
                <w:rFonts w:cs="Times New Roman" w:eastAsia="Times New Roman"/>
                <w:b/>
                <w:bCs/>
                <w:color w:val="000000"/>
                <w:sz w:val="20"/>
                <w:szCs w:val="20"/>
                <w:lang w:eastAsia="hr-HR"/>
              </w:rPr>
            </w:pPr>
            <w:r>
              <w:rPr>
                <w:rFonts w:cs="Times New Roman" w:eastAsia="Times New Roman"/>
                <w:b/>
                <w:bCs/>
                <w:color w:val="000000"/>
                <w:sz w:val="20"/>
                <w:szCs w:val="20"/>
                <w:lang w:eastAsia="hr-HR"/>
              </w:rPr>
              <w:t>OTPISANA VRIJEDNOST</w:t>
            </w:r>
          </w:p>
        </w:tc>
        <w:tc>
          <w:tcPr>
            <w:tcW w:type="dxa" w:w="1605"/>
            <w:tcBorders>
              <w:top w:space="0" w:sz="4" w:color="auto" w:val="single"/>
              <w:left w:val="nil"/>
              <w:bottom w:space="0" w:sz="4" w:color="auto" w:val="single"/>
              <w:right w:space="0" w:sz="4" w:color="auto" w:val="single"/>
            </w:tcBorders>
            <w:shd w:fill="E5E0EC" w:color="auto" w:val="clear"/>
            <w:vAlign w:val="bottom"/>
            <w:hideMark/>
          </w:tcPr>
          <w:p w:rsidRDefault="00924162" w:rsidR="00924162">
            <w:pPr>
              <w:spacing w:after="0"/>
              <w:rPr>
                <w:rFonts w:cs="Times New Roman" w:eastAsia="Times New Roman"/>
                <w:b/>
                <w:bCs/>
                <w:color w:val="000000"/>
                <w:sz w:val="20"/>
                <w:szCs w:val="20"/>
                <w:lang w:eastAsia="hr-HR"/>
              </w:rPr>
            </w:pPr>
            <w:r>
              <w:rPr>
                <w:rFonts w:cs="Times New Roman" w:eastAsia="Times New Roman"/>
                <w:b/>
                <w:bCs/>
                <w:color w:val="000000"/>
                <w:sz w:val="20"/>
                <w:szCs w:val="20"/>
                <w:lang w:eastAsia="hr-HR"/>
              </w:rPr>
              <w:t>VRIJEDNOST OTPLATE</w:t>
            </w:r>
          </w:p>
        </w:tc>
        <w:tc>
          <w:tcPr>
            <w:tcW w:type="dxa" w:w="1404"/>
            <w:tcBorders>
              <w:top w:space="0" w:sz="4" w:color="auto" w:val="single"/>
              <w:left w:val="nil"/>
              <w:bottom w:space="0" w:sz="4" w:color="auto" w:val="single"/>
              <w:right w:space="0" w:sz="4" w:color="auto" w:val="single"/>
            </w:tcBorders>
            <w:shd w:fill="E5E0EC" w:color="auto" w:val="clear"/>
            <w:vAlign w:val="bottom"/>
            <w:hideMark/>
          </w:tcPr>
          <w:p w:rsidRDefault="00924162" w:rsidR="00924162">
            <w:pPr>
              <w:spacing w:after="0"/>
              <w:rPr>
                <w:rFonts w:cs="Times New Roman" w:eastAsia="Times New Roman"/>
                <w:b/>
                <w:bCs/>
                <w:color w:val="000000"/>
                <w:sz w:val="20"/>
                <w:szCs w:val="20"/>
                <w:lang w:eastAsia="hr-HR"/>
              </w:rPr>
            </w:pPr>
            <w:r>
              <w:rPr>
                <w:rFonts w:cs="Times New Roman" w:eastAsia="Times New Roman"/>
                <w:b/>
                <w:bCs/>
                <w:color w:val="000000"/>
                <w:sz w:val="20"/>
                <w:szCs w:val="20"/>
                <w:lang w:eastAsia="hr-HR"/>
              </w:rPr>
              <w:t>MJESEČNA RATA BEZ KAMATA</w:t>
            </w:r>
          </w:p>
        </w:tc>
      </w:tr>
      <w:tr w:rsidTr="00924162" w:rsidR="00924162">
        <w:trPr>
          <w:trHeight w:val="298"/>
        </w:trPr>
        <w:tc>
          <w:tcPr>
            <w:tcW w:type="dxa" w:w="681"/>
            <w:tcBorders>
              <w:top w:val="nil"/>
              <w:left w:space="0" w:sz="4" w:color="auto" w:val="single"/>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w:t>
            </w:r>
          </w:p>
        </w:tc>
        <w:tc>
          <w:tcPr>
            <w:tcW w:type="dxa" w:w="2684"/>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GRAD BJELOVAR</w:t>
            </w:r>
          </w:p>
        </w:tc>
        <w:tc>
          <w:tcPr>
            <w:tcW w:type="dxa" w:w="1538"/>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18970641692</w:t>
            </w:r>
          </w:p>
        </w:tc>
        <w:tc>
          <w:tcPr>
            <w:tcW w:type="dxa" w:w="2752"/>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43 000 Bjelovar, Trg Eugena Kvaternika 2</w:t>
            </w:r>
          </w:p>
        </w:tc>
        <w:tc>
          <w:tcPr>
            <w:tcW w:type="dxa" w:w="1180"/>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637,35</w:t>
            </w:r>
          </w:p>
        </w:tc>
        <w:tc>
          <w:tcPr>
            <w:tcW w:type="dxa" w:w="932"/>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70,00%</w:t>
            </w:r>
          </w:p>
        </w:tc>
        <w:tc>
          <w:tcPr>
            <w:tcW w:type="dxa" w:w="1605"/>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446,15</w:t>
            </w:r>
          </w:p>
        </w:tc>
        <w:tc>
          <w:tcPr>
            <w:tcW w:type="dxa" w:w="1605"/>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191,21</w:t>
            </w:r>
          </w:p>
        </w:tc>
        <w:tc>
          <w:tcPr>
            <w:tcW w:type="dxa" w:w="1404"/>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3,19</w:t>
            </w:r>
          </w:p>
        </w:tc>
      </w:tr>
      <w:tr w:rsidTr="00924162" w:rsidR="00924162">
        <w:trPr>
          <w:trHeight w:val="298"/>
        </w:trPr>
        <w:tc>
          <w:tcPr>
            <w:tcW w:type="dxa" w:w="681"/>
            <w:tcBorders>
              <w:top w:val="nil"/>
              <w:left w:space="0" w:sz="4" w:color="auto" w:val="single"/>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2.</w:t>
            </w:r>
          </w:p>
        </w:tc>
        <w:tc>
          <w:tcPr>
            <w:tcW w:type="dxa" w:w="2684"/>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HEP-Operator distribucijskog sustava d.o.o.</w:t>
            </w:r>
          </w:p>
        </w:tc>
        <w:tc>
          <w:tcPr>
            <w:tcW w:type="dxa" w:w="1538"/>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46830600751</w:t>
            </w:r>
          </w:p>
        </w:tc>
        <w:tc>
          <w:tcPr>
            <w:tcW w:type="dxa" w:w="2752"/>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10 000 Zagreb, Ulica grada Vukovara 37</w:t>
            </w:r>
          </w:p>
        </w:tc>
        <w:tc>
          <w:tcPr>
            <w:tcW w:type="dxa" w:w="1180"/>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1.804,15</w:t>
            </w:r>
          </w:p>
        </w:tc>
        <w:tc>
          <w:tcPr>
            <w:tcW w:type="dxa" w:w="932"/>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70,00%</w:t>
            </w:r>
          </w:p>
        </w:tc>
        <w:tc>
          <w:tcPr>
            <w:tcW w:type="dxa" w:w="1605"/>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1.262,91</w:t>
            </w:r>
          </w:p>
        </w:tc>
        <w:tc>
          <w:tcPr>
            <w:tcW w:type="dxa" w:w="1605"/>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541,25</w:t>
            </w:r>
          </w:p>
        </w:tc>
        <w:tc>
          <w:tcPr>
            <w:tcW w:type="dxa" w:w="1404"/>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9,02</w:t>
            </w:r>
          </w:p>
        </w:tc>
      </w:tr>
      <w:tr w:rsidTr="00924162" w:rsidR="00924162">
        <w:trPr>
          <w:trHeight w:val="298"/>
        </w:trPr>
        <w:tc>
          <w:tcPr>
            <w:tcW w:type="dxa" w:w="681"/>
            <w:tcBorders>
              <w:top w:val="nil"/>
              <w:left w:space="0" w:sz="4" w:color="auto" w:val="single"/>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3.</w:t>
            </w:r>
          </w:p>
        </w:tc>
        <w:tc>
          <w:tcPr>
            <w:tcW w:type="dxa" w:w="2684"/>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HEP-Opskrba d.o.o.</w:t>
            </w:r>
          </w:p>
        </w:tc>
        <w:tc>
          <w:tcPr>
            <w:tcW w:type="dxa" w:w="1538"/>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63073332379</w:t>
            </w:r>
          </w:p>
        </w:tc>
        <w:tc>
          <w:tcPr>
            <w:tcW w:type="dxa" w:w="2752"/>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10 000 Zagreb, Ulica grada Vukovara 37</w:t>
            </w:r>
          </w:p>
        </w:tc>
        <w:tc>
          <w:tcPr>
            <w:tcW w:type="dxa" w:w="1180"/>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845,03</w:t>
            </w:r>
          </w:p>
        </w:tc>
        <w:tc>
          <w:tcPr>
            <w:tcW w:type="dxa" w:w="932"/>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70,00%</w:t>
            </w:r>
          </w:p>
        </w:tc>
        <w:tc>
          <w:tcPr>
            <w:tcW w:type="dxa" w:w="1605"/>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591,52</w:t>
            </w:r>
          </w:p>
        </w:tc>
        <w:tc>
          <w:tcPr>
            <w:tcW w:type="dxa" w:w="1605"/>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253,51</w:t>
            </w:r>
          </w:p>
        </w:tc>
        <w:tc>
          <w:tcPr>
            <w:tcW w:type="dxa" w:w="1404"/>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4,23</w:t>
            </w:r>
          </w:p>
        </w:tc>
      </w:tr>
      <w:tr w:rsidTr="00924162" w:rsidR="00924162">
        <w:trPr>
          <w:trHeight w:val="298"/>
        </w:trPr>
        <w:tc>
          <w:tcPr>
            <w:tcW w:type="dxa" w:w="681"/>
            <w:tcBorders>
              <w:top w:val="nil"/>
              <w:left w:space="0" w:sz="4" w:color="auto" w:val="single"/>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w:t>
            </w:r>
          </w:p>
        </w:tc>
        <w:tc>
          <w:tcPr>
            <w:tcW w:type="dxa" w:w="2684"/>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KOMUNALAC d.o.o.</w:t>
            </w:r>
          </w:p>
        </w:tc>
        <w:tc>
          <w:tcPr>
            <w:tcW w:type="dxa" w:w="1538"/>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27962400486</w:t>
            </w:r>
          </w:p>
        </w:tc>
        <w:tc>
          <w:tcPr>
            <w:tcW w:type="dxa" w:w="2752"/>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43 000 Bjelovar, Ferde Livadića 14a</w:t>
            </w:r>
          </w:p>
        </w:tc>
        <w:tc>
          <w:tcPr>
            <w:tcW w:type="dxa" w:w="1180"/>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1.514,61</w:t>
            </w:r>
          </w:p>
        </w:tc>
        <w:tc>
          <w:tcPr>
            <w:tcW w:type="dxa" w:w="932"/>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70,00%</w:t>
            </w:r>
          </w:p>
        </w:tc>
        <w:tc>
          <w:tcPr>
            <w:tcW w:type="dxa" w:w="1605"/>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1.060,23</w:t>
            </w:r>
          </w:p>
        </w:tc>
        <w:tc>
          <w:tcPr>
            <w:tcW w:type="dxa" w:w="1605"/>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454,38</w:t>
            </w:r>
          </w:p>
        </w:tc>
        <w:tc>
          <w:tcPr>
            <w:tcW w:type="dxa" w:w="1404"/>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7,57</w:t>
            </w:r>
          </w:p>
        </w:tc>
      </w:tr>
      <w:tr w:rsidTr="00924162" w:rsidR="00924162">
        <w:trPr>
          <w:trHeight w:val="298"/>
        </w:trPr>
        <w:tc>
          <w:tcPr>
            <w:tcW w:type="dxa" w:w="681"/>
            <w:tcBorders>
              <w:top w:val="nil"/>
              <w:left w:space="0" w:sz="4" w:color="auto" w:val="single"/>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5.</w:t>
            </w:r>
          </w:p>
        </w:tc>
        <w:tc>
          <w:tcPr>
            <w:tcW w:type="dxa" w:w="2684"/>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MINISTARSTVO FINANCIJA - POREZNA UPRAVA</w:t>
            </w:r>
          </w:p>
        </w:tc>
        <w:tc>
          <w:tcPr>
            <w:tcW w:type="dxa" w:w="1538"/>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18683136487</w:t>
            </w:r>
          </w:p>
        </w:tc>
        <w:tc>
          <w:tcPr>
            <w:tcW w:type="dxa" w:w="2752"/>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43 000 Bjelovar, dr. A. Starčevića 8</w:t>
            </w:r>
          </w:p>
        </w:tc>
        <w:tc>
          <w:tcPr>
            <w:tcW w:type="dxa" w:w="1180"/>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19.300,00</w:t>
            </w:r>
          </w:p>
        </w:tc>
        <w:tc>
          <w:tcPr>
            <w:tcW w:type="dxa" w:w="932"/>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70,00%</w:t>
            </w:r>
          </w:p>
        </w:tc>
        <w:tc>
          <w:tcPr>
            <w:tcW w:type="dxa" w:w="1605"/>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13.510,00</w:t>
            </w:r>
          </w:p>
        </w:tc>
        <w:tc>
          <w:tcPr>
            <w:tcW w:type="dxa" w:w="1605"/>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5.790,00</w:t>
            </w:r>
          </w:p>
        </w:tc>
        <w:tc>
          <w:tcPr>
            <w:tcW w:type="dxa" w:w="1404"/>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96,50</w:t>
            </w:r>
          </w:p>
        </w:tc>
      </w:tr>
      <w:tr w:rsidTr="00924162" w:rsidR="00924162">
        <w:trPr>
          <w:trHeight w:val="298"/>
        </w:trPr>
        <w:tc>
          <w:tcPr>
            <w:tcW w:type="dxa" w:w="681"/>
            <w:tcBorders>
              <w:top w:val="nil"/>
              <w:left w:space="0" w:sz="4" w:color="auto" w:val="single"/>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6.</w:t>
            </w:r>
          </w:p>
        </w:tc>
        <w:tc>
          <w:tcPr>
            <w:tcW w:type="dxa" w:w="2684"/>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OPĆINA VELIKA PISANICA</w:t>
            </w:r>
          </w:p>
        </w:tc>
        <w:tc>
          <w:tcPr>
            <w:tcW w:type="dxa" w:w="1538"/>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18872765530</w:t>
            </w:r>
          </w:p>
        </w:tc>
        <w:tc>
          <w:tcPr>
            <w:tcW w:type="dxa" w:w="2752"/>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43 271 Velika Pisanica, Trg hrvatskih branitelja 3</w:t>
            </w:r>
          </w:p>
        </w:tc>
        <w:tc>
          <w:tcPr>
            <w:tcW w:type="dxa" w:w="1180"/>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7.991,00</w:t>
            </w:r>
          </w:p>
        </w:tc>
        <w:tc>
          <w:tcPr>
            <w:tcW w:type="dxa" w:w="932"/>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70,00%</w:t>
            </w:r>
          </w:p>
        </w:tc>
        <w:tc>
          <w:tcPr>
            <w:tcW w:type="dxa" w:w="1605"/>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5.593,70</w:t>
            </w:r>
          </w:p>
        </w:tc>
        <w:tc>
          <w:tcPr>
            <w:tcW w:type="dxa" w:w="1605"/>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2.397,30</w:t>
            </w:r>
          </w:p>
        </w:tc>
        <w:tc>
          <w:tcPr>
            <w:tcW w:type="dxa" w:w="1404"/>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39,96</w:t>
            </w:r>
          </w:p>
        </w:tc>
      </w:tr>
      <w:tr w:rsidTr="00924162" w:rsidR="00924162">
        <w:trPr>
          <w:trHeight w:val="298"/>
        </w:trPr>
        <w:tc>
          <w:tcPr>
            <w:tcW w:type="dxa" w:w="681"/>
            <w:tcBorders>
              <w:top w:val="nil"/>
              <w:left w:space="0" w:sz="4" w:color="auto" w:val="single"/>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7.</w:t>
            </w:r>
          </w:p>
        </w:tc>
        <w:tc>
          <w:tcPr>
            <w:tcW w:type="dxa" w:w="2684"/>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VODNE USLUGE d.o.o.</w:t>
            </w:r>
          </w:p>
        </w:tc>
        <w:tc>
          <w:tcPr>
            <w:tcW w:type="dxa" w:w="1538"/>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43307218011</w:t>
            </w:r>
          </w:p>
        </w:tc>
        <w:tc>
          <w:tcPr>
            <w:tcW w:type="dxa" w:w="2752"/>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43 000 Bjelovar, Ferde Livadića 14a</w:t>
            </w:r>
          </w:p>
        </w:tc>
        <w:tc>
          <w:tcPr>
            <w:tcW w:type="dxa" w:w="1180"/>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499,34</w:t>
            </w:r>
          </w:p>
        </w:tc>
        <w:tc>
          <w:tcPr>
            <w:tcW w:type="dxa" w:w="932"/>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70,00%</w:t>
            </w:r>
          </w:p>
        </w:tc>
        <w:tc>
          <w:tcPr>
            <w:tcW w:type="dxa" w:w="1605"/>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349,54</w:t>
            </w:r>
          </w:p>
        </w:tc>
        <w:tc>
          <w:tcPr>
            <w:tcW w:type="dxa" w:w="1605"/>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149,80</w:t>
            </w:r>
          </w:p>
        </w:tc>
        <w:tc>
          <w:tcPr>
            <w:tcW w:type="dxa" w:w="1404"/>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2,50</w:t>
            </w:r>
          </w:p>
        </w:tc>
      </w:tr>
      <w:tr w:rsidTr="00924162" w:rsidR="00924162">
        <w:trPr>
          <w:trHeight w:val="298"/>
        </w:trPr>
        <w:tc>
          <w:tcPr>
            <w:tcW w:type="dxa" w:w="681"/>
            <w:tcBorders>
              <w:top w:val="nil"/>
              <w:left w:space="0" w:sz="4" w:color="auto" w:val="single"/>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w:t>
            </w:r>
          </w:p>
        </w:tc>
        <w:tc>
          <w:tcPr>
            <w:tcW w:type="dxa" w:w="2684"/>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w:t>
            </w:r>
          </w:p>
        </w:tc>
        <w:tc>
          <w:tcPr>
            <w:tcW w:type="dxa" w:w="1538"/>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w:t>
            </w:r>
          </w:p>
        </w:tc>
        <w:tc>
          <w:tcPr>
            <w:tcW w:type="dxa" w:w="2752"/>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w:t>
            </w:r>
          </w:p>
        </w:tc>
        <w:tc>
          <w:tcPr>
            <w:tcW w:type="dxa" w:w="1180"/>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32.591,48</w:t>
            </w:r>
          </w:p>
        </w:tc>
        <w:tc>
          <w:tcPr>
            <w:tcW w:type="dxa" w:w="932"/>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w:t>
            </w:r>
          </w:p>
        </w:tc>
        <w:tc>
          <w:tcPr>
            <w:tcW w:type="dxa" w:w="1605"/>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w:t>
            </w:r>
          </w:p>
        </w:tc>
        <w:tc>
          <w:tcPr>
            <w:tcW w:type="dxa" w:w="1605"/>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w:t>
            </w:r>
          </w:p>
        </w:tc>
        <w:tc>
          <w:tcPr>
            <w:tcW w:type="dxa" w:w="1404"/>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w:t>
            </w:r>
          </w:p>
        </w:tc>
      </w:tr>
    </w:tbl>
    <w:p w:rsidRDefault="00924162" w:rsidP="00924162" w:rsidR="00924162">
      <w:pPr>
        <w:spacing w:lineRule="auto" w:line="360"/>
        <w:jc w:val="both"/>
        <w:rPr>
          <w:rFonts w:cs="Times New Roman"/>
        </w:rPr>
      </w:pPr>
    </w:p>
    <w:p w:rsidRDefault="00924162" w:rsidP="00924162" w:rsidR="00924162">
      <w:pPr>
        <w:spacing w:lineRule="auto" w:line="360"/>
        <w:jc w:val="both"/>
        <w:rPr>
          <w:rFonts w:cs="Times New Roman"/>
        </w:rPr>
      </w:pPr>
    </w:p>
    <w:p w:rsidRDefault="00924162" w:rsidP="00924162" w:rsidR="00924162">
      <w:pPr>
        <w:spacing w:lineRule="auto" w:line="360"/>
        <w:jc w:val="both"/>
        <w:rPr>
          <w:rFonts w:cs="Times New Roman"/>
        </w:rPr>
      </w:pPr>
    </w:p>
    <w:p w:rsidRDefault="00924162" w:rsidP="00924162" w:rsidR="00924162">
      <w:pPr>
        <w:spacing w:lineRule="auto" w:line="360"/>
        <w:jc w:val="both"/>
        <w:rPr>
          <w:rFonts w:cs="Times New Roman"/>
        </w:rPr>
      </w:pPr>
    </w:p>
    <w:p w:rsidRDefault="00924162" w:rsidP="00924162" w:rsidR="00924162">
      <w:pPr>
        <w:spacing w:lineRule="auto" w:line="360"/>
        <w:jc w:val="both"/>
        <w:rPr>
          <w:rFonts w:cs="Times New Roman"/>
        </w:rPr>
      </w:pPr>
    </w:p>
    <w:p w:rsidRDefault="00924162" w:rsidP="00924162" w:rsidR="00924162">
      <w:pPr>
        <w:spacing w:lineRule="auto" w:line="360"/>
        <w:jc w:val="both"/>
        <w:rPr>
          <w:rFonts w:cs="Times New Roman"/>
        </w:rPr>
      </w:pPr>
    </w:p>
    <w:p w:rsidRDefault="00924162" w:rsidP="00924162" w:rsidR="00924162">
      <w:pPr>
        <w:spacing w:lineRule="auto" w:line="360"/>
        <w:rPr>
          <w:rFonts w:cs="Times New Roman"/>
          <w:b/>
          <w:i/>
          <w:u w:val="single"/>
        </w:rPr>
      </w:pPr>
      <w:r>
        <w:rPr>
          <w:rFonts w:cs="Times New Roman"/>
          <w:b/>
          <w:i/>
          <w:u w:val="single"/>
        </w:rPr>
        <w:t>Za drugu grupu vjerovnika:</w:t>
      </w:r>
    </w:p>
    <w:p w:rsidRDefault="00924162" w:rsidP="00924162" w:rsidR="00924162">
      <w:pPr>
        <w:spacing w:lineRule="auto" w:line="360"/>
        <w:jc w:val="both"/>
        <w:rPr>
          <w:rFonts w:cs="Times New Roman"/>
        </w:rPr>
      </w:pPr>
      <w:r>
        <w:rPr>
          <w:rFonts w:cs="Times New Roman"/>
        </w:rPr>
        <w:t xml:space="preserve">Dug prema financijskim institucijama na dan 30.06.2016.. godine iznosi </w:t>
      </w:r>
      <w:r>
        <w:rPr>
          <w:rFonts w:cs="Times New Roman" w:eastAsia="Times New Roman"/>
          <w:color w:val="000000"/>
          <w:lang w:eastAsia="hr-HR"/>
        </w:rPr>
        <w:t xml:space="preserve">262,22 </w:t>
      </w:r>
      <w:r>
        <w:rPr>
          <w:rFonts w:cs="Times New Roman"/>
        </w:rPr>
        <w:t xml:space="preserve">kn. Predviđen je otpis 70% ukupno utvrđene tražbine, te nakon dvije godine počeka, obročna otplata 30% ukupno utvrđene tražbine u 60 jednakih mjesečnih obroka (anuiteta) uz propisanu kamatu od 4,5% godišnje, a sve počevši od dana pravomoćnosti Rješenja o sklopljenoj </w:t>
      </w:r>
      <w:proofErr w:type="spellStart"/>
      <w:r>
        <w:rPr>
          <w:rFonts w:cs="Times New Roman"/>
        </w:rPr>
        <w:t>predstečajnoj</w:t>
      </w:r>
      <w:proofErr w:type="spellEnd"/>
      <w:r>
        <w:rPr>
          <w:rFonts w:cs="Times New Roman"/>
        </w:rPr>
        <w:t xml:space="preserve"> nagodbi pred Trgovačkim sudom. </w:t>
      </w:r>
    </w:p>
    <w:tbl>
      <w:tblPr>
        <w:tblW w:type="dxa" w:w="14604"/>
        <w:tblInd w:type="dxa" w:w="93"/>
        <w:tblLook w:val="04A0" w:noVBand="1" w:noHBand="0" w:lastColumn="0" w:firstColumn="1" w:lastRow="0" w:firstRow="1"/>
      </w:tblPr>
      <w:tblGrid>
        <w:gridCol w:w="680"/>
        <w:gridCol w:w="3572"/>
        <w:gridCol w:w="1555"/>
        <w:gridCol w:w="2835"/>
        <w:gridCol w:w="885"/>
        <w:gridCol w:w="935"/>
        <w:gridCol w:w="1506"/>
        <w:gridCol w:w="1506"/>
        <w:gridCol w:w="1317"/>
      </w:tblGrid>
      <w:tr w:rsidTr="00924162" w:rsidR="00924162">
        <w:trPr>
          <w:trHeight w:val="1035"/>
        </w:trPr>
        <w:tc>
          <w:tcPr>
            <w:tcW w:type="dxa" w:w="680"/>
            <w:tcBorders>
              <w:top w:space="0" w:sz="4" w:color="auto" w:val="single"/>
              <w:left w:space="0" w:sz="4" w:color="auto" w:val="single"/>
              <w:bottom w:space="0" w:sz="4" w:color="auto" w:val="single"/>
              <w:right w:space="0" w:sz="4" w:color="auto" w:val="single"/>
            </w:tcBorders>
            <w:shd w:fill="E5E0EC" w:color="auto" w:val="clear"/>
            <w:noWrap/>
            <w:vAlign w:val="bottom"/>
            <w:hideMark/>
          </w:tcPr>
          <w:p w:rsidRDefault="00924162" w:rsidR="00924162">
            <w:pPr>
              <w:spacing w:after="0"/>
              <w:jc w:val="center"/>
              <w:rPr>
                <w:rFonts w:cs="Times New Roman" w:eastAsia="Times New Roman"/>
                <w:b/>
                <w:bCs/>
                <w:color w:val="000000"/>
                <w:sz w:val="20"/>
                <w:szCs w:val="20"/>
                <w:lang w:eastAsia="hr-HR"/>
              </w:rPr>
            </w:pPr>
            <w:r>
              <w:rPr>
                <w:rFonts w:cs="Times New Roman" w:eastAsia="Times New Roman"/>
                <w:b/>
                <w:bCs/>
                <w:color w:val="000000"/>
                <w:sz w:val="20"/>
                <w:szCs w:val="20"/>
                <w:lang w:eastAsia="hr-HR"/>
              </w:rPr>
              <w:t>RBR</w:t>
            </w:r>
          </w:p>
        </w:tc>
        <w:tc>
          <w:tcPr>
            <w:tcW w:type="dxa" w:w="3572"/>
            <w:tcBorders>
              <w:top w:space="0" w:sz="4" w:color="auto" w:val="single"/>
              <w:left w:val="nil"/>
              <w:bottom w:space="0" w:sz="4" w:color="auto" w:val="single"/>
              <w:right w:space="0" w:sz="4" w:color="auto" w:val="single"/>
            </w:tcBorders>
            <w:shd w:fill="E5E0EC" w:color="auto" w:val="clear"/>
            <w:vAlign w:val="bottom"/>
            <w:hideMark/>
          </w:tcPr>
          <w:p w:rsidRDefault="00924162" w:rsidR="00924162">
            <w:pPr>
              <w:spacing w:after="0"/>
              <w:jc w:val="center"/>
              <w:rPr>
                <w:rFonts w:cs="Times New Roman" w:eastAsia="Times New Roman"/>
                <w:b/>
                <w:bCs/>
                <w:color w:val="000000"/>
                <w:sz w:val="20"/>
                <w:szCs w:val="20"/>
                <w:lang w:eastAsia="hr-HR"/>
              </w:rPr>
            </w:pPr>
            <w:r>
              <w:rPr>
                <w:rFonts w:cs="Times New Roman" w:eastAsia="Times New Roman"/>
                <w:b/>
                <w:bCs/>
                <w:color w:val="000000"/>
                <w:sz w:val="20"/>
                <w:szCs w:val="20"/>
                <w:lang w:eastAsia="hr-HR"/>
              </w:rPr>
              <w:t>NAZIV VJEROVNIKA</w:t>
            </w:r>
          </w:p>
        </w:tc>
        <w:tc>
          <w:tcPr>
            <w:tcW w:type="dxa" w:w="1474"/>
            <w:tcBorders>
              <w:top w:space="0" w:sz="4" w:color="auto" w:val="single"/>
              <w:left w:val="nil"/>
              <w:bottom w:space="0" w:sz="4" w:color="auto" w:val="single"/>
              <w:right w:space="0" w:sz="4" w:color="auto" w:val="single"/>
            </w:tcBorders>
            <w:shd w:fill="E5E0EC" w:color="auto" w:val="clear"/>
            <w:vAlign w:val="bottom"/>
            <w:hideMark/>
          </w:tcPr>
          <w:p w:rsidRDefault="00924162" w:rsidR="00924162">
            <w:pPr>
              <w:spacing w:after="0"/>
              <w:jc w:val="center"/>
              <w:rPr>
                <w:rFonts w:cs="Times New Roman" w:eastAsia="Times New Roman"/>
                <w:b/>
                <w:bCs/>
                <w:color w:val="000000"/>
                <w:sz w:val="20"/>
                <w:szCs w:val="20"/>
                <w:lang w:eastAsia="hr-HR"/>
              </w:rPr>
            </w:pPr>
            <w:r>
              <w:rPr>
                <w:rFonts w:cs="Times New Roman" w:eastAsia="Times New Roman"/>
                <w:b/>
                <w:bCs/>
                <w:color w:val="000000"/>
                <w:sz w:val="20"/>
                <w:szCs w:val="20"/>
                <w:lang w:eastAsia="hr-HR"/>
              </w:rPr>
              <w:t>OIB</w:t>
            </w:r>
          </w:p>
        </w:tc>
        <w:tc>
          <w:tcPr>
            <w:tcW w:type="dxa" w:w="2835"/>
            <w:tcBorders>
              <w:top w:space="0" w:sz="4" w:color="auto" w:val="single"/>
              <w:left w:val="nil"/>
              <w:bottom w:space="0" w:sz="4" w:color="auto" w:val="single"/>
              <w:right w:space="0" w:sz="4" w:color="auto" w:val="single"/>
            </w:tcBorders>
            <w:shd w:fill="E5E0EC" w:color="auto" w:val="clear"/>
            <w:vAlign w:val="bottom"/>
            <w:hideMark/>
          </w:tcPr>
          <w:p w:rsidRDefault="00924162" w:rsidR="00924162">
            <w:pPr>
              <w:spacing w:after="0"/>
              <w:jc w:val="center"/>
              <w:rPr>
                <w:rFonts w:cs="Times New Roman" w:eastAsia="Times New Roman"/>
                <w:b/>
                <w:bCs/>
                <w:color w:val="000000"/>
                <w:sz w:val="20"/>
                <w:szCs w:val="20"/>
                <w:lang w:eastAsia="hr-HR"/>
              </w:rPr>
            </w:pPr>
            <w:r>
              <w:rPr>
                <w:rFonts w:cs="Times New Roman" w:eastAsia="Times New Roman"/>
                <w:b/>
                <w:bCs/>
                <w:color w:val="000000"/>
                <w:sz w:val="20"/>
                <w:szCs w:val="20"/>
                <w:lang w:eastAsia="hr-HR"/>
              </w:rPr>
              <w:t>ADRESA</w:t>
            </w:r>
          </w:p>
        </w:tc>
        <w:tc>
          <w:tcPr>
            <w:tcW w:type="dxa" w:w="839"/>
            <w:tcBorders>
              <w:top w:space="0" w:sz="4" w:color="auto" w:val="single"/>
              <w:left w:val="nil"/>
              <w:bottom w:space="0" w:sz="4" w:color="auto" w:val="single"/>
              <w:right w:space="0" w:sz="4" w:color="auto" w:val="single"/>
            </w:tcBorders>
            <w:shd w:fill="E5E0EC" w:color="auto" w:val="clear"/>
            <w:vAlign w:val="bottom"/>
            <w:hideMark/>
          </w:tcPr>
          <w:p w:rsidRDefault="00924162" w:rsidR="00924162">
            <w:pPr>
              <w:spacing w:after="0"/>
              <w:jc w:val="center"/>
              <w:rPr>
                <w:rFonts w:cs="Times New Roman" w:eastAsia="Times New Roman"/>
                <w:b/>
                <w:bCs/>
                <w:color w:val="000000"/>
                <w:sz w:val="20"/>
                <w:szCs w:val="20"/>
                <w:lang w:eastAsia="hr-HR"/>
              </w:rPr>
            </w:pPr>
            <w:r>
              <w:rPr>
                <w:rFonts w:cs="Times New Roman" w:eastAsia="Times New Roman"/>
                <w:b/>
                <w:bCs/>
                <w:color w:val="000000"/>
                <w:sz w:val="20"/>
                <w:szCs w:val="20"/>
                <w:lang w:eastAsia="hr-HR"/>
              </w:rPr>
              <w:t>IZNOS</w:t>
            </w:r>
          </w:p>
        </w:tc>
        <w:tc>
          <w:tcPr>
            <w:tcW w:type="dxa" w:w="875"/>
            <w:tcBorders>
              <w:top w:space="0" w:sz="4" w:color="auto" w:val="single"/>
              <w:left w:val="nil"/>
              <w:bottom w:space="0" w:sz="4" w:color="auto" w:val="single"/>
              <w:right w:space="0" w:sz="4" w:color="auto" w:val="single"/>
            </w:tcBorders>
            <w:shd w:fill="E5E0EC" w:color="auto" w:val="clear"/>
            <w:vAlign w:val="bottom"/>
            <w:hideMark/>
          </w:tcPr>
          <w:p w:rsidRDefault="00924162" w:rsidR="00924162">
            <w:pPr>
              <w:spacing w:after="0"/>
              <w:jc w:val="center"/>
              <w:rPr>
                <w:rFonts w:cs="Times New Roman" w:eastAsia="Times New Roman"/>
                <w:b/>
                <w:bCs/>
                <w:color w:val="000000"/>
                <w:sz w:val="20"/>
                <w:szCs w:val="20"/>
                <w:lang w:eastAsia="hr-HR"/>
              </w:rPr>
            </w:pPr>
            <w:r>
              <w:rPr>
                <w:rFonts w:cs="Times New Roman" w:eastAsia="Times New Roman"/>
                <w:b/>
                <w:bCs/>
                <w:color w:val="000000"/>
                <w:sz w:val="20"/>
                <w:szCs w:val="20"/>
                <w:lang w:eastAsia="hr-HR"/>
              </w:rPr>
              <w:t>OTPIS</w:t>
            </w:r>
          </w:p>
        </w:tc>
        <w:tc>
          <w:tcPr>
            <w:tcW w:type="dxa" w:w="1506"/>
            <w:tcBorders>
              <w:top w:space="0" w:sz="4" w:color="auto" w:val="single"/>
              <w:left w:val="nil"/>
              <w:bottom w:space="0" w:sz="4" w:color="auto" w:val="single"/>
              <w:right w:space="0" w:sz="4" w:color="auto" w:val="single"/>
            </w:tcBorders>
            <w:shd w:fill="E5E0EC" w:color="auto" w:val="clear"/>
            <w:vAlign w:val="bottom"/>
            <w:hideMark/>
          </w:tcPr>
          <w:p w:rsidRDefault="00924162" w:rsidR="00924162">
            <w:pPr>
              <w:spacing w:after="0"/>
              <w:rPr>
                <w:rFonts w:cs="Times New Roman" w:eastAsia="Times New Roman"/>
                <w:b/>
                <w:bCs/>
                <w:color w:val="000000"/>
                <w:sz w:val="20"/>
                <w:szCs w:val="20"/>
                <w:lang w:eastAsia="hr-HR"/>
              </w:rPr>
            </w:pPr>
            <w:r>
              <w:rPr>
                <w:rFonts w:cs="Times New Roman" w:eastAsia="Times New Roman"/>
                <w:b/>
                <w:bCs/>
                <w:color w:val="000000"/>
                <w:sz w:val="20"/>
                <w:szCs w:val="20"/>
                <w:lang w:eastAsia="hr-HR"/>
              </w:rPr>
              <w:t>OTPISANA VRIJEDNOST</w:t>
            </w:r>
          </w:p>
        </w:tc>
        <w:tc>
          <w:tcPr>
            <w:tcW w:type="dxa" w:w="1506"/>
            <w:tcBorders>
              <w:top w:space="0" w:sz="4" w:color="auto" w:val="single"/>
              <w:left w:val="nil"/>
              <w:bottom w:space="0" w:sz="4" w:color="auto" w:val="single"/>
              <w:right w:space="0" w:sz="4" w:color="auto" w:val="single"/>
            </w:tcBorders>
            <w:shd w:fill="E5E0EC" w:color="auto" w:val="clear"/>
            <w:vAlign w:val="bottom"/>
            <w:hideMark/>
          </w:tcPr>
          <w:p w:rsidRDefault="00924162" w:rsidR="00924162">
            <w:pPr>
              <w:spacing w:after="0"/>
              <w:rPr>
                <w:rFonts w:cs="Times New Roman" w:eastAsia="Times New Roman"/>
                <w:b/>
                <w:bCs/>
                <w:color w:val="000000"/>
                <w:sz w:val="20"/>
                <w:szCs w:val="20"/>
                <w:lang w:eastAsia="hr-HR"/>
              </w:rPr>
            </w:pPr>
            <w:r>
              <w:rPr>
                <w:rFonts w:cs="Times New Roman" w:eastAsia="Times New Roman"/>
                <w:b/>
                <w:bCs/>
                <w:color w:val="000000"/>
                <w:sz w:val="20"/>
                <w:szCs w:val="20"/>
                <w:lang w:eastAsia="hr-HR"/>
              </w:rPr>
              <w:t>VRIJEDNOST OTPLATE</w:t>
            </w:r>
          </w:p>
        </w:tc>
        <w:tc>
          <w:tcPr>
            <w:tcW w:type="dxa" w:w="1317"/>
            <w:tcBorders>
              <w:top w:space="0" w:sz="4" w:color="auto" w:val="single"/>
              <w:left w:val="nil"/>
              <w:bottom w:space="0" w:sz="4" w:color="auto" w:val="single"/>
              <w:right w:space="0" w:sz="4" w:color="auto" w:val="single"/>
            </w:tcBorders>
            <w:shd w:fill="E5E0EC" w:color="auto" w:val="clear"/>
            <w:vAlign w:val="bottom"/>
            <w:hideMark/>
          </w:tcPr>
          <w:p w:rsidRDefault="00924162" w:rsidR="00924162">
            <w:pPr>
              <w:spacing w:after="0"/>
              <w:rPr>
                <w:rFonts w:cs="Times New Roman" w:eastAsia="Times New Roman"/>
                <w:b/>
                <w:bCs/>
                <w:color w:val="000000"/>
                <w:sz w:val="20"/>
                <w:szCs w:val="20"/>
                <w:lang w:eastAsia="hr-HR"/>
              </w:rPr>
            </w:pPr>
            <w:r>
              <w:rPr>
                <w:rFonts w:cs="Times New Roman" w:eastAsia="Times New Roman"/>
                <w:b/>
                <w:bCs/>
                <w:color w:val="000000"/>
                <w:sz w:val="20"/>
                <w:szCs w:val="20"/>
                <w:lang w:eastAsia="hr-HR"/>
              </w:rPr>
              <w:t>MJESEČNA RATA BEZ KAMATA</w:t>
            </w:r>
          </w:p>
        </w:tc>
      </w:tr>
      <w:tr w:rsidTr="00924162" w:rsidR="00924162">
        <w:trPr>
          <w:trHeight w:val="300"/>
        </w:trPr>
        <w:tc>
          <w:tcPr>
            <w:tcW w:type="dxa" w:w="680"/>
            <w:tcBorders>
              <w:top w:val="nil"/>
              <w:left w:space="0" w:sz="4" w:color="auto" w:val="single"/>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w:t>
            </w:r>
          </w:p>
        </w:tc>
        <w:tc>
          <w:tcPr>
            <w:tcW w:type="dxa" w:w="3572"/>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ERSTE&amp;STEIERMÄRKISCHE BANK d. d.</w:t>
            </w:r>
          </w:p>
        </w:tc>
        <w:tc>
          <w:tcPr>
            <w:tcW w:type="dxa" w:w="1474"/>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23057039320</w:t>
            </w:r>
          </w:p>
        </w:tc>
        <w:tc>
          <w:tcPr>
            <w:tcW w:type="dxa" w:w="2835"/>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51 000 Rijeka, Jadranski trg 3</w:t>
            </w:r>
          </w:p>
        </w:tc>
        <w:tc>
          <w:tcPr>
            <w:tcW w:type="dxa" w:w="839"/>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262,22</w:t>
            </w:r>
          </w:p>
        </w:tc>
        <w:tc>
          <w:tcPr>
            <w:tcW w:type="dxa" w:w="875"/>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70,00%</w:t>
            </w:r>
          </w:p>
        </w:tc>
        <w:tc>
          <w:tcPr>
            <w:tcW w:type="dxa" w:w="150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183,55</w:t>
            </w:r>
          </w:p>
        </w:tc>
        <w:tc>
          <w:tcPr>
            <w:tcW w:type="dxa" w:w="150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78,67</w:t>
            </w:r>
          </w:p>
        </w:tc>
        <w:tc>
          <w:tcPr>
            <w:tcW w:type="dxa" w:w="1317"/>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1,31</w:t>
            </w:r>
          </w:p>
        </w:tc>
      </w:tr>
      <w:tr w:rsidTr="00924162" w:rsidR="00924162">
        <w:trPr>
          <w:trHeight w:val="300"/>
        </w:trPr>
        <w:tc>
          <w:tcPr>
            <w:tcW w:type="dxa" w:w="680"/>
            <w:tcBorders>
              <w:top w:val="nil"/>
              <w:left w:space="0" w:sz="4" w:color="auto" w:val="single"/>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w:t>
            </w:r>
          </w:p>
        </w:tc>
        <w:tc>
          <w:tcPr>
            <w:tcW w:type="dxa" w:w="3572"/>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w:t>
            </w:r>
          </w:p>
        </w:tc>
        <w:tc>
          <w:tcPr>
            <w:tcW w:type="dxa" w:w="1474"/>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w:t>
            </w:r>
          </w:p>
        </w:tc>
        <w:tc>
          <w:tcPr>
            <w:tcW w:type="dxa" w:w="2835"/>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w:t>
            </w:r>
          </w:p>
        </w:tc>
        <w:tc>
          <w:tcPr>
            <w:tcW w:type="dxa" w:w="839"/>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262,22</w:t>
            </w:r>
          </w:p>
        </w:tc>
        <w:tc>
          <w:tcPr>
            <w:tcW w:type="dxa" w:w="875"/>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w:t>
            </w:r>
          </w:p>
        </w:tc>
        <w:tc>
          <w:tcPr>
            <w:tcW w:type="dxa" w:w="1506"/>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w:t>
            </w:r>
          </w:p>
        </w:tc>
        <w:tc>
          <w:tcPr>
            <w:tcW w:type="dxa" w:w="1506"/>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w:t>
            </w:r>
          </w:p>
        </w:tc>
        <w:tc>
          <w:tcPr>
            <w:tcW w:type="dxa" w:w="1317"/>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w:t>
            </w:r>
          </w:p>
        </w:tc>
      </w:tr>
    </w:tbl>
    <w:p w:rsidRDefault="00924162" w:rsidP="00924162" w:rsidR="00924162">
      <w:pPr>
        <w:spacing w:lineRule="auto" w:line="360"/>
        <w:jc w:val="both"/>
        <w:rPr>
          <w:rFonts w:cs="Times New Roman"/>
        </w:rPr>
      </w:pPr>
    </w:p>
    <w:p w:rsidRDefault="00924162" w:rsidP="00924162" w:rsidR="00924162">
      <w:pPr>
        <w:spacing w:lineRule="auto" w:line="360"/>
        <w:rPr>
          <w:rFonts w:cs="Times New Roman"/>
        </w:rPr>
      </w:pPr>
    </w:p>
    <w:p w:rsidRDefault="00924162" w:rsidP="00924162" w:rsidR="00924162">
      <w:pPr>
        <w:spacing w:lineRule="auto" w:line="360"/>
        <w:rPr>
          <w:rFonts w:cs="Times New Roman"/>
        </w:rPr>
      </w:pPr>
    </w:p>
    <w:p w:rsidRDefault="00924162" w:rsidP="00924162" w:rsidR="00924162">
      <w:pPr>
        <w:spacing w:lineRule="auto" w:line="360"/>
        <w:rPr>
          <w:rFonts w:cs="Times New Roman"/>
        </w:rPr>
      </w:pPr>
    </w:p>
    <w:p w:rsidRDefault="00924162" w:rsidP="00924162" w:rsidR="00924162">
      <w:pPr>
        <w:spacing w:lineRule="auto" w:line="360"/>
        <w:rPr>
          <w:rFonts w:cs="Times New Roman"/>
        </w:rPr>
      </w:pPr>
    </w:p>
    <w:p w:rsidRDefault="00924162" w:rsidP="00924162" w:rsidR="00924162">
      <w:pPr>
        <w:spacing w:lineRule="auto" w:line="360"/>
        <w:rPr>
          <w:rFonts w:cs="Times New Roman"/>
        </w:rPr>
      </w:pPr>
    </w:p>
    <w:p w:rsidRDefault="00924162" w:rsidP="00924162" w:rsidR="00924162">
      <w:pPr>
        <w:spacing w:lineRule="auto" w:line="360"/>
        <w:rPr>
          <w:rFonts w:cs="Times New Roman"/>
        </w:rPr>
      </w:pPr>
    </w:p>
    <w:p w:rsidRDefault="00924162" w:rsidP="00924162" w:rsidR="00924162">
      <w:pPr>
        <w:spacing w:lineRule="auto" w:line="360"/>
        <w:rPr>
          <w:rFonts w:cs="Times New Roman"/>
        </w:rPr>
      </w:pPr>
    </w:p>
    <w:p w:rsidRDefault="00924162" w:rsidP="00924162" w:rsidR="00924162">
      <w:pPr>
        <w:spacing w:lineRule="auto" w:line="360"/>
        <w:rPr>
          <w:rFonts w:cs="Times New Roman"/>
          <w:b/>
          <w:i/>
          <w:u w:val="single"/>
        </w:rPr>
      </w:pPr>
    </w:p>
    <w:p w:rsidRDefault="00924162" w:rsidP="00924162" w:rsidR="00924162">
      <w:pPr>
        <w:spacing w:lineRule="auto" w:line="360"/>
        <w:rPr>
          <w:rFonts w:cs="Times New Roman"/>
          <w:b/>
          <w:i/>
          <w:u w:val="single"/>
        </w:rPr>
      </w:pPr>
      <w:r>
        <w:rPr>
          <w:rFonts w:cs="Times New Roman"/>
          <w:b/>
          <w:i/>
          <w:u w:val="single"/>
        </w:rPr>
        <w:t xml:space="preserve">Za treću grupu vjerovnika: </w:t>
      </w:r>
    </w:p>
    <w:p w:rsidRDefault="00924162" w:rsidP="00924162" w:rsidR="00924162">
      <w:pPr>
        <w:spacing w:lineRule="auto" w:line="360"/>
        <w:rPr>
          <w:rFonts w:cs="Times New Roman"/>
          <w:b/>
          <w:i/>
          <w:u w:val="single"/>
        </w:rPr>
      </w:pPr>
      <w:r>
        <w:rPr>
          <w:rFonts w:cs="Times New Roman"/>
          <w:b/>
          <w:i/>
          <w:u w:val="single"/>
        </w:rPr>
        <w:t>1.  Obveze prema dobavljačima i ostalim vjerovnicima</w:t>
      </w:r>
      <w:r>
        <w:rPr>
          <w:rFonts w:cs="Times New Roman"/>
          <w:i/>
        </w:rPr>
        <w:t xml:space="preserve"> : </w:t>
      </w:r>
    </w:p>
    <w:p w:rsidRDefault="00924162" w:rsidP="00924162" w:rsidR="00924162">
      <w:pPr>
        <w:pStyle w:val="Standard"/>
        <w:autoSpaceDE w:val="false"/>
        <w:spacing w:lineRule="auto" w:line="360" w:after="200"/>
        <w:jc w:val="both"/>
        <w:rPr>
          <w:rFonts w:cs="Times New Roman"/>
        </w:rPr>
      </w:pPr>
      <w:r>
        <w:rPr>
          <w:rFonts w:cs="Times New Roman"/>
        </w:rPr>
        <w:t xml:space="preserve">Dug prema dobavljačima i ostalim vjerovnicima na dan 30.06.2016. godine iznosi 1.563.400,20 </w:t>
      </w:r>
      <w:r>
        <w:rPr>
          <w:rFonts w:cs="Times New Roman"/>
          <w:color w:val="000000"/>
        </w:rPr>
        <w:t>kn</w:t>
      </w:r>
      <w:r>
        <w:rPr>
          <w:rFonts w:cs="Times New Roman"/>
        </w:rPr>
        <w:t xml:space="preserve">. Predviđen je otpis 70% ukupno utvrđene tražbine, te nakon dvije godine počeka, obročna otplata 30% ukupno utvrđene tražbine u 60 jednakih mjesečnih obroka (anuiteta) beskamatno, a sve počevši od dana pravomoćnosti Rješenja o sklopljenoj </w:t>
      </w:r>
      <w:proofErr w:type="spellStart"/>
      <w:r>
        <w:rPr>
          <w:rFonts w:cs="Times New Roman"/>
        </w:rPr>
        <w:t>predstečajnoj</w:t>
      </w:r>
      <w:proofErr w:type="spellEnd"/>
      <w:r>
        <w:rPr>
          <w:rFonts w:cs="Times New Roman"/>
        </w:rPr>
        <w:t xml:space="preserve"> nagodbi pred Trgovačkim sudom.</w:t>
      </w:r>
    </w:p>
    <w:tbl>
      <w:tblPr>
        <w:tblW w:type="dxa" w:w="14568"/>
        <w:tblInd w:type="dxa" w:w="93"/>
        <w:tblLook w:val="04A0" w:noVBand="1" w:noHBand="0" w:lastColumn="0" w:firstColumn="1" w:lastRow="0" w:firstRow="1"/>
      </w:tblPr>
      <w:tblGrid>
        <w:gridCol w:w="639"/>
        <w:gridCol w:w="3175"/>
        <w:gridCol w:w="1555"/>
        <w:gridCol w:w="2721"/>
        <w:gridCol w:w="1492"/>
        <w:gridCol w:w="935"/>
        <w:gridCol w:w="1506"/>
        <w:gridCol w:w="1506"/>
        <w:gridCol w:w="1317"/>
      </w:tblGrid>
      <w:tr w:rsidTr="00924162" w:rsidR="00924162">
        <w:trPr>
          <w:trHeight w:val="1035"/>
        </w:trPr>
        <w:tc>
          <w:tcPr>
            <w:tcW w:type="dxa" w:w="639"/>
            <w:tcBorders>
              <w:top w:space="0" w:sz="4" w:color="auto" w:val="single"/>
              <w:left w:space="0" w:sz="4" w:color="auto" w:val="single"/>
              <w:bottom w:space="0" w:sz="4" w:color="auto" w:val="single"/>
              <w:right w:space="0" w:sz="4" w:color="auto" w:val="single"/>
            </w:tcBorders>
            <w:shd w:fill="E5E0EC" w:color="auto" w:val="clear"/>
            <w:noWrap/>
            <w:vAlign w:val="bottom"/>
            <w:hideMark/>
          </w:tcPr>
          <w:p w:rsidRDefault="00924162" w:rsidR="00924162">
            <w:pPr>
              <w:spacing w:after="0"/>
              <w:jc w:val="center"/>
              <w:rPr>
                <w:rFonts w:cs="Times New Roman" w:eastAsia="Times New Roman"/>
                <w:b/>
                <w:bCs/>
                <w:color w:val="000000"/>
                <w:sz w:val="20"/>
                <w:szCs w:val="20"/>
                <w:lang w:eastAsia="hr-HR"/>
              </w:rPr>
            </w:pPr>
            <w:r>
              <w:rPr>
                <w:rFonts w:cs="Times New Roman" w:eastAsia="Times New Roman"/>
                <w:b/>
                <w:bCs/>
                <w:color w:val="000000"/>
                <w:sz w:val="20"/>
                <w:szCs w:val="20"/>
                <w:lang w:eastAsia="hr-HR"/>
              </w:rPr>
              <w:t>RBR</w:t>
            </w:r>
          </w:p>
        </w:tc>
        <w:tc>
          <w:tcPr>
            <w:tcW w:type="dxa" w:w="3175"/>
            <w:tcBorders>
              <w:top w:space="0" w:sz="4" w:color="auto" w:val="single"/>
              <w:left w:val="nil"/>
              <w:bottom w:space="0" w:sz="4" w:color="auto" w:val="single"/>
              <w:right w:space="0" w:sz="4" w:color="auto" w:val="single"/>
            </w:tcBorders>
            <w:shd w:fill="E5E0EC" w:color="auto" w:val="clear"/>
            <w:vAlign w:val="bottom"/>
            <w:hideMark/>
          </w:tcPr>
          <w:p w:rsidRDefault="00924162" w:rsidR="00924162">
            <w:pPr>
              <w:spacing w:after="0"/>
              <w:jc w:val="center"/>
              <w:rPr>
                <w:rFonts w:cs="Times New Roman" w:eastAsia="Times New Roman"/>
                <w:b/>
                <w:bCs/>
                <w:color w:val="000000"/>
                <w:sz w:val="20"/>
                <w:szCs w:val="20"/>
                <w:lang w:eastAsia="hr-HR"/>
              </w:rPr>
            </w:pPr>
            <w:r>
              <w:rPr>
                <w:rFonts w:cs="Times New Roman" w:eastAsia="Times New Roman"/>
                <w:b/>
                <w:bCs/>
                <w:color w:val="000000"/>
                <w:sz w:val="20"/>
                <w:szCs w:val="20"/>
                <w:lang w:eastAsia="hr-HR"/>
              </w:rPr>
              <w:t>NAZIV VJEROVNIKA</w:t>
            </w:r>
          </w:p>
        </w:tc>
        <w:tc>
          <w:tcPr>
            <w:tcW w:type="dxa" w:w="1443"/>
            <w:tcBorders>
              <w:top w:space="0" w:sz="4" w:color="auto" w:val="single"/>
              <w:left w:val="nil"/>
              <w:bottom w:space="0" w:sz="4" w:color="auto" w:val="single"/>
              <w:right w:space="0" w:sz="4" w:color="auto" w:val="single"/>
            </w:tcBorders>
            <w:shd w:fill="E5E0EC" w:color="auto" w:val="clear"/>
            <w:vAlign w:val="bottom"/>
            <w:hideMark/>
          </w:tcPr>
          <w:p w:rsidRDefault="00924162" w:rsidR="00924162">
            <w:pPr>
              <w:spacing w:after="0"/>
              <w:jc w:val="center"/>
              <w:rPr>
                <w:rFonts w:cs="Times New Roman" w:eastAsia="Times New Roman"/>
                <w:b/>
                <w:bCs/>
                <w:color w:val="000000"/>
                <w:sz w:val="20"/>
                <w:szCs w:val="20"/>
                <w:lang w:eastAsia="hr-HR"/>
              </w:rPr>
            </w:pPr>
            <w:r>
              <w:rPr>
                <w:rFonts w:cs="Times New Roman" w:eastAsia="Times New Roman"/>
                <w:b/>
                <w:bCs/>
                <w:color w:val="000000"/>
                <w:sz w:val="20"/>
                <w:szCs w:val="20"/>
                <w:lang w:eastAsia="hr-HR"/>
              </w:rPr>
              <w:t>OIB</w:t>
            </w:r>
          </w:p>
        </w:tc>
        <w:tc>
          <w:tcPr>
            <w:tcW w:type="dxa" w:w="2721"/>
            <w:tcBorders>
              <w:top w:space="0" w:sz="4" w:color="auto" w:val="single"/>
              <w:left w:val="nil"/>
              <w:bottom w:space="0" w:sz="4" w:color="auto" w:val="single"/>
              <w:right w:space="0" w:sz="4" w:color="auto" w:val="single"/>
            </w:tcBorders>
            <w:shd w:fill="E5E0EC" w:color="auto" w:val="clear"/>
            <w:vAlign w:val="bottom"/>
            <w:hideMark/>
          </w:tcPr>
          <w:p w:rsidRDefault="00924162" w:rsidR="00924162">
            <w:pPr>
              <w:spacing w:after="0"/>
              <w:jc w:val="center"/>
              <w:rPr>
                <w:rFonts w:cs="Times New Roman" w:eastAsia="Times New Roman"/>
                <w:b/>
                <w:bCs/>
                <w:color w:val="000000"/>
                <w:sz w:val="20"/>
                <w:szCs w:val="20"/>
                <w:lang w:eastAsia="hr-HR"/>
              </w:rPr>
            </w:pPr>
            <w:r>
              <w:rPr>
                <w:rFonts w:cs="Times New Roman" w:eastAsia="Times New Roman"/>
                <w:b/>
                <w:bCs/>
                <w:color w:val="000000"/>
                <w:sz w:val="20"/>
                <w:szCs w:val="20"/>
                <w:lang w:eastAsia="hr-HR"/>
              </w:rPr>
              <w:t>ADRESA</w:t>
            </w:r>
          </w:p>
        </w:tc>
        <w:tc>
          <w:tcPr>
            <w:tcW w:type="dxa" w:w="1386"/>
            <w:tcBorders>
              <w:top w:space="0" w:sz="4" w:color="auto" w:val="single"/>
              <w:left w:val="nil"/>
              <w:bottom w:space="0" w:sz="4" w:color="auto" w:val="single"/>
              <w:right w:space="0" w:sz="4" w:color="auto" w:val="single"/>
            </w:tcBorders>
            <w:shd w:fill="E5E0EC" w:color="auto" w:val="clear"/>
            <w:vAlign w:val="bottom"/>
            <w:hideMark/>
          </w:tcPr>
          <w:p w:rsidRDefault="00924162" w:rsidR="00924162">
            <w:pPr>
              <w:spacing w:after="0"/>
              <w:jc w:val="center"/>
              <w:rPr>
                <w:rFonts w:cs="Times New Roman" w:eastAsia="Times New Roman"/>
                <w:b/>
                <w:bCs/>
                <w:color w:val="000000"/>
                <w:sz w:val="20"/>
                <w:szCs w:val="20"/>
                <w:lang w:eastAsia="hr-HR"/>
              </w:rPr>
            </w:pPr>
            <w:r>
              <w:rPr>
                <w:rFonts w:cs="Times New Roman" w:eastAsia="Times New Roman"/>
                <w:b/>
                <w:bCs/>
                <w:color w:val="000000"/>
                <w:sz w:val="20"/>
                <w:szCs w:val="20"/>
                <w:lang w:eastAsia="hr-HR"/>
              </w:rPr>
              <w:t>IZNOS</w:t>
            </w:r>
          </w:p>
        </w:tc>
        <w:tc>
          <w:tcPr>
            <w:tcW w:type="dxa" w:w="875"/>
            <w:tcBorders>
              <w:top w:space="0" w:sz="4" w:color="auto" w:val="single"/>
              <w:left w:val="nil"/>
              <w:bottom w:space="0" w:sz="4" w:color="auto" w:val="single"/>
              <w:right w:space="0" w:sz="4" w:color="auto" w:val="single"/>
            </w:tcBorders>
            <w:shd w:fill="E5E0EC" w:color="auto" w:val="clear"/>
            <w:vAlign w:val="bottom"/>
            <w:hideMark/>
          </w:tcPr>
          <w:p w:rsidRDefault="00924162" w:rsidR="00924162">
            <w:pPr>
              <w:spacing w:after="0"/>
              <w:jc w:val="center"/>
              <w:rPr>
                <w:rFonts w:cs="Times New Roman" w:eastAsia="Times New Roman"/>
                <w:b/>
                <w:bCs/>
                <w:color w:val="000000"/>
                <w:sz w:val="20"/>
                <w:szCs w:val="20"/>
                <w:lang w:eastAsia="hr-HR"/>
              </w:rPr>
            </w:pPr>
            <w:r>
              <w:rPr>
                <w:rFonts w:cs="Times New Roman" w:eastAsia="Times New Roman"/>
                <w:b/>
                <w:bCs/>
                <w:color w:val="000000"/>
                <w:sz w:val="20"/>
                <w:szCs w:val="20"/>
                <w:lang w:eastAsia="hr-HR"/>
              </w:rPr>
              <w:t>OTPIS</w:t>
            </w:r>
          </w:p>
        </w:tc>
        <w:tc>
          <w:tcPr>
            <w:tcW w:type="dxa" w:w="1506"/>
            <w:tcBorders>
              <w:top w:space="0" w:sz="4" w:color="auto" w:val="single"/>
              <w:left w:val="nil"/>
              <w:bottom w:space="0" w:sz="4" w:color="auto" w:val="single"/>
              <w:right w:space="0" w:sz="4" w:color="auto" w:val="single"/>
            </w:tcBorders>
            <w:shd w:fill="E5E0EC" w:color="auto" w:val="clear"/>
            <w:vAlign w:val="bottom"/>
            <w:hideMark/>
          </w:tcPr>
          <w:p w:rsidRDefault="00924162" w:rsidR="00924162">
            <w:pPr>
              <w:spacing w:after="0"/>
              <w:rPr>
                <w:rFonts w:cs="Times New Roman" w:eastAsia="Times New Roman"/>
                <w:b/>
                <w:bCs/>
                <w:color w:val="000000"/>
                <w:sz w:val="20"/>
                <w:szCs w:val="20"/>
                <w:lang w:eastAsia="hr-HR"/>
              </w:rPr>
            </w:pPr>
            <w:r>
              <w:rPr>
                <w:rFonts w:cs="Times New Roman" w:eastAsia="Times New Roman"/>
                <w:b/>
                <w:bCs/>
                <w:color w:val="000000"/>
                <w:sz w:val="20"/>
                <w:szCs w:val="20"/>
                <w:lang w:eastAsia="hr-HR"/>
              </w:rPr>
              <w:t>OTPISANA VRIJEDNOST</w:t>
            </w:r>
          </w:p>
        </w:tc>
        <w:tc>
          <w:tcPr>
            <w:tcW w:type="dxa" w:w="1506"/>
            <w:tcBorders>
              <w:top w:space="0" w:sz="4" w:color="auto" w:val="single"/>
              <w:left w:val="nil"/>
              <w:bottom w:space="0" w:sz="4" w:color="auto" w:val="single"/>
              <w:right w:space="0" w:sz="4" w:color="auto" w:val="single"/>
            </w:tcBorders>
            <w:shd w:fill="E5E0EC" w:color="auto" w:val="clear"/>
            <w:vAlign w:val="bottom"/>
            <w:hideMark/>
          </w:tcPr>
          <w:p w:rsidRDefault="00924162" w:rsidR="00924162">
            <w:pPr>
              <w:spacing w:after="0"/>
              <w:rPr>
                <w:rFonts w:cs="Times New Roman" w:eastAsia="Times New Roman"/>
                <w:b/>
                <w:bCs/>
                <w:color w:val="000000"/>
                <w:sz w:val="20"/>
                <w:szCs w:val="20"/>
                <w:lang w:eastAsia="hr-HR"/>
              </w:rPr>
            </w:pPr>
            <w:r>
              <w:rPr>
                <w:rFonts w:cs="Times New Roman" w:eastAsia="Times New Roman"/>
                <w:b/>
                <w:bCs/>
                <w:color w:val="000000"/>
                <w:sz w:val="20"/>
                <w:szCs w:val="20"/>
                <w:lang w:eastAsia="hr-HR"/>
              </w:rPr>
              <w:t>VRIJEDNOST OTPLATE</w:t>
            </w:r>
          </w:p>
        </w:tc>
        <w:tc>
          <w:tcPr>
            <w:tcW w:type="dxa" w:w="1317"/>
            <w:tcBorders>
              <w:top w:space="0" w:sz="4" w:color="auto" w:val="single"/>
              <w:left w:val="nil"/>
              <w:bottom w:space="0" w:sz="4" w:color="auto" w:val="single"/>
              <w:right w:space="0" w:sz="4" w:color="auto" w:val="single"/>
            </w:tcBorders>
            <w:shd w:fill="E5E0EC" w:color="auto" w:val="clear"/>
            <w:vAlign w:val="bottom"/>
            <w:hideMark/>
          </w:tcPr>
          <w:p w:rsidRDefault="00924162" w:rsidR="00924162">
            <w:pPr>
              <w:spacing w:after="0"/>
              <w:rPr>
                <w:rFonts w:cs="Times New Roman" w:eastAsia="Times New Roman"/>
                <w:b/>
                <w:bCs/>
                <w:color w:val="000000"/>
                <w:sz w:val="20"/>
                <w:szCs w:val="20"/>
                <w:lang w:eastAsia="hr-HR"/>
              </w:rPr>
            </w:pPr>
            <w:r>
              <w:rPr>
                <w:rFonts w:cs="Times New Roman" w:eastAsia="Times New Roman"/>
                <w:b/>
                <w:bCs/>
                <w:color w:val="000000"/>
                <w:sz w:val="20"/>
                <w:szCs w:val="20"/>
                <w:lang w:eastAsia="hr-HR"/>
              </w:rPr>
              <w:t>MJESEČNA RATA BEZ KAMATA</w:t>
            </w:r>
          </w:p>
        </w:tc>
      </w:tr>
      <w:tr w:rsidTr="00924162" w:rsidR="00924162">
        <w:trPr>
          <w:trHeight w:val="300"/>
        </w:trPr>
        <w:tc>
          <w:tcPr>
            <w:tcW w:type="dxa" w:w="639"/>
            <w:tcBorders>
              <w:top w:val="nil"/>
              <w:left w:space="0" w:sz="4" w:color="auto" w:val="single"/>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w:t>
            </w:r>
          </w:p>
        </w:tc>
        <w:tc>
          <w:tcPr>
            <w:tcW w:type="dxa" w:w="3175"/>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AGROPROJEKT d.o.o.</w:t>
            </w:r>
          </w:p>
        </w:tc>
        <w:tc>
          <w:tcPr>
            <w:tcW w:type="dxa" w:w="1443"/>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31999338764</w:t>
            </w:r>
          </w:p>
        </w:tc>
        <w:tc>
          <w:tcPr>
            <w:tcW w:type="dxa" w:w="2721"/>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47 000 Karlovac, Banija 130</w:t>
            </w:r>
          </w:p>
        </w:tc>
        <w:tc>
          <w:tcPr>
            <w:tcW w:type="dxa" w:w="138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22.750,00</w:t>
            </w:r>
          </w:p>
        </w:tc>
        <w:tc>
          <w:tcPr>
            <w:tcW w:type="dxa" w:w="875"/>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70,00%</w:t>
            </w:r>
          </w:p>
        </w:tc>
        <w:tc>
          <w:tcPr>
            <w:tcW w:type="dxa" w:w="150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15.925,00</w:t>
            </w:r>
          </w:p>
        </w:tc>
        <w:tc>
          <w:tcPr>
            <w:tcW w:type="dxa" w:w="150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6.825,00</w:t>
            </w:r>
          </w:p>
        </w:tc>
        <w:tc>
          <w:tcPr>
            <w:tcW w:type="dxa" w:w="1317"/>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113,75</w:t>
            </w:r>
          </w:p>
        </w:tc>
      </w:tr>
      <w:tr w:rsidTr="00924162" w:rsidR="00924162">
        <w:trPr>
          <w:trHeight w:val="300"/>
        </w:trPr>
        <w:tc>
          <w:tcPr>
            <w:tcW w:type="dxa" w:w="639"/>
            <w:tcBorders>
              <w:top w:val="nil"/>
              <w:left w:space="0" w:sz="4" w:color="auto" w:val="single"/>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2.</w:t>
            </w:r>
          </w:p>
        </w:tc>
        <w:tc>
          <w:tcPr>
            <w:tcW w:type="dxa" w:w="3175"/>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DIMNJAČARSKI OBRT, VL. ZDRAVKO JANKOVIĆ,</w:t>
            </w:r>
          </w:p>
        </w:tc>
        <w:tc>
          <w:tcPr>
            <w:tcW w:type="dxa" w:w="1443"/>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39891406813</w:t>
            </w:r>
          </w:p>
        </w:tc>
        <w:tc>
          <w:tcPr>
            <w:tcW w:type="dxa" w:w="2721"/>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43 000 Ciglena, Ciglena 185a</w:t>
            </w:r>
          </w:p>
        </w:tc>
        <w:tc>
          <w:tcPr>
            <w:tcW w:type="dxa" w:w="138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122,00</w:t>
            </w:r>
          </w:p>
        </w:tc>
        <w:tc>
          <w:tcPr>
            <w:tcW w:type="dxa" w:w="875"/>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70,00%</w:t>
            </w:r>
          </w:p>
        </w:tc>
        <w:tc>
          <w:tcPr>
            <w:tcW w:type="dxa" w:w="150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85,40</w:t>
            </w:r>
          </w:p>
        </w:tc>
        <w:tc>
          <w:tcPr>
            <w:tcW w:type="dxa" w:w="150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36,60</w:t>
            </w:r>
          </w:p>
        </w:tc>
        <w:tc>
          <w:tcPr>
            <w:tcW w:type="dxa" w:w="1317"/>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0,61</w:t>
            </w:r>
          </w:p>
        </w:tc>
      </w:tr>
      <w:tr w:rsidTr="00924162" w:rsidR="00924162">
        <w:trPr>
          <w:trHeight w:val="300"/>
        </w:trPr>
        <w:tc>
          <w:tcPr>
            <w:tcW w:type="dxa" w:w="639"/>
            <w:tcBorders>
              <w:top w:val="nil"/>
              <w:left w:space="0" w:sz="4" w:color="auto" w:val="single"/>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3.</w:t>
            </w:r>
          </w:p>
        </w:tc>
        <w:tc>
          <w:tcPr>
            <w:tcW w:type="dxa" w:w="3175"/>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HIDROREGULACIJA d.d.</w:t>
            </w:r>
          </w:p>
        </w:tc>
        <w:tc>
          <w:tcPr>
            <w:tcW w:type="dxa" w:w="1443"/>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54088531631</w:t>
            </w:r>
          </w:p>
        </w:tc>
        <w:tc>
          <w:tcPr>
            <w:tcW w:type="dxa" w:w="2721"/>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43 000 Bjelovar, Vatroslava Lisinskog 4</w:t>
            </w:r>
          </w:p>
        </w:tc>
        <w:tc>
          <w:tcPr>
            <w:tcW w:type="dxa" w:w="138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113,93</w:t>
            </w:r>
          </w:p>
        </w:tc>
        <w:tc>
          <w:tcPr>
            <w:tcW w:type="dxa" w:w="875"/>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70,00%</w:t>
            </w:r>
          </w:p>
        </w:tc>
        <w:tc>
          <w:tcPr>
            <w:tcW w:type="dxa" w:w="150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79,75</w:t>
            </w:r>
          </w:p>
        </w:tc>
        <w:tc>
          <w:tcPr>
            <w:tcW w:type="dxa" w:w="150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34,18</w:t>
            </w:r>
          </w:p>
        </w:tc>
        <w:tc>
          <w:tcPr>
            <w:tcW w:type="dxa" w:w="1317"/>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0,57</w:t>
            </w:r>
          </w:p>
        </w:tc>
      </w:tr>
      <w:tr w:rsidTr="00924162" w:rsidR="00924162">
        <w:trPr>
          <w:trHeight w:val="300"/>
        </w:trPr>
        <w:tc>
          <w:tcPr>
            <w:tcW w:type="dxa" w:w="639"/>
            <w:tcBorders>
              <w:top w:val="nil"/>
              <w:left w:space="0" w:sz="4" w:color="auto" w:val="single"/>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w:t>
            </w:r>
          </w:p>
        </w:tc>
        <w:tc>
          <w:tcPr>
            <w:tcW w:type="dxa" w:w="3175"/>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JAVNI BILJEŽNIK MARIJA KUSTIĆ</w:t>
            </w:r>
          </w:p>
        </w:tc>
        <w:tc>
          <w:tcPr>
            <w:tcW w:type="dxa" w:w="1443"/>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26027300253</w:t>
            </w:r>
          </w:p>
        </w:tc>
        <w:tc>
          <w:tcPr>
            <w:tcW w:type="dxa" w:w="2721"/>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43 000 Bjelovar, Dr. Ante Starčevića 5b</w:t>
            </w:r>
          </w:p>
        </w:tc>
        <w:tc>
          <w:tcPr>
            <w:tcW w:type="dxa" w:w="138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597,50</w:t>
            </w:r>
          </w:p>
        </w:tc>
        <w:tc>
          <w:tcPr>
            <w:tcW w:type="dxa" w:w="875"/>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70,00%</w:t>
            </w:r>
          </w:p>
        </w:tc>
        <w:tc>
          <w:tcPr>
            <w:tcW w:type="dxa" w:w="150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418,25</w:t>
            </w:r>
          </w:p>
        </w:tc>
        <w:tc>
          <w:tcPr>
            <w:tcW w:type="dxa" w:w="150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179,25</w:t>
            </w:r>
          </w:p>
        </w:tc>
        <w:tc>
          <w:tcPr>
            <w:tcW w:type="dxa" w:w="1317"/>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2,99</w:t>
            </w:r>
          </w:p>
        </w:tc>
      </w:tr>
      <w:tr w:rsidTr="00924162" w:rsidR="00924162">
        <w:trPr>
          <w:trHeight w:val="300"/>
        </w:trPr>
        <w:tc>
          <w:tcPr>
            <w:tcW w:type="dxa" w:w="639"/>
            <w:tcBorders>
              <w:top w:val="nil"/>
              <w:left w:space="0" w:sz="4" w:color="auto" w:val="single"/>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5.</w:t>
            </w:r>
          </w:p>
        </w:tc>
        <w:tc>
          <w:tcPr>
            <w:tcW w:type="dxa" w:w="3175"/>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JAVNI BILJEŽNIK MARTINA DUJMOVIĆ</w:t>
            </w:r>
          </w:p>
        </w:tc>
        <w:tc>
          <w:tcPr>
            <w:tcW w:type="dxa" w:w="1443"/>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36676911716</w:t>
            </w:r>
          </w:p>
        </w:tc>
        <w:tc>
          <w:tcPr>
            <w:tcW w:type="dxa" w:w="2721"/>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43 000 Bjelovar, Petra Preradovića 8/1</w:t>
            </w:r>
          </w:p>
        </w:tc>
        <w:tc>
          <w:tcPr>
            <w:tcW w:type="dxa" w:w="138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355,00</w:t>
            </w:r>
          </w:p>
        </w:tc>
        <w:tc>
          <w:tcPr>
            <w:tcW w:type="dxa" w:w="875"/>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70,00%</w:t>
            </w:r>
          </w:p>
        </w:tc>
        <w:tc>
          <w:tcPr>
            <w:tcW w:type="dxa" w:w="150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248,50</w:t>
            </w:r>
          </w:p>
        </w:tc>
        <w:tc>
          <w:tcPr>
            <w:tcW w:type="dxa" w:w="150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106,50</w:t>
            </w:r>
          </w:p>
        </w:tc>
        <w:tc>
          <w:tcPr>
            <w:tcW w:type="dxa" w:w="1317"/>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1,78</w:t>
            </w:r>
          </w:p>
        </w:tc>
      </w:tr>
      <w:tr w:rsidTr="00924162" w:rsidR="00924162">
        <w:trPr>
          <w:trHeight w:val="300"/>
        </w:trPr>
        <w:tc>
          <w:tcPr>
            <w:tcW w:type="dxa" w:w="639"/>
            <w:tcBorders>
              <w:top w:val="nil"/>
              <w:left w:space="0" w:sz="4" w:color="auto" w:val="single"/>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6.</w:t>
            </w:r>
          </w:p>
        </w:tc>
        <w:tc>
          <w:tcPr>
            <w:tcW w:type="dxa" w:w="3175"/>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MAJCAN VETERINARSKA AMBULANTA d.o.o.</w:t>
            </w:r>
          </w:p>
        </w:tc>
        <w:tc>
          <w:tcPr>
            <w:tcW w:type="dxa" w:w="1443"/>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56492483135</w:t>
            </w:r>
          </w:p>
        </w:tc>
        <w:tc>
          <w:tcPr>
            <w:tcW w:type="dxa" w:w="2721"/>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43 000 Bjelovar, Krste Frankopana 38</w:t>
            </w:r>
          </w:p>
        </w:tc>
        <w:tc>
          <w:tcPr>
            <w:tcW w:type="dxa" w:w="138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690,30</w:t>
            </w:r>
          </w:p>
        </w:tc>
        <w:tc>
          <w:tcPr>
            <w:tcW w:type="dxa" w:w="875"/>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70,00%</w:t>
            </w:r>
          </w:p>
        </w:tc>
        <w:tc>
          <w:tcPr>
            <w:tcW w:type="dxa" w:w="150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483,21</w:t>
            </w:r>
          </w:p>
        </w:tc>
        <w:tc>
          <w:tcPr>
            <w:tcW w:type="dxa" w:w="150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207,09</w:t>
            </w:r>
          </w:p>
        </w:tc>
        <w:tc>
          <w:tcPr>
            <w:tcW w:type="dxa" w:w="1317"/>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3,45</w:t>
            </w:r>
          </w:p>
        </w:tc>
      </w:tr>
      <w:tr w:rsidTr="00924162" w:rsidR="00924162">
        <w:trPr>
          <w:trHeight w:val="300"/>
        </w:trPr>
        <w:tc>
          <w:tcPr>
            <w:tcW w:type="dxa" w:w="639"/>
            <w:tcBorders>
              <w:top w:val="nil"/>
              <w:left w:space="0" w:sz="4" w:color="auto" w:val="single"/>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7.</w:t>
            </w:r>
          </w:p>
        </w:tc>
        <w:tc>
          <w:tcPr>
            <w:tcW w:type="dxa" w:w="3175"/>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xml:space="preserve">QUALIA POSLOVNA RJEŠENJA </w:t>
            </w:r>
            <w:r>
              <w:rPr>
                <w:rFonts w:cs="Times New Roman" w:eastAsia="Times New Roman" w:hAnsi="Calibri" w:ascii="Calibri"/>
                <w:color w:val="000000"/>
                <w:lang w:eastAsia="hr-HR"/>
              </w:rPr>
              <w:lastRenderedPageBreak/>
              <w:t>d.o.o.</w:t>
            </w:r>
          </w:p>
        </w:tc>
        <w:tc>
          <w:tcPr>
            <w:tcW w:type="dxa" w:w="1443"/>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lastRenderedPageBreak/>
              <w:t>39031322823</w:t>
            </w:r>
          </w:p>
        </w:tc>
        <w:tc>
          <w:tcPr>
            <w:tcW w:type="dxa" w:w="2721"/>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xml:space="preserve">10 000 Zagreb, Lastovska </w:t>
            </w:r>
            <w:r>
              <w:rPr>
                <w:rFonts w:cs="Times New Roman" w:eastAsia="Times New Roman" w:hAnsi="Calibri" w:ascii="Calibri"/>
                <w:color w:val="000000"/>
                <w:lang w:eastAsia="hr-HR"/>
              </w:rPr>
              <w:lastRenderedPageBreak/>
              <w:t>23</w:t>
            </w:r>
          </w:p>
        </w:tc>
        <w:tc>
          <w:tcPr>
            <w:tcW w:type="dxa" w:w="138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lastRenderedPageBreak/>
              <w:t>12.156,50</w:t>
            </w:r>
          </w:p>
        </w:tc>
        <w:tc>
          <w:tcPr>
            <w:tcW w:type="dxa" w:w="875"/>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70,00%</w:t>
            </w:r>
          </w:p>
        </w:tc>
        <w:tc>
          <w:tcPr>
            <w:tcW w:type="dxa" w:w="150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8.509,55</w:t>
            </w:r>
          </w:p>
        </w:tc>
        <w:tc>
          <w:tcPr>
            <w:tcW w:type="dxa" w:w="150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3.646,95</w:t>
            </w:r>
          </w:p>
        </w:tc>
        <w:tc>
          <w:tcPr>
            <w:tcW w:type="dxa" w:w="1317"/>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60,78</w:t>
            </w:r>
          </w:p>
        </w:tc>
      </w:tr>
      <w:tr w:rsidTr="00924162" w:rsidR="00924162">
        <w:trPr>
          <w:trHeight w:val="300"/>
        </w:trPr>
        <w:tc>
          <w:tcPr>
            <w:tcW w:type="dxa" w:w="639"/>
            <w:tcBorders>
              <w:top w:val="nil"/>
              <w:left w:space="0" w:sz="4" w:color="auto" w:val="single"/>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lastRenderedPageBreak/>
              <w:t>8.</w:t>
            </w:r>
          </w:p>
        </w:tc>
        <w:tc>
          <w:tcPr>
            <w:tcW w:type="dxa" w:w="3175"/>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proofErr w:type="spellStart"/>
            <w:r>
              <w:rPr>
                <w:rFonts w:cs="Times New Roman" w:eastAsia="Times New Roman" w:hAnsi="Calibri" w:ascii="Calibri"/>
                <w:color w:val="000000"/>
                <w:lang w:eastAsia="hr-HR"/>
              </w:rPr>
              <w:t>Syngenta</w:t>
            </w:r>
            <w:proofErr w:type="spellEnd"/>
            <w:r>
              <w:rPr>
                <w:rFonts w:cs="Times New Roman" w:eastAsia="Times New Roman" w:hAnsi="Calibri" w:ascii="Calibri"/>
                <w:color w:val="000000"/>
                <w:lang w:eastAsia="hr-HR"/>
              </w:rPr>
              <w:t xml:space="preserve"> </w:t>
            </w:r>
            <w:proofErr w:type="spellStart"/>
            <w:r>
              <w:rPr>
                <w:rFonts w:cs="Times New Roman" w:eastAsia="Times New Roman" w:hAnsi="Calibri" w:ascii="Calibri"/>
                <w:color w:val="000000"/>
                <w:lang w:eastAsia="hr-HR"/>
              </w:rPr>
              <w:t>Agro</w:t>
            </w:r>
            <w:proofErr w:type="spellEnd"/>
            <w:r>
              <w:rPr>
                <w:rFonts w:cs="Times New Roman" w:eastAsia="Times New Roman" w:hAnsi="Calibri" w:ascii="Calibri"/>
                <w:color w:val="000000"/>
                <w:lang w:eastAsia="hr-HR"/>
              </w:rPr>
              <w:t xml:space="preserve"> d.o.o.</w:t>
            </w:r>
          </w:p>
        </w:tc>
        <w:tc>
          <w:tcPr>
            <w:tcW w:type="dxa" w:w="1443"/>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20226779781</w:t>
            </w:r>
          </w:p>
        </w:tc>
        <w:tc>
          <w:tcPr>
            <w:tcW w:type="dxa" w:w="2721"/>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10 000 Zagreb, Samoborska cesta 147</w:t>
            </w:r>
          </w:p>
        </w:tc>
        <w:tc>
          <w:tcPr>
            <w:tcW w:type="dxa" w:w="138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96.822,00</w:t>
            </w:r>
          </w:p>
        </w:tc>
        <w:tc>
          <w:tcPr>
            <w:tcW w:type="dxa" w:w="875"/>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70,00%</w:t>
            </w:r>
          </w:p>
        </w:tc>
        <w:tc>
          <w:tcPr>
            <w:tcW w:type="dxa" w:w="150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67.775,40</w:t>
            </w:r>
          </w:p>
        </w:tc>
        <w:tc>
          <w:tcPr>
            <w:tcW w:type="dxa" w:w="150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29.046,60</w:t>
            </w:r>
          </w:p>
        </w:tc>
        <w:tc>
          <w:tcPr>
            <w:tcW w:type="dxa" w:w="1317"/>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484,11</w:t>
            </w:r>
          </w:p>
        </w:tc>
      </w:tr>
      <w:tr w:rsidTr="00924162" w:rsidR="00924162">
        <w:trPr>
          <w:trHeight w:val="300"/>
        </w:trPr>
        <w:tc>
          <w:tcPr>
            <w:tcW w:type="dxa" w:w="639"/>
            <w:tcBorders>
              <w:top w:val="nil"/>
              <w:left w:space="0" w:sz="4" w:color="auto" w:val="single"/>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9.</w:t>
            </w:r>
          </w:p>
        </w:tc>
        <w:tc>
          <w:tcPr>
            <w:tcW w:type="dxa" w:w="3175"/>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proofErr w:type="spellStart"/>
            <w:r>
              <w:rPr>
                <w:rFonts w:cs="Times New Roman" w:eastAsia="Times New Roman" w:hAnsi="Calibri" w:ascii="Calibri"/>
                <w:color w:val="000000"/>
                <w:lang w:eastAsia="hr-HR"/>
              </w:rPr>
              <w:t>Timac</w:t>
            </w:r>
            <w:proofErr w:type="spellEnd"/>
            <w:r>
              <w:rPr>
                <w:rFonts w:cs="Times New Roman" w:eastAsia="Times New Roman" w:hAnsi="Calibri" w:ascii="Calibri"/>
                <w:color w:val="000000"/>
                <w:lang w:eastAsia="hr-HR"/>
              </w:rPr>
              <w:t xml:space="preserve"> </w:t>
            </w:r>
            <w:proofErr w:type="spellStart"/>
            <w:r>
              <w:rPr>
                <w:rFonts w:cs="Times New Roman" w:eastAsia="Times New Roman" w:hAnsi="Calibri" w:ascii="Calibri"/>
                <w:color w:val="000000"/>
                <w:lang w:eastAsia="hr-HR"/>
              </w:rPr>
              <w:t>Agro</w:t>
            </w:r>
            <w:proofErr w:type="spellEnd"/>
            <w:r>
              <w:rPr>
                <w:rFonts w:cs="Times New Roman" w:eastAsia="Times New Roman" w:hAnsi="Calibri" w:ascii="Calibri"/>
                <w:color w:val="000000"/>
                <w:lang w:eastAsia="hr-HR"/>
              </w:rPr>
              <w:t xml:space="preserve"> d.o.o.</w:t>
            </w:r>
          </w:p>
        </w:tc>
        <w:tc>
          <w:tcPr>
            <w:tcW w:type="dxa" w:w="1443"/>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18901646767</w:t>
            </w:r>
          </w:p>
        </w:tc>
        <w:tc>
          <w:tcPr>
            <w:tcW w:type="dxa" w:w="2721"/>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10 000 Zagreb, Rapska 46</w:t>
            </w:r>
          </w:p>
        </w:tc>
        <w:tc>
          <w:tcPr>
            <w:tcW w:type="dxa" w:w="138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751.317,90</w:t>
            </w:r>
          </w:p>
        </w:tc>
        <w:tc>
          <w:tcPr>
            <w:tcW w:type="dxa" w:w="875"/>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70,00%</w:t>
            </w:r>
          </w:p>
        </w:tc>
        <w:tc>
          <w:tcPr>
            <w:tcW w:type="dxa" w:w="150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525.922,53</w:t>
            </w:r>
          </w:p>
        </w:tc>
        <w:tc>
          <w:tcPr>
            <w:tcW w:type="dxa" w:w="150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225.395,37</w:t>
            </w:r>
          </w:p>
        </w:tc>
        <w:tc>
          <w:tcPr>
            <w:tcW w:type="dxa" w:w="1317"/>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3.756,59</w:t>
            </w:r>
          </w:p>
        </w:tc>
      </w:tr>
      <w:tr w:rsidTr="00924162" w:rsidR="00924162">
        <w:trPr>
          <w:trHeight w:val="300"/>
        </w:trPr>
        <w:tc>
          <w:tcPr>
            <w:tcW w:type="dxa" w:w="639"/>
            <w:tcBorders>
              <w:top w:val="nil"/>
              <w:left w:space="0" w:sz="4" w:color="auto" w:val="single"/>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10.</w:t>
            </w:r>
          </w:p>
        </w:tc>
        <w:tc>
          <w:tcPr>
            <w:tcW w:type="dxa" w:w="3175"/>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TINAL d. o. o.</w:t>
            </w:r>
          </w:p>
        </w:tc>
        <w:tc>
          <w:tcPr>
            <w:tcW w:type="dxa" w:w="1443"/>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99404444555</w:t>
            </w:r>
          </w:p>
        </w:tc>
        <w:tc>
          <w:tcPr>
            <w:tcW w:type="dxa" w:w="2721"/>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52 000 Pazin, Hrvatskog narodnog preporoda 1</w:t>
            </w:r>
          </w:p>
        </w:tc>
        <w:tc>
          <w:tcPr>
            <w:tcW w:type="dxa" w:w="138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3.013,22</w:t>
            </w:r>
          </w:p>
        </w:tc>
        <w:tc>
          <w:tcPr>
            <w:tcW w:type="dxa" w:w="875"/>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70,00%</w:t>
            </w:r>
          </w:p>
        </w:tc>
        <w:tc>
          <w:tcPr>
            <w:tcW w:type="dxa" w:w="150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2.109,25</w:t>
            </w:r>
          </w:p>
        </w:tc>
        <w:tc>
          <w:tcPr>
            <w:tcW w:type="dxa" w:w="150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903,97</w:t>
            </w:r>
          </w:p>
        </w:tc>
        <w:tc>
          <w:tcPr>
            <w:tcW w:type="dxa" w:w="1317"/>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15,07</w:t>
            </w:r>
          </w:p>
        </w:tc>
      </w:tr>
      <w:tr w:rsidTr="00924162" w:rsidR="00924162">
        <w:trPr>
          <w:trHeight w:val="300"/>
        </w:trPr>
        <w:tc>
          <w:tcPr>
            <w:tcW w:type="dxa" w:w="639"/>
            <w:tcBorders>
              <w:top w:val="nil"/>
              <w:left w:space="0" w:sz="4" w:color="auto" w:val="single"/>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11.</w:t>
            </w:r>
          </w:p>
        </w:tc>
        <w:tc>
          <w:tcPr>
            <w:tcW w:type="dxa" w:w="3175"/>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URED OVLAŠTENOG INŽINJERA GRAĐEVINARSTVA LJUBA CAREK</w:t>
            </w:r>
          </w:p>
        </w:tc>
        <w:tc>
          <w:tcPr>
            <w:tcW w:type="dxa" w:w="1443"/>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55010996107</w:t>
            </w:r>
          </w:p>
        </w:tc>
        <w:tc>
          <w:tcPr>
            <w:tcW w:type="dxa" w:w="2721"/>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43 000 Bjelovar, Borisa Papandopula 16</w:t>
            </w:r>
          </w:p>
        </w:tc>
        <w:tc>
          <w:tcPr>
            <w:tcW w:type="dxa" w:w="138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4.500,00</w:t>
            </w:r>
          </w:p>
        </w:tc>
        <w:tc>
          <w:tcPr>
            <w:tcW w:type="dxa" w:w="875"/>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70,00%</w:t>
            </w:r>
          </w:p>
        </w:tc>
        <w:tc>
          <w:tcPr>
            <w:tcW w:type="dxa" w:w="150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3.150,00</w:t>
            </w:r>
          </w:p>
        </w:tc>
        <w:tc>
          <w:tcPr>
            <w:tcW w:type="dxa" w:w="150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1.350,00</w:t>
            </w:r>
          </w:p>
        </w:tc>
        <w:tc>
          <w:tcPr>
            <w:tcW w:type="dxa" w:w="1317"/>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22,50</w:t>
            </w:r>
          </w:p>
        </w:tc>
      </w:tr>
      <w:tr w:rsidTr="00924162" w:rsidR="00924162">
        <w:trPr>
          <w:trHeight w:val="300"/>
        </w:trPr>
        <w:tc>
          <w:tcPr>
            <w:tcW w:type="dxa" w:w="639"/>
            <w:tcBorders>
              <w:top w:val="nil"/>
              <w:left w:space="0" w:sz="4" w:color="auto" w:val="single"/>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12.</w:t>
            </w:r>
          </w:p>
        </w:tc>
        <w:tc>
          <w:tcPr>
            <w:tcW w:type="dxa" w:w="3175"/>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VRT d.o.o.</w:t>
            </w:r>
          </w:p>
        </w:tc>
        <w:tc>
          <w:tcPr>
            <w:tcW w:type="dxa" w:w="1443"/>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68416812428</w:t>
            </w:r>
          </w:p>
        </w:tc>
        <w:tc>
          <w:tcPr>
            <w:tcW w:type="dxa" w:w="2721"/>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43 000 Bjelovar, Matice hrvatske 4/I</w:t>
            </w:r>
          </w:p>
        </w:tc>
        <w:tc>
          <w:tcPr>
            <w:tcW w:type="dxa" w:w="138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670.961,85</w:t>
            </w:r>
          </w:p>
        </w:tc>
        <w:tc>
          <w:tcPr>
            <w:tcW w:type="dxa" w:w="875"/>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70,00%</w:t>
            </w:r>
          </w:p>
        </w:tc>
        <w:tc>
          <w:tcPr>
            <w:tcW w:type="dxa" w:w="150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469.673,30</w:t>
            </w:r>
          </w:p>
        </w:tc>
        <w:tc>
          <w:tcPr>
            <w:tcW w:type="dxa" w:w="150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201.288,56</w:t>
            </w:r>
          </w:p>
        </w:tc>
        <w:tc>
          <w:tcPr>
            <w:tcW w:type="dxa" w:w="1317"/>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3.354,81</w:t>
            </w:r>
          </w:p>
        </w:tc>
      </w:tr>
      <w:tr w:rsidTr="00924162" w:rsidR="00924162">
        <w:trPr>
          <w:trHeight w:val="300"/>
        </w:trPr>
        <w:tc>
          <w:tcPr>
            <w:tcW w:type="dxa" w:w="639"/>
            <w:tcBorders>
              <w:top w:val="nil"/>
              <w:left w:space="0" w:sz="4" w:color="auto" w:val="single"/>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w:t>
            </w:r>
          </w:p>
        </w:tc>
        <w:tc>
          <w:tcPr>
            <w:tcW w:type="dxa" w:w="3175"/>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w:t>
            </w:r>
          </w:p>
        </w:tc>
        <w:tc>
          <w:tcPr>
            <w:tcW w:type="dxa" w:w="1443"/>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w:t>
            </w:r>
          </w:p>
        </w:tc>
        <w:tc>
          <w:tcPr>
            <w:tcW w:type="dxa" w:w="2721"/>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w:t>
            </w:r>
          </w:p>
        </w:tc>
        <w:tc>
          <w:tcPr>
            <w:tcW w:type="dxa" w:w="138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1.563.400,20</w:t>
            </w:r>
          </w:p>
        </w:tc>
        <w:tc>
          <w:tcPr>
            <w:tcW w:type="dxa" w:w="875"/>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w:t>
            </w:r>
          </w:p>
        </w:tc>
        <w:tc>
          <w:tcPr>
            <w:tcW w:type="dxa" w:w="1506"/>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w:t>
            </w:r>
          </w:p>
        </w:tc>
        <w:tc>
          <w:tcPr>
            <w:tcW w:type="dxa" w:w="1506"/>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w:t>
            </w:r>
          </w:p>
        </w:tc>
        <w:tc>
          <w:tcPr>
            <w:tcW w:type="dxa" w:w="1317"/>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w:t>
            </w:r>
          </w:p>
        </w:tc>
      </w:tr>
    </w:tbl>
    <w:p w:rsidRDefault="00924162" w:rsidP="00924162" w:rsidR="00924162">
      <w:pPr>
        <w:pStyle w:val="Standard"/>
        <w:autoSpaceDE w:val="false"/>
        <w:spacing w:lineRule="auto" w:line="360" w:after="200"/>
        <w:jc w:val="both"/>
        <w:rPr>
          <w:rFonts w:cs="Times New Roman"/>
        </w:rPr>
      </w:pPr>
    </w:p>
    <w:p w:rsidRDefault="00924162" w:rsidP="00924162" w:rsidR="00924162">
      <w:pPr>
        <w:pStyle w:val="Standard"/>
        <w:autoSpaceDE w:val="false"/>
        <w:spacing w:lineRule="auto" w:line="360" w:after="200"/>
        <w:jc w:val="both"/>
        <w:rPr>
          <w:rFonts w:cs="Times New Roman"/>
          <w:b/>
          <w:i/>
          <w:u w:val="single"/>
        </w:rPr>
      </w:pPr>
      <w:r>
        <w:rPr>
          <w:rFonts w:cs="Times New Roman"/>
          <w:b/>
          <w:i/>
          <w:u w:val="single"/>
        </w:rPr>
        <w:t>2.Obveze po pozajmicama:</w:t>
      </w:r>
    </w:p>
    <w:p w:rsidRDefault="00924162" w:rsidP="00924162" w:rsidR="00924162">
      <w:pPr>
        <w:spacing w:lineRule="auto" w:line="360"/>
        <w:jc w:val="both"/>
        <w:rPr>
          <w:rFonts w:cs="Times New Roman"/>
        </w:rPr>
      </w:pPr>
      <w:r>
        <w:rPr>
          <w:rFonts w:cs="Times New Roman"/>
        </w:rPr>
        <w:t xml:space="preserve">Kod obveza po pozajmicama isplata duga: Predviđen je otpis 70% ukupno utvrđene tražbine, te nakon dvije godine počeka, obročna otplata 30% ukupno utvrđene tražbine u 60 jednakih mjesečnih obroka (anuiteta) beskamatno, a sve počevši od dana pravomoćnosti Rješenja o sklopljenoj </w:t>
      </w:r>
      <w:proofErr w:type="spellStart"/>
      <w:r>
        <w:rPr>
          <w:rFonts w:cs="Times New Roman"/>
        </w:rPr>
        <w:t>predstečajnoj</w:t>
      </w:r>
      <w:proofErr w:type="spellEnd"/>
      <w:r>
        <w:rPr>
          <w:rFonts w:cs="Times New Roman"/>
        </w:rPr>
        <w:t xml:space="preserve"> nagodbi pred Trgovačkim sudom.</w:t>
      </w:r>
    </w:p>
    <w:tbl>
      <w:tblPr>
        <w:tblW w:type="dxa" w:w="14520"/>
        <w:tblInd w:type="dxa" w:w="93"/>
        <w:tblLook w:val="04A0" w:noVBand="1" w:noHBand="0" w:lastColumn="0" w:firstColumn="1" w:lastRow="0" w:firstRow="1"/>
      </w:tblPr>
      <w:tblGrid>
        <w:gridCol w:w="639"/>
        <w:gridCol w:w="2835"/>
        <w:gridCol w:w="1555"/>
        <w:gridCol w:w="3260"/>
        <w:gridCol w:w="1188"/>
        <w:gridCol w:w="935"/>
        <w:gridCol w:w="1506"/>
        <w:gridCol w:w="1506"/>
        <w:gridCol w:w="1317"/>
      </w:tblGrid>
      <w:tr w:rsidTr="00924162" w:rsidR="00924162">
        <w:trPr>
          <w:trHeight w:val="1035"/>
        </w:trPr>
        <w:tc>
          <w:tcPr>
            <w:tcW w:type="dxa" w:w="639"/>
            <w:tcBorders>
              <w:top w:space="0" w:sz="4" w:color="auto" w:val="single"/>
              <w:left w:space="0" w:sz="4" w:color="auto" w:val="single"/>
              <w:bottom w:space="0" w:sz="4" w:color="auto" w:val="single"/>
              <w:right w:space="0" w:sz="4" w:color="auto" w:val="single"/>
            </w:tcBorders>
            <w:shd w:fill="E5E0EC" w:color="auto" w:val="clear"/>
            <w:noWrap/>
            <w:vAlign w:val="bottom"/>
            <w:hideMark/>
          </w:tcPr>
          <w:p w:rsidRDefault="00924162" w:rsidR="00924162">
            <w:pPr>
              <w:spacing w:after="0"/>
              <w:jc w:val="center"/>
              <w:rPr>
                <w:rFonts w:cs="Times New Roman" w:eastAsia="Times New Roman"/>
                <w:b/>
                <w:bCs/>
                <w:color w:val="000000"/>
                <w:sz w:val="20"/>
                <w:szCs w:val="20"/>
                <w:lang w:eastAsia="hr-HR"/>
              </w:rPr>
            </w:pPr>
            <w:r>
              <w:rPr>
                <w:rFonts w:cs="Times New Roman" w:eastAsia="Times New Roman"/>
                <w:b/>
                <w:bCs/>
                <w:color w:val="000000"/>
                <w:sz w:val="20"/>
                <w:szCs w:val="20"/>
                <w:lang w:eastAsia="hr-HR"/>
              </w:rPr>
              <w:t>RBR</w:t>
            </w:r>
          </w:p>
        </w:tc>
        <w:tc>
          <w:tcPr>
            <w:tcW w:type="dxa" w:w="2835"/>
            <w:tcBorders>
              <w:top w:space="0" w:sz="4" w:color="auto" w:val="single"/>
              <w:left w:val="nil"/>
              <w:bottom w:space="0" w:sz="4" w:color="auto" w:val="single"/>
              <w:right w:space="0" w:sz="4" w:color="auto" w:val="single"/>
            </w:tcBorders>
            <w:shd w:fill="E5E0EC" w:color="auto" w:val="clear"/>
            <w:vAlign w:val="bottom"/>
            <w:hideMark/>
          </w:tcPr>
          <w:p w:rsidRDefault="00924162" w:rsidR="00924162">
            <w:pPr>
              <w:spacing w:after="0"/>
              <w:jc w:val="center"/>
              <w:rPr>
                <w:rFonts w:cs="Times New Roman" w:eastAsia="Times New Roman"/>
                <w:b/>
                <w:bCs/>
                <w:color w:val="000000"/>
                <w:sz w:val="20"/>
                <w:szCs w:val="20"/>
                <w:lang w:eastAsia="hr-HR"/>
              </w:rPr>
            </w:pPr>
            <w:r>
              <w:rPr>
                <w:rFonts w:cs="Times New Roman" w:eastAsia="Times New Roman"/>
                <w:b/>
                <w:bCs/>
                <w:color w:val="000000"/>
                <w:sz w:val="20"/>
                <w:szCs w:val="20"/>
                <w:lang w:eastAsia="hr-HR"/>
              </w:rPr>
              <w:t>NAZIV VJEROVNIKA</w:t>
            </w:r>
          </w:p>
        </w:tc>
        <w:tc>
          <w:tcPr>
            <w:tcW w:type="dxa" w:w="1443"/>
            <w:tcBorders>
              <w:top w:space="0" w:sz="4" w:color="auto" w:val="single"/>
              <w:left w:val="nil"/>
              <w:bottom w:space="0" w:sz="4" w:color="auto" w:val="single"/>
              <w:right w:space="0" w:sz="4" w:color="auto" w:val="single"/>
            </w:tcBorders>
            <w:shd w:fill="E5E0EC" w:color="auto" w:val="clear"/>
            <w:vAlign w:val="bottom"/>
            <w:hideMark/>
          </w:tcPr>
          <w:p w:rsidRDefault="00924162" w:rsidR="00924162">
            <w:pPr>
              <w:spacing w:after="0"/>
              <w:jc w:val="center"/>
              <w:rPr>
                <w:rFonts w:cs="Times New Roman" w:eastAsia="Times New Roman"/>
                <w:b/>
                <w:bCs/>
                <w:color w:val="000000"/>
                <w:sz w:val="20"/>
                <w:szCs w:val="20"/>
                <w:lang w:eastAsia="hr-HR"/>
              </w:rPr>
            </w:pPr>
            <w:r>
              <w:rPr>
                <w:rFonts w:cs="Times New Roman" w:eastAsia="Times New Roman"/>
                <w:b/>
                <w:bCs/>
                <w:color w:val="000000"/>
                <w:sz w:val="20"/>
                <w:szCs w:val="20"/>
                <w:lang w:eastAsia="hr-HR"/>
              </w:rPr>
              <w:t>OIB</w:t>
            </w:r>
          </w:p>
        </w:tc>
        <w:tc>
          <w:tcPr>
            <w:tcW w:type="dxa" w:w="3260"/>
            <w:tcBorders>
              <w:top w:space="0" w:sz="4" w:color="auto" w:val="single"/>
              <w:left w:val="nil"/>
              <w:bottom w:space="0" w:sz="4" w:color="auto" w:val="single"/>
              <w:right w:space="0" w:sz="4" w:color="auto" w:val="single"/>
            </w:tcBorders>
            <w:shd w:fill="E5E0EC" w:color="auto" w:val="clear"/>
            <w:vAlign w:val="bottom"/>
            <w:hideMark/>
          </w:tcPr>
          <w:p w:rsidRDefault="00924162" w:rsidR="00924162">
            <w:pPr>
              <w:spacing w:after="0"/>
              <w:jc w:val="center"/>
              <w:rPr>
                <w:rFonts w:cs="Times New Roman" w:eastAsia="Times New Roman"/>
                <w:b/>
                <w:bCs/>
                <w:color w:val="000000"/>
                <w:sz w:val="20"/>
                <w:szCs w:val="20"/>
                <w:lang w:eastAsia="hr-HR"/>
              </w:rPr>
            </w:pPr>
            <w:r>
              <w:rPr>
                <w:rFonts w:cs="Times New Roman" w:eastAsia="Times New Roman"/>
                <w:b/>
                <w:bCs/>
                <w:color w:val="000000"/>
                <w:sz w:val="20"/>
                <w:szCs w:val="20"/>
                <w:lang w:eastAsia="hr-HR"/>
              </w:rPr>
              <w:t>ADRESA</w:t>
            </w:r>
          </w:p>
        </w:tc>
        <w:tc>
          <w:tcPr>
            <w:tcW w:type="dxa" w:w="1139"/>
            <w:tcBorders>
              <w:top w:space="0" w:sz="4" w:color="auto" w:val="single"/>
              <w:left w:val="nil"/>
              <w:bottom w:space="0" w:sz="4" w:color="auto" w:val="single"/>
              <w:right w:space="0" w:sz="4" w:color="auto" w:val="single"/>
            </w:tcBorders>
            <w:shd w:fill="E5E0EC" w:color="auto" w:val="clear"/>
            <w:vAlign w:val="bottom"/>
            <w:hideMark/>
          </w:tcPr>
          <w:p w:rsidRDefault="00924162" w:rsidR="00924162">
            <w:pPr>
              <w:spacing w:after="0"/>
              <w:jc w:val="center"/>
              <w:rPr>
                <w:rFonts w:cs="Times New Roman" w:eastAsia="Times New Roman"/>
                <w:b/>
                <w:bCs/>
                <w:color w:val="000000"/>
                <w:sz w:val="20"/>
                <w:szCs w:val="20"/>
                <w:lang w:eastAsia="hr-HR"/>
              </w:rPr>
            </w:pPr>
            <w:r>
              <w:rPr>
                <w:rFonts w:cs="Times New Roman" w:eastAsia="Times New Roman"/>
                <w:b/>
                <w:bCs/>
                <w:color w:val="000000"/>
                <w:sz w:val="20"/>
                <w:szCs w:val="20"/>
                <w:lang w:eastAsia="hr-HR"/>
              </w:rPr>
              <w:t>IZNOS</w:t>
            </w:r>
          </w:p>
        </w:tc>
        <w:tc>
          <w:tcPr>
            <w:tcW w:type="dxa" w:w="875"/>
            <w:tcBorders>
              <w:top w:space="0" w:sz="4" w:color="auto" w:val="single"/>
              <w:left w:val="nil"/>
              <w:bottom w:space="0" w:sz="4" w:color="auto" w:val="single"/>
              <w:right w:space="0" w:sz="4" w:color="auto" w:val="single"/>
            </w:tcBorders>
            <w:shd w:fill="E5E0EC" w:color="auto" w:val="clear"/>
            <w:vAlign w:val="bottom"/>
            <w:hideMark/>
          </w:tcPr>
          <w:p w:rsidRDefault="00924162" w:rsidR="00924162">
            <w:pPr>
              <w:spacing w:after="0"/>
              <w:jc w:val="center"/>
              <w:rPr>
                <w:rFonts w:cs="Times New Roman" w:eastAsia="Times New Roman"/>
                <w:b/>
                <w:bCs/>
                <w:color w:val="000000"/>
                <w:sz w:val="20"/>
                <w:szCs w:val="20"/>
                <w:lang w:eastAsia="hr-HR"/>
              </w:rPr>
            </w:pPr>
            <w:r>
              <w:rPr>
                <w:rFonts w:cs="Times New Roman" w:eastAsia="Times New Roman"/>
                <w:b/>
                <w:bCs/>
                <w:color w:val="000000"/>
                <w:sz w:val="20"/>
                <w:szCs w:val="20"/>
                <w:lang w:eastAsia="hr-HR"/>
              </w:rPr>
              <w:t>OTPIS</w:t>
            </w:r>
          </w:p>
        </w:tc>
        <w:tc>
          <w:tcPr>
            <w:tcW w:type="dxa" w:w="1506"/>
            <w:tcBorders>
              <w:top w:space="0" w:sz="4" w:color="auto" w:val="single"/>
              <w:left w:val="nil"/>
              <w:bottom w:space="0" w:sz="4" w:color="auto" w:val="single"/>
              <w:right w:space="0" w:sz="4" w:color="auto" w:val="single"/>
            </w:tcBorders>
            <w:shd w:fill="E5E0EC" w:color="auto" w:val="clear"/>
            <w:vAlign w:val="bottom"/>
            <w:hideMark/>
          </w:tcPr>
          <w:p w:rsidRDefault="00924162" w:rsidR="00924162">
            <w:pPr>
              <w:spacing w:after="0"/>
              <w:rPr>
                <w:rFonts w:cs="Times New Roman" w:eastAsia="Times New Roman"/>
                <w:b/>
                <w:bCs/>
                <w:color w:val="000000"/>
                <w:sz w:val="20"/>
                <w:szCs w:val="20"/>
                <w:lang w:eastAsia="hr-HR"/>
              </w:rPr>
            </w:pPr>
            <w:r>
              <w:rPr>
                <w:rFonts w:cs="Times New Roman" w:eastAsia="Times New Roman"/>
                <w:b/>
                <w:bCs/>
                <w:color w:val="000000"/>
                <w:sz w:val="20"/>
                <w:szCs w:val="20"/>
                <w:lang w:eastAsia="hr-HR"/>
              </w:rPr>
              <w:t>OTPISANA VRIJEDNOST</w:t>
            </w:r>
          </w:p>
        </w:tc>
        <w:tc>
          <w:tcPr>
            <w:tcW w:type="dxa" w:w="1506"/>
            <w:tcBorders>
              <w:top w:space="0" w:sz="4" w:color="auto" w:val="single"/>
              <w:left w:val="nil"/>
              <w:bottom w:space="0" w:sz="4" w:color="auto" w:val="single"/>
              <w:right w:space="0" w:sz="4" w:color="auto" w:val="single"/>
            </w:tcBorders>
            <w:shd w:fill="E5E0EC" w:color="auto" w:val="clear"/>
            <w:vAlign w:val="bottom"/>
            <w:hideMark/>
          </w:tcPr>
          <w:p w:rsidRDefault="00924162" w:rsidR="00924162">
            <w:pPr>
              <w:spacing w:after="0"/>
              <w:rPr>
                <w:rFonts w:cs="Times New Roman" w:eastAsia="Times New Roman"/>
                <w:b/>
                <w:bCs/>
                <w:color w:val="000000"/>
                <w:sz w:val="20"/>
                <w:szCs w:val="20"/>
                <w:lang w:eastAsia="hr-HR"/>
              </w:rPr>
            </w:pPr>
            <w:r>
              <w:rPr>
                <w:rFonts w:cs="Times New Roman" w:eastAsia="Times New Roman"/>
                <w:b/>
                <w:bCs/>
                <w:color w:val="000000"/>
                <w:sz w:val="20"/>
                <w:szCs w:val="20"/>
                <w:lang w:eastAsia="hr-HR"/>
              </w:rPr>
              <w:t>VRIJEDNOST OTPLATE</w:t>
            </w:r>
          </w:p>
        </w:tc>
        <w:tc>
          <w:tcPr>
            <w:tcW w:type="dxa" w:w="1317"/>
            <w:tcBorders>
              <w:top w:space="0" w:sz="4" w:color="auto" w:val="single"/>
              <w:left w:val="nil"/>
              <w:bottom w:space="0" w:sz="4" w:color="auto" w:val="single"/>
              <w:right w:space="0" w:sz="4" w:color="auto" w:val="single"/>
            </w:tcBorders>
            <w:shd w:fill="E5E0EC" w:color="auto" w:val="clear"/>
            <w:vAlign w:val="bottom"/>
            <w:hideMark/>
          </w:tcPr>
          <w:p w:rsidRDefault="00924162" w:rsidR="00924162">
            <w:pPr>
              <w:spacing w:after="0"/>
              <w:rPr>
                <w:rFonts w:cs="Times New Roman" w:eastAsia="Times New Roman"/>
                <w:b/>
                <w:bCs/>
                <w:color w:val="000000"/>
                <w:sz w:val="20"/>
                <w:szCs w:val="20"/>
                <w:lang w:eastAsia="hr-HR"/>
              </w:rPr>
            </w:pPr>
            <w:r>
              <w:rPr>
                <w:rFonts w:cs="Times New Roman" w:eastAsia="Times New Roman"/>
                <w:b/>
                <w:bCs/>
                <w:color w:val="000000"/>
                <w:sz w:val="20"/>
                <w:szCs w:val="20"/>
                <w:lang w:eastAsia="hr-HR"/>
              </w:rPr>
              <w:t>MJESEČNA RATA BEZ KAMATA</w:t>
            </w:r>
          </w:p>
        </w:tc>
      </w:tr>
      <w:tr w:rsidTr="00924162" w:rsidR="00924162">
        <w:trPr>
          <w:trHeight w:val="300"/>
        </w:trPr>
        <w:tc>
          <w:tcPr>
            <w:tcW w:type="dxa" w:w="639"/>
            <w:tcBorders>
              <w:top w:val="nil"/>
              <w:left w:space="0" w:sz="4" w:color="auto" w:val="single"/>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w:t>
            </w:r>
          </w:p>
        </w:tc>
        <w:tc>
          <w:tcPr>
            <w:tcW w:type="dxa" w:w="2835"/>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VRT d.o.o.</w:t>
            </w:r>
          </w:p>
        </w:tc>
        <w:tc>
          <w:tcPr>
            <w:tcW w:type="dxa" w:w="1443"/>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68416812428</w:t>
            </w:r>
          </w:p>
        </w:tc>
        <w:tc>
          <w:tcPr>
            <w:tcW w:type="dxa" w:w="3260"/>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43 000 Bjelovar, Matice hrvatske 4/I</w:t>
            </w:r>
          </w:p>
        </w:tc>
        <w:tc>
          <w:tcPr>
            <w:tcW w:type="dxa" w:w="1139"/>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16.620,00</w:t>
            </w:r>
          </w:p>
        </w:tc>
        <w:tc>
          <w:tcPr>
            <w:tcW w:type="dxa" w:w="875"/>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70,00%</w:t>
            </w:r>
          </w:p>
        </w:tc>
        <w:tc>
          <w:tcPr>
            <w:tcW w:type="dxa" w:w="150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11.634,00</w:t>
            </w:r>
          </w:p>
        </w:tc>
        <w:tc>
          <w:tcPr>
            <w:tcW w:type="dxa" w:w="150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4.986,00</w:t>
            </w:r>
          </w:p>
        </w:tc>
        <w:tc>
          <w:tcPr>
            <w:tcW w:type="dxa" w:w="1317"/>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83,10</w:t>
            </w:r>
          </w:p>
        </w:tc>
      </w:tr>
      <w:tr w:rsidTr="00924162" w:rsidR="00924162">
        <w:trPr>
          <w:trHeight w:val="300"/>
        </w:trPr>
        <w:tc>
          <w:tcPr>
            <w:tcW w:type="dxa" w:w="639"/>
            <w:tcBorders>
              <w:top w:val="nil"/>
              <w:left w:space="0" w:sz="4" w:color="auto" w:val="single"/>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w:t>
            </w:r>
          </w:p>
        </w:tc>
        <w:tc>
          <w:tcPr>
            <w:tcW w:type="dxa" w:w="2835"/>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w:t>
            </w:r>
          </w:p>
        </w:tc>
        <w:tc>
          <w:tcPr>
            <w:tcW w:type="dxa" w:w="1443"/>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w:t>
            </w:r>
          </w:p>
        </w:tc>
        <w:tc>
          <w:tcPr>
            <w:tcW w:type="dxa" w:w="3260"/>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w:t>
            </w:r>
          </w:p>
        </w:tc>
        <w:tc>
          <w:tcPr>
            <w:tcW w:type="dxa" w:w="1139"/>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16.620,00</w:t>
            </w:r>
          </w:p>
        </w:tc>
        <w:tc>
          <w:tcPr>
            <w:tcW w:type="dxa" w:w="875"/>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w:t>
            </w:r>
          </w:p>
        </w:tc>
        <w:tc>
          <w:tcPr>
            <w:tcW w:type="dxa" w:w="1506"/>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w:t>
            </w:r>
          </w:p>
        </w:tc>
        <w:tc>
          <w:tcPr>
            <w:tcW w:type="dxa" w:w="1506"/>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w:t>
            </w:r>
          </w:p>
        </w:tc>
        <w:tc>
          <w:tcPr>
            <w:tcW w:type="dxa" w:w="1317"/>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w:t>
            </w:r>
          </w:p>
        </w:tc>
      </w:tr>
    </w:tbl>
    <w:p w:rsidRDefault="00924162" w:rsidP="00924162" w:rsidR="00924162">
      <w:pPr>
        <w:spacing w:lineRule="auto" w:line="360"/>
        <w:jc w:val="both"/>
        <w:rPr>
          <w:rFonts w:hAnsiTheme="minorHAnsi" w:asciiTheme="minorHAnsi" w:cs="Times New Roman"/>
          <w:sz w:val="22"/>
          <w:szCs w:val="22"/>
        </w:rPr>
      </w:pPr>
    </w:p>
    <w:p w:rsidRDefault="00924162" w:rsidP="00924162" w:rsidR="00924162">
      <w:pPr>
        <w:spacing w:lineRule="auto" w:line="360"/>
        <w:jc w:val="both"/>
        <w:rPr>
          <w:rFonts w:cs="Times New Roman"/>
        </w:rPr>
      </w:pPr>
    </w:p>
    <w:p w:rsidRDefault="00924162" w:rsidP="00924162" w:rsidR="00924162">
      <w:pPr>
        <w:pStyle w:val="Standard"/>
        <w:autoSpaceDE w:val="false"/>
        <w:spacing w:lineRule="auto" w:line="360" w:after="200"/>
        <w:jc w:val="both"/>
        <w:rPr>
          <w:rFonts w:cs="Times New Roman"/>
        </w:rPr>
      </w:pPr>
    </w:p>
    <w:p w:rsidRDefault="00924162" w:rsidP="00924162" w:rsidR="00924162">
      <w:pPr>
        <w:pStyle w:val="Standard"/>
        <w:autoSpaceDE w:val="false"/>
        <w:spacing w:lineRule="auto" w:line="360" w:after="200"/>
        <w:jc w:val="both"/>
        <w:rPr>
          <w:rFonts w:cs="Times New Roman"/>
        </w:rPr>
      </w:pPr>
    </w:p>
    <w:p w:rsidRDefault="00924162" w:rsidP="00924162" w:rsidR="00924162">
      <w:pPr>
        <w:pStyle w:val="Standard"/>
        <w:autoSpaceDE w:val="false"/>
        <w:spacing w:lineRule="auto" w:line="360" w:after="200"/>
        <w:jc w:val="both"/>
        <w:rPr>
          <w:rFonts w:cs="Times New Roman"/>
        </w:rPr>
      </w:pPr>
    </w:p>
    <w:p w:rsidRDefault="00924162" w:rsidP="00924162" w:rsidR="00924162">
      <w:pPr>
        <w:pStyle w:val="Standard"/>
        <w:autoSpaceDE w:val="false"/>
        <w:spacing w:lineRule="auto" w:line="360" w:after="200"/>
        <w:rPr>
          <w:rFonts w:cs="Times New Roman" w:eastAsia="Calibri"/>
          <w:b/>
          <w:u w:val="single"/>
          <w:shd w:fill="FFFFFF" w:color="auto" w:val="clear"/>
        </w:rPr>
      </w:pPr>
      <w:r>
        <w:rPr>
          <w:rFonts w:cs="Times New Roman" w:eastAsia="Calibri"/>
          <w:b/>
          <w:u w:val="single"/>
          <w:shd w:fill="FFFFFF" w:color="auto" w:val="clear"/>
        </w:rPr>
        <w:t>Dug prema zaposlenicima iznosi 111.666,00kn</w:t>
      </w:r>
    </w:p>
    <w:p w:rsidRDefault="00924162" w:rsidP="00924162" w:rsidR="00924162">
      <w:pPr>
        <w:pStyle w:val="Standard"/>
        <w:autoSpaceDE w:val="false"/>
        <w:spacing w:lineRule="auto" w:line="360" w:after="200"/>
        <w:jc w:val="both"/>
        <w:rPr>
          <w:rFonts w:cs="Times New Roman" w:eastAsia="Calibri"/>
          <w:shd w:fill="FFFFFF" w:color="auto" w:val="clear"/>
        </w:rPr>
      </w:pPr>
      <w:r>
        <w:rPr>
          <w:rFonts w:cs="Times New Roman" w:eastAsia="Calibri"/>
          <w:shd w:fill="FFFFFF" w:color="auto" w:val="clear"/>
        </w:rPr>
        <w:t xml:space="preserve">Tražbine radnika iskazane su u financijskim izvještajima Društva po osnovi neto plaća u iznosu 111.666,00 kn na dan 30.06.2016. godine. Ako </w:t>
      </w:r>
      <w:proofErr w:type="spellStart"/>
      <w:r>
        <w:rPr>
          <w:rFonts w:cs="Times New Roman" w:eastAsia="Calibri"/>
          <w:shd w:fill="FFFFFF" w:color="auto" w:val="clear"/>
        </w:rPr>
        <w:t>predstečajna</w:t>
      </w:r>
      <w:proofErr w:type="spellEnd"/>
      <w:r>
        <w:rPr>
          <w:rFonts w:cs="Times New Roman" w:eastAsia="Calibri"/>
          <w:shd w:fill="FFFFFF" w:color="auto" w:val="clear"/>
        </w:rPr>
        <w:t xml:space="preserve"> nagodba bude sklopljena, društvo izjavljuje da neće imati učinka na tražbine radnika, te će one biti podmirene po prioritetnom postupku. </w:t>
      </w:r>
    </w:p>
    <w:p w:rsidRDefault="00924162" w:rsidP="00924162" w:rsidR="00924162">
      <w:pPr>
        <w:pStyle w:val="Odlomakpopisa"/>
        <w:spacing w:lineRule="auto" w:line="360"/>
        <w:rPr>
          <w:rFonts w:eastAsiaTheme="minorHAnsi" w:cs="Times New Roman"/>
        </w:rPr>
      </w:pPr>
    </w:p>
    <w:p w:rsidRDefault="00924162" w:rsidP="00924162" w:rsidR="00924162">
      <w:pPr>
        <w:pStyle w:val="Odlomakpopisa"/>
        <w:spacing w:lineRule="auto" w:line="360"/>
        <w:rPr>
          <w:rFonts w:cs="Times New Roman"/>
        </w:rPr>
      </w:pPr>
    </w:p>
    <w:p w:rsidRDefault="00924162" w:rsidP="00924162" w:rsidR="00924162">
      <w:pPr>
        <w:pStyle w:val="Odlomakpopisa"/>
        <w:spacing w:lineRule="auto" w:line="360"/>
        <w:rPr>
          <w:rFonts w:cs="Times New Roman"/>
        </w:rPr>
      </w:pPr>
      <w:r>
        <w:rPr>
          <w:rFonts w:cs="Times New Roman"/>
        </w:rPr>
        <w:t>U nastavku se nalazi grafički prikaz strukture ukupnog duga prema vjerovnicima.</w:t>
      </w:r>
    </w:p>
    <w:p w:rsidRDefault="00924162" w:rsidP="00924162" w:rsidR="00924162">
      <w:pPr>
        <w:pStyle w:val="Odlomakpopisa"/>
        <w:spacing w:lineRule="auto" w:line="360"/>
        <w:rPr>
          <w:rFonts w:cs="Times New Roman"/>
        </w:rPr>
      </w:pPr>
      <w:r>
        <w:rPr>
          <w:rFonts w:eastAsiaTheme="minorHAnsi" w:hAnsiTheme="minorHAnsi" w:asciiTheme="minorHAnsi"/>
          <w:noProof/>
          <w:sz w:val="22"/>
          <w:szCs w:val="22"/>
        </w:rPr>
        <w:lastRenderedPageBreak/>
        <w:drawing>
          <wp:inline distR="0" distL="0" distB="0" distT="0">
            <wp:extent cy="3208020" cx="5496560"/>
            <wp:effectExtent b="11430" r="27940" t="0" l="0"/>
            <wp:docPr name="Grafikon 4" id="4"/>
            <wp:cNvGraphicFramePr/>
            <a:graphic>
              <a:graphicData uri="http://schemas.openxmlformats.org/drawingml/2006/chart">
                <c:chart r:id="rId38"/>
              </a:graphicData>
            </a:graphic>
          </wp:inline>
        </w:drawing>
      </w:r>
    </w:p>
    <w:p w:rsidRDefault="00924162" w:rsidP="00924162" w:rsidR="00924162">
      <w:pPr>
        <w:pStyle w:val="Odlomakpopisa"/>
        <w:spacing w:lineRule="auto" w:line="360"/>
        <w:rPr>
          <w:rFonts w:cs="Times New Roman"/>
          <w:i/>
        </w:rPr>
      </w:pPr>
      <w:r>
        <w:rPr>
          <w:rFonts w:cs="Times New Roman"/>
          <w:i/>
        </w:rPr>
        <w:t>Grafički prikaz strukture ukupnog duga prema vjerovnicima</w:t>
      </w:r>
    </w:p>
    <w:p w:rsidRDefault="00924162" w:rsidP="00924162" w:rsidR="00924162">
      <w:pPr>
        <w:spacing w:lineRule="auto" w:line="360" w:after="0"/>
        <w:rPr>
          <w:rFonts w:cs="Times New Roman"/>
          <w:i/>
        </w:rPr>
        <w:sectPr w:rsidR="00924162">
          <w:pgSz w:orient="landscape" w:h="11906" w:w="16838"/>
          <w:pgMar w:gutter="0" w:footer="708" w:header="708" w:left="1417" w:bottom="1417" w:right="1417" w:top="1417"/>
          <w:cols w:space="720"/>
        </w:sectPr>
      </w:pPr>
    </w:p>
    <w:p w:rsidRDefault="00924162" w:rsidP="00924162" w:rsidR="00924162">
      <w:pPr>
        <w:pStyle w:val="Naslov1"/>
        <w:rPr>
          <w:rFonts w:cs="Times New Roman"/>
          <w:sz w:val="24"/>
          <w:szCs w:val="24"/>
        </w:rPr>
      </w:pPr>
      <w:bookmarkStart w:name="_Toc458436249" w:id="34"/>
      <w:bookmarkStart w:name="_Toc432416058" w:id="35"/>
      <w:bookmarkStart w:name="_Toc430627156" w:id="36"/>
      <w:r>
        <w:rPr>
          <w:rFonts w:cs="Times New Roman"/>
          <w:sz w:val="24"/>
          <w:szCs w:val="24"/>
        </w:rPr>
        <w:lastRenderedPageBreak/>
        <w:t>4. OPIS MJERA OPERATIVNOG RESTRUKTURIRANJA</w:t>
      </w:r>
      <w:bookmarkEnd w:id="34"/>
      <w:bookmarkEnd w:id="35"/>
      <w:bookmarkEnd w:id="36"/>
    </w:p>
    <w:p w:rsidRDefault="00924162" w:rsidP="00924162" w:rsidR="00924162">
      <w:pPr>
        <w:spacing w:lineRule="auto" w:line="360"/>
        <w:rPr>
          <w:rFonts w:cs="Times New Roman"/>
        </w:rPr>
      </w:pPr>
      <w:r>
        <w:rPr>
          <w:rFonts w:cs="Times New Roman"/>
        </w:rPr>
        <w:br/>
        <w:t xml:space="preserve">Društvo je već započelo s nekim operativnim mjerama </w:t>
      </w:r>
    </w:p>
    <w:p w:rsidRDefault="00924162" w:rsidP="00924162" w:rsidR="00924162">
      <w:pPr>
        <w:spacing w:lineRule="auto" w:line="360"/>
        <w:rPr>
          <w:rFonts w:cs="Times New Roman"/>
        </w:rPr>
      </w:pPr>
      <w:r>
        <w:rPr>
          <w:rFonts w:cs="Times New Roman"/>
        </w:rPr>
        <w:t>Plaće su posljednjih 10 mjeseci svedene na zakonom propisani minimalni iznos plaće, a s obzirom da su se plaće krenule smanjivati od rujna 2014. godine veliki broj ljudi je sporazumno raskinuo radni odnos.</w:t>
      </w:r>
    </w:p>
    <w:p w:rsidRDefault="00924162" w:rsidP="00924162" w:rsidR="00924162">
      <w:pPr>
        <w:spacing w:lineRule="auto" w:line="360"/>
        <w:rPr>
          <w:rFonts w:cs="Times New Roman"/>
        </w:rPr>
      </w:pPr>
      <w:r>
        <w:rPr>
          <w:rFonts w:cs="Times New Roman"/>
        </w:rPr>
        <w:t xml:space="preserve">VRT d.o.o. svoj prostor na tržištu ima – problem je solventnost – kako u trgovini u modelu „kupi-prodaj“ koji zahtijeva avansna plaćanja i veliki koeficijent obrtaja s obzirom na niske marže tako i u proizvodnji što se tiče pravovremene nabave </w:t>
      </w:r>
      <w:proofErr w:type="spellStart"/>
      <w:r>
        <w:rPr>
          <w:rFonts w:cs="Times New Roman"/>
        </w:rPr>
        <w:t>repormaterijala</w:t>
      </w:r>
      <w:proofErr w:type="spellEnd"/>
      <w:r>
        <w:rPr>
          <w:rFonts w:cs="Times New Roman"/>
        </w:rPr>
        <w:t xml:space="preserve"> radi </w:t>
      </w:r>
      <w:proofErr w:type="spellStart"/>
      <w:r>
        <w:rPr>
          <w:rFonts w:cs="Times New Roman"/>
        </w:rPr>
        <w:t>ostvarivenja</w:t>
      </w:r>
      <w:proofErr w:type="spellEnd"/>
      <w:r>
        <w:rPr>
          <w:rFonts w:cs="Times New Roman"/>
        </w:rPr>
        <w:t xml:space="preserve"> boljih uvjeta prodaje što proizvodnju čini cjenovno konkurentnom na tržištu, a s druge strane utječe na kvantitetu i kvalitetu </w:t>
      </w:r>
      <w:proofErr w:type="spellStart"/>
      <w:r>
        <w:rPr>
          <w:rFonts w:cs="Times New Roman"/>
        </w:rPr>
        <w:t>proiozvoda</w:t>
      </w:r>
      <w:proofErr w:type="spellEnd"/>
      <w:r>
        <w:rPr>
          <w:rFonts w:cs="Times New Roman"/>
        </w:rPr>
        <w:t xml:space="preserve"> jer se pravovremenim reakcijama na podražaje u prirodi utječe na razvoj, kvantitetu i kvalitetu proizvoda.</w:t>
      </w:r>
    </w:p>
    <w:p w:rsidRDefault="00924162" w:rsidP="00924162" w:rsidR="00924162">
      <w:pPr>
        <w:spacing w:lineRule="auto" w:line="360"/>
        <w:rPr>
          <w:rFonts w:cs="Times New Roman"/>
        </w:rPr>
      </w:pPr>
      <w:r>
        <w:rPr>
          <w:rFonts w:cs="Times New Roman"/>
        </w:rPr>
        <w:t>Radi bržeg dolaska do novca pribjegavalo se davanju popusta za avansne uplate.</w:t>
      </w:r>
    </w:p>
    <w:p w:rsidRDefault="00924162" w:rsidP="00924162" w:rsidR="00924162">
      <w:pPr>
        <w:spacing w:lineRule="auto" w:line="360"/>
        <w:rPr>
          <w:rFonts w:cs="Times New Roman"/>
        </w:rPr>
      </w:pPr>
      <w:r>
        <w:rPr>
          <w:rFonts w:cs="Times New Roman"/>
        </w:rPr>
        <w:t>Prodajne cijene poljoprivrednih proizvoda su u pravilu niske i jedva pokrivaju cijene koštanja ukoliko proizvođač plasira svoj proizvod preko posrednika/otkupljivača.</w:t>
      </w:r>
    </w:p>
    <w:p w:rsidRDefault="00924162" w:rsidP="00924162" w:rsidR="00924162">
      <w:pPr>
        <w:spacing w:lineRule="auto" w:line="360"/>
        <w:rPr>
          <w:rFonts w:cs="Times New Roman"/>
        </w:rPr>
      </w:pPr>
      <w:r>
        <w:rPr>
          <w:rFonts w:cs="Times New Roman"/>
        </w:rPr>
        <w:t xml:space="preserve">Tako da će nakon </w:t>
      </w:r>
      <w:proofErr w:type="spellStart"/>
      <w:r>
        <w:rPr>
          <w:rFonts w:cs="Times New Roman"/>
        </w:rPr>
        <w:t>predstečajnog</w:t>
      </w:r>
      <w:proofErr w:type="spellEnd"/>
      <w:r>
        <w:rPr>
          <w:rFonts w:cs="Times New Roman"/>
        </w:rPr>
        <w:t xml:space="preserve"> postupka nastaviti sa starim mjerama te uvesti neke nove mjere dane u nastavku:</w:t>
      </w:r>
    </w:p>
    <w:p w:rsidRDefault="00924162" w:rsidP="00924162" w:rsidR="00924162">
      <w:pPr>
        <w:pStyle w:val="Odlomakpopisa"/>
        <w:numPr>
          <w:ilvl w:val="0"/>
          <w:numId w:val="48"/>
        </w:numPr>
        <w:spacing w:lineRule="auto" w:line="360" w:after="200"/>
        <w:contextualSpacing/>
        <w:jc w:val="left"/>
        <w:rPr>
          <w:rFonts w:cs="Times New Roman"/>
        </w:rPr>
      </w:pPr>
      <w:r>
        <w:rPr>
          <w:rFonts w:cs="Times New Roman"/>
        </w:rPr>
        <w:t>Povećanje broja novih klijenata</w:t>
      </w:r>
    </w:p>
    <w:p w:rsidRDefault="00924162" w:rsidP="00924162" w:rsidR="00924162">
      <w:pPr>
        <w:spacing w:lineRule="auto" w:line="360"/>
        <w:ind w:left="360"/>
        <w:rPr>
          <w:rFonts w:cs="Times New Roman"/>
        </w:rPr>
      </w:pPr>
      <w:r>
        <w:rPr>
          <w:rFonts w:cs="Times New Roman"/>
        </w:rPr>
        <w:t>Jedna od mjera koje su poduzeli je traženje novih klijenata te novih kanala prodaje u svrhu povećanja prihoda.</w:t>
      </w:r>
    </w:p>
    <w:p w:rsidRDefault="00924162" w:rsidP="00924162" w:rsidR="00924162">
      <w:pPr>
        <w:pStyle w:val="Odlomakpopisa"/>
        <w:numPr>
          <w:ilvl w:val="0"/>
          <w:numId w:val="49"/>
        </w:numPr>
        <w:spacing w:lineRule="auto" w:line="360" w:after="200" w:before="240"/>
        <w:contextualSpacing/>
        <w:rPr>
          <w:rFonts w:cs="Times New Roman"/>
        </w:rPr>
      </w:pPr>
      <w:r>
        <w:rPr>
          <w:rFonts w:cs="Times New Roman"/>
        </w:rPr>
        <w:t>Optimizacija radnih procesa</w:t>
      </w:r>
    </w:p>
    <w:p w:rsidRDefault="00924162" w:rsidP="00924162" w:rsidR="00924162">
      <w:pPr>
        <w:spacing w:lineRule="auto" w:line="360"/>
        <w:ind w:left="360"/>
        <w:rPr>
          <w:rFonts w:cs="Times New Roman"/>
        </w:rPr>
      </w:pPr>
      <w:proofErr w:type="spellStart"/>
      <w:r>
        <w:rPr>
          <w:rFonts w:cs="Times New Roman"/>
        </w:rPr>
        <w:t>Nadglednjem</w:t>
      </w:r>
      <w:proofErr w:type="spellEnd"/>
      <w:r>
        <w:rPr>
          <w:rFonts w:cs="Times New Roman"/>
        </w:rPr>
        <w:t xml:space="preserve"> rukovoditelja pojedinog centra odgovornosti – fizičkom </w:t>
      </w:r>
      <w:proofErr w:type="spellStart"/>
      <w:r>
        <w:rPr>
          <w:rFonts w:cs="Times New Roman"/>
        </w:rPr>
        <w:t>pristutnošću</w:t>
      </w:r>
      <w:proofErr w:type="spellEnd"/>
      <w:r>
        <w:rPr>
          <w:rFonts w:cs="Times New Roman"/>
        </w:rPr>
        <w:t xml:space="preserve"> ili proučavanjem evidencije rada te utrošenog vremena i dobivenog rezultata.</w:t>
      </w:r>
    </w:p>
    <w:p w:rsidRDefault="00924162" w:rsidP="00924162" w:rsidR="00924162">
      <w:pPr>
        <w:pStyle w:val="Odlomakpopisa"/>
        <w:numPr>
          <w:ilvl w:val="0"/>
          <w:numId w:val="49"/>
        </w:numPr>
        <w:spacing w:lineRule="auto" w:line="360" w:after="200"/>
        <w:contextualSpacing/>
        <w:jc w:val="left"/>
        <w:rPr>
          <w:rFonts w:cs="Times New Roman"/>
        </w:rPr>
      </w:pPr>
      <w:r>
        <w:rPr>
          <w:rFonts w:cs="Times New Roman"/>
        </w:rPr>
        <w:t xml:space="preserve">Smanjenje troškova </w:t>
      </w:r>
    </w:p>
    <w:p w:rsidRDefault="00924162" w:rsidP="00924162" w:rsidR="00924162">
      <w:pPr>
        <w:ind w:left="360"/>
        <w:rPr>
          <w:rFonts w:cs="Times New Roman"/>
        </w:rPr>
      </w:pPr>
      <w:r>
        <w:rPr>
          <w:rFonts w:cs="Times New Roman"/>
        </w:rPr>
        <w:t>Smanjenje nabavnih cijena u korelaciji je sa slobodnim novčanim tokom. Dobavljače se i do sada biralo temeljem modela „najpovoljnija ponuda“.</w:t>
      </w:r>
    </w:p>
    <w:p w:rsidRDefault="00924162" w:rsidP="00924162" w:rsidR="00924162">
      <w:pPr>
        <w:spacing w:lineRule="auto" w:line="360"/>
        <w:ind w:left="360"/>
        <w:jc w:val="both"/>
        <w:rPr>
          <w:rFonts w:cs="Times New Roman"/>
        </w:rPr>
      </w:pPr>
      <w:r>
        <w:rPr>
          <w:rFonts w:cs="Times New Roman"/>
        </w:rPr>
        <w:lastRenderedPageBreak/>
        <w:t xml:space="preserve">Očekujemo oslobađanje novčanog toka u narednom periodu ukoliko se uspješno provede plan restrukturiranja u odnosu na postojeće vjerovnike. Naime, s obzirom da je VRT d.o.o. tvrtke sezonskog karaktera poslovanja, u prethodnom razdoblju se borila s nesolventnošću jer moguća prodaje vlastitih proizvoda ovisi o periodu u godini, a period realizacije prodaje nastupa krajem rujna. Također, oslobađanjem novčanog toka namjera je </w:t>
      </w:r>
      <w:proofErr w:type="spellStart"/>
      <w:r>
        <w:rPr>
          <w:rFonts w:cs="Times New Roman"/>
        </w:rPr>
        <w:t>povečati</w:t>
      </w:r>
      <w:proofErr w:type="spellEnd"/>
      <w:r>
        <w:rPr>
          <w:rFonts w:cs="Times New Roman"/>
        </w:rPr>
        <w:t xml:space="preserve"> koeficijent obrtaja zaliha kako bi se stvorila veća dodana vrijednost s obzirom na niske marže prisutne u trgovini.</w:t>
      </w:r>
    </w:p>
    <w:p w:rsidRDefault="00924162" w:rsidP="00924162" w:rsidR="00924162">
      <w:pPr>
        <w:spacing w:lineRule="auto" w:line="360"/>
        <w:ind w:left="360"/>
        <w:jc w:val="both"/>
        <w:rPr>
          <w:rFonts w:cs="Times New Roman"/>
        </w:rPr>
      </w:pPr>
      <w:r>
        <w:rPr>
          <w:rFonts w:cs="Times New Roman"/>
        </w:rPr>
        <w:t>Troškovi redovitog poslovanja smanjuju se  tako što se troškovi struje i plina se racionaliziraju, optimiziraju se interni poslovni procesi, racionalno se pristupa nabavi , smanjuju se troškovi telefona, goriva, potrošnog materijala</w:t>
      </w:r>
    </w:p>
    <w:p w:rsidRDefault="00924162" w:rsidP="00924162" w:rsidR="00924162">
      <w:pPr>
        <w:pStyle w:val="Odlomakpopisa"/>
        <w:numPr>
          <w:ilvl w:val="0"/>
          <w:numId w:val="49"/>
        </w:numPr>
        <w:spacing w:lineRule="auto" w:line="360" w:after="200"/>
        <w:contextualSpacing/>
        <w:rPr>
          <w:rFonts w:cs="Times New Roman"/>
        </w:rPr>
      </w:pPr>
      <w:r>
        <w:rPr>
          <w:rFonts w:cs="Times New Roman"/>
        </w:rPr>
        <w:t>Učinkovitija naplata potraživanja</w:t>
      </w:r>
    </w:p>
    <w:p w:rsidRDefault="00924162" w:rsidP="00924162" w:rsidR="00924162">
      <w:pPr>
        <w:spacing w:lineRule="auto" w:line="360"/>
        <w:ind w:left="357"/>
        <w:jc w:val="both"/>
        <w:rPr>
          <w:rFonts w:cs="Times New Roman" w:eastAsia="Times New Roman"/>
          <w:lang w:eastAsia="hr-HR" w:val="en-US"/>
        </w:rPr>
      </w:pPr>
      <w:r>
        <w:rPr>
          <w:rFonts w:cs="Times New Roman" w:eastAsia="Times New Roman"/>
          <w:lang w:eastAsia="hr-HR"/>
        </w:rPr>
        <w:t xml:space="preserve">Planira se ubuduće tražiti avansnu naplatu potraživanja te provoditi ispitivanje solventnosti kupaca. </w:t>
      </w:r>
      <w:proofErr w:type="spellStart"/>
      <w:r>
        <w:rPr>
          <w:rFonts w:cs="Times New Roman" w:eastAsia="Times New Roman"/>
          <w:lang w:eastAsia="hr-HR" w:val="en-US"/>
        </w:rPr>
        <w:t>Kroz</w:t>
      </w:r>
      <w:proofErr w:type="spellEnd"/>
      <w:r>
        <w:rPr>
          <w:rFonts w:cs="Times New Roman" w:eastAsia="Times New Roman"/>
          <w:lang w:eastAsia="hr-HR" w:val="en-US"/>
        </w:rPr>
        <w:t xml:space="preserve"> </w:t>
      </w:r>
      <w:proofErr w:type="spellStart"/>
      <w:r>
        <w:rPr>
          <w:rFonts w:cs="Times New Roman" w:eastAsia="Times New Roman"/>
          <w:lang w:eastAsia="hr-HR" w:val="en-US"/>
        </w:rPr>
        <w:t>suradnju</w:t>
      </w:r>
      <w:proofErr w:type="spellEnd"/>
      <w:r>
        <w:rPr>
          <w:rFonts w:cs="Times New Roman" w:eastAsia="Times New Roman"/>
          <w:lang w:eastAsia="hr-HR" w:val="en-US"/>
        </w:rPr>
        <w:t xml:space="preserve"> </w:t>
      </w:r>
      <w:proofErr w:type="spellStart"/>
      <w:r>
        <w:rPr>
          <w:rFonts w:cs="Times New Roman" w:eastAsia="Times New Roman"/>
          <w:lang w:eastAsia="hr-HR" w:val="en-US"/>
        </w:rPr>
        <w:t>kvalitetnim</w:t>
      </w:r>
      <w:proofErr w:type="spellEnd"/>
      <w:r>
        <w:rPr>
          <w:rFonts w:cs="Times New Roman" w:eastAsia="Times New Roman"/>
          <w:lang w:eastAsia="hr-HR" w:val="en-US"/>
        </w:rPr>
        <w:t xml:space="preserve"> </w:t>
      </w:r>
      <w:proofErr w:type="spellStart"/>
      <w:r>
        <w:rPr>
          <w:rFonts w:cs="Times New Roman" w:eastAsia="Times New Roman"/>
          <w:lang w:eastAsia="hr-HR" w:val="en-US"/>
        </w:rPr>
        <w:t>i</w:t>
      </w:r>
      <w:proofErr w:type="spellEnd"/>
      <w:r>
        <w:rPr>
          <w:rFonts w:cs="Times New Roman" w:eastAsia="Times New Roman"/>
          <w:lang w:eastAsia="hr-HR" w:val="en-US"/>
        </w:rPr>
        <w:t xml:space="preserve"> </w:t>
      </w:r>
      <w:proofErr w:type="spellStart"/>
      <w:r>
        <w:rPr>
          <w:rFonts w:cs="Times New Roman" w:eastAsia="Times New Roman"/>
          <w:lang w:eastAsia="hr-HR" w:val="en-US"/>
        </w:rPr>
        <w:t>pouzdanim</w:t>
      </w:r>
      <w:proofErr w:type="spellEnd"/>
      <w:r>
        <w:rPr>
          <w:rFonts w:cs="Times New Roman" w:eastAsia="Times New Roman"/>
          <w:lang w:eastAsia="hr-HR" w:val="en-US"/>
        </w:rPr>
        <w:t xml:space="preserve"> </w:t>
      </w:r>
      <w:proofErr w:type="spellStart"/>
      <w:r>
        <w:rPr>
          <w:rFonts w:cs="Times New Roman" w:eastAsia="Times New Roman"/>
          <w:lang w:eastAsia="hr-HR" w:val="en-US"/>
        </w:rPr>
        <w:t>kupcima</w:t>
      </w:r>
      <w:proofErr w:type="spellEnd"/>
      <w:r>
        <w:rPr>
          <w:rFonts w:cs="Times New Roman" w:eastAsia="Times New Roman"/>
          <w:lang w:eastAsia="hr-HR" w:val="en-US"/>
        </w:rPr>
        <w:t xml:space="preserve"> </w:t>
      </w:r>
      <w:proofErr w:type="spellStart"/>
      <w:r>
        <w:rPr>
          <w:rFonts w:cs="Times New Roman" w:eastAsia="Times New Roman"/>
          <w:lang w:eastAsia="hr-HR" w:val="en-US"/>
        </w:rPr>
        <w:t>osigurala</w:t>
      </w:r>
      <w:proofErr w:type="spellEnd"/>
      <w:r>
        <w:rPr>
          <w:rFonts w:cs="Times New Roman" w:eastAsia="Times New Roman"/>
          <w:lang w:eastAsia="hr-HR" w:val="en-US"/>
        </w:rPr>
        <w:t xml:space="preserve"> bi se </w:t>
      </w:r>
      <w:proofErr w:type="spellStart"/>
      <w:r>
        <w:rPr>
          <w:rFonts w:cs="Times New Roman" w:eastAsia="Times New Roman"/>
          <w:lang w:eastAsia="hr-HR" w:val="en-US"/>
        </w:rPr>
        <w:t>potrebna</w:t>
      </w:r>
      <w:proofErr w:type="spellEnd"/>
      <w:r>
        <w:rPr>
          <w:rFonts w:cs="Times New Roman" w:eastAsia="Times New Roman"/>
          <w:lang w:eastAsia="hr-HR" w:val="en-US"/>
        </w:rPr>
        <w:t xml:space="preserve"> </w:t>
      </w:r>
      <w:proofErr w:type="spellStart"/>
      <w:r>
        <w:rPr>
          <w:rFonts w:cs="Times New Roman" w:eastAsia="Times New Roman"/>
          <w:lang w:eastAsia="hr-HR" w:val="en-US"/>
        </w:rPr>
        <w:t>razina</w:t>
      </w:r>
      <w:proofErr w:type="spellEnd"/>
      <w:r>
        <w:rPr>
          <w:rFonts w:cs="Times New Roman" w:eastAsia="Times New Roman"/>
          <w:lang w:eastAsia="hr-HR" w:val="en-US"/>
        </w:rPr>
        <w:t xml:space="preserve"> </w:t>
      </w:r>
      <w:proofErr w:type="spellStart"/>
      <w:r>
        <w:rPr>
          <w:rFonts w:cs="Times New Roman" w:eastAsia="Times New Roman"/>
          <w:lang w:eastAsia="hr-HR" w:val="en-US"/>
        </w:rPr>
        <w:t>naplate</w:t>
      </w:r>
      <w:proofErr w:type="spellEnd"/>
      <w:r>
        <w:rPr>
          <w:rFonts w:cs="Times New Roman" w:eastAsia="Times New Roman"/>
          <w:lang w:eastAsia="hr-HR" w:val="en-US"/>
        </w:rPr>
        <w:t xml:space="preserve">, </w:t>
      </w:r>
      <w:proofErr w:type="spellStart"/>
      <w:r>
        <w:rPr>
          <w:rFonts w:cs="Times New Roman" w:eastAsia="Times New Roman"/>
          <w:lang w:eastAsia="hr-HR" w:val="en-US"/>
        </w:rPr>
        <w:t>odnosno</w:t>
      </w:r>
      <w:proofErr w:type="spellEnd"/>
      <w:r>
        <w:rPr>
          <w:rFonts w:cs="Times New Roman" w:eastAsia="Times New Roman"/>
          <w:lang w:eastAsia="hr-HR" w:val="en-US"/>
        </w:rPr>
        <w:t xml:space="preserve"> </w:t>
      </w:r>
      <w:proofErr w:type="spellStart"/>
      <w:r>
        <w:rPr>
          <w:rFonts w:cs="Times New Roman" w:eastAsia="Times New Roman"/>
          <w:lang w:eastAsia="hr-HR" w:val="en-US"/>
        </w:rPr>
        <w:t>smanjenje</w:t>
      </w:r>
      <w:proofErr w:type="spellEnd"/>
      <w:r>
        <w:rPr>
          <w:rFonts w:cs="Times New Roman" w:eastAsia="Times New Roman"/>
          <w:lang w:eastAsia="hr-HR" w:val="en-US"/>
        </w:rPr>
        <w:t xml:space="preserve"> </w:t>
      </w:r>
      <w:proofErr w:type="spellStart"/>
      <w:r>
        <w:rPr>
          <w:rFonts w:cs="Times New Roman" w:eastAsia="Times New Roman"/>
          <w:lang w:eastAsia="hr-HR" w:val="en-US"/>
        </w:rPr>
        <w:t>potraživanja</w:t>
      </w:r>
      <w:proofErr w:type="spellEnd"/>
      <w:r>
        <w:rPr>
          <w:rFonts w:cs="Times New Roman" w:eastAsia="Times New Roman"/>
          <w:lang w:eastAsia="hr-HR" w:val="en-US"/>
        </w:rPr>
        <w:t xml:space="preserve"> </w:t>
      </w:r>
      <w:proofErr w:type="spellStart"/>
      <w:r>
        <w:rPr>
          <w:rFonts w:cs="Times New Roman" w:eastAsia="Times New Roman"/>
          <w:lang w:eastAsia="hr-HR" w:val="en-US"/>
        </w:rPr>
        <w:t>kako</w:t>
      </w:r>
      <w:proofErr w:type="spellEnd"/>
      <w:r>
        <w:rPr>
          <w:rFonts w:cs="Times New Roman" w:eastAsia="Times New Roman"/>
          <w:lang w:eastAsia="hr-HR" w:val="en-US"/>
        </w:rPr>
        <w:t xml:space="preserve"> bi </w:t>
      </w:r>
      <w:proofErr w:type="spellStart"/>
      <w:r>
        <w:rPr>
          <w:rFonts w:cs="Times New Roman" w:eastAsia="Times New Roman"/>
          <w:lang w:eastAsia="hr-HR" w:val="en-US"/>
        </w:rPr>
        <w:t>Društvo</w:t>
      </w:r>
      <w:proofErr w:type="spellEnd"/>
      <w:r>
        <w:rPr>
          <w:rFonts w:cs="Times New Roman" w:eastAsia="Times New Roman"/>
          <w:lang w:eastAsia="hr-HR" w:val="en-US"/>
        </w:rPr>
        <w:t xml:space="preserve"> </w:t>
      </w:r>
      <w:proofErr w:type="spellStart"/>
      <w:r>
        <w:rPr>
          <w:rFonts w:cs="Times New Roman" w:eastAsia="Times New Roman"/>
          <w:lang w:eastAsia="hr-HR" w:val="en-US"/>
        </w:rPr>
        <w:t>pravovremeno</w:t>
      </w:r>
      <w:proofErr w:type="spellEnd"/>
      <w:r>
        <w:rPr>
          <w:rFonts w:cs="Times New Roman" w:eastAsia="Times New Roman"/>
          <w:lang w:eastAsia="hr-HR" w:val="en-US"/>
        </w:rPr>
        <w:t xml:space="preserve"> </w:t>
      </w:r>
      <w:proofErr w:type="spellStart"/>
      <w:r>
        <w:rPr>
          <w:rFonts w:cs="Times New Roman" w:eastAsia="Times New Roman"/>
          <w:lang w:eastAsia="hr-HR" w:val="en-US"/>
        </w:rPr>
        <w:t>moglo</w:t>
      </w:r>
      <w:proofErr w:type="spellEnd"/>
      <w:r>
        <w:rPr>
          <w:rFonts w:cs="Times New Roman" w:eastAsia="Times New Roman"/>
          <w:lang w:eastAsia="hr-HR" w:val="en-US"/>
        </w:rPr>
        <w:t xml:space="preserve"> </w:t>
      </w:r>
      <w:proofErr w:type="spellStart"/>
      <w:r>
        <w:rPr>
          <w:rFonts w:cs="Times New Roman" w:eastAsia="Times New Roman"/>
          <w:lang w:eastAsia="hr-HR" w:val="en-US"/>
        </w:rPr>
        <w:t>zatvarati</w:t>
      </w:r>
      <w:proofErr w:type="spellEnd"/>
      <w:r>
        <w:rPr>
          <w:rFonts w:cs="Times New Roman" w:eastAsia="Times New Roman"/>
          <w:lang w:eastAsia="hr-HR" w:val="en-US"/>
        </w:rPr>
        <w:t xml:space="preserve"> </w:t>
      </w:r>
      <w:proofErr w:type="spellStart"/>
      <w:r>
        <w:rPr>
          <w:rFonts w:cs="Times New Roman" w:eastAsia="Times New Roman"/>
          <w:lang w:eastAsia="hr-HR" w:val="en-US"/>
        </w:rPr>
        <w:t>svoje</w:t>
      </w:r>
      <w:proofErr w:type="spellEnd"/>
      <w:r>
        <w:rPr>
          <w:rFonts w:cs="Times New Roman" w:eastAsia="Times New Roman"/>
          <w:lang w:eastAsia="hr-HR" w:val="en-US"/>
        </w:rPr>
        <w:t xml:space="preserve"> </w:t>
      </w:r>
      <w:proofErr w:type="spellStart"/>
      <w:r>
        <w:rPr>
          <w:rFonts w:cs="Times New Roman" w:eastAsia="Times New Roman"/>
          <w:lang w:eastAsia="hr-HR" w:val="en-US"/>
        </w:rPr>
        <w:t>obveze</w:t>
      </w:r>
      <w:proofErr w:type="spellEnd"/>
      <w:r>
        <w:rPr>
          <w:rFonts w:cs="Times New Roman" w:eastAsia="Times New Roman"/>
          <w:lang w:eastAsia="hr-HR" w:val="en-US"/>
        </w:rPr>
        <w:t>.</w:t>
      </w:r>
    </w:p>
    <w:p w:rsidRDefault="00924162" w:rsidP="00924162" w:rsidR="00924162">
      <w:pPr>
        <w:spacing w:lineRule="auto" w:line="360"/>
        <w:ind w:left="357"/>
        <w:jc w:val="both"/>
        <w:rPr>
          <w:rFonts w:cs="Times New Roman" w:eastAsia="Times New Roman"/>
          <w:lang w:eastAsia="hr-HR" w:val="en-US"/>
        </w:rPr>
      </w:pPr>
      <w:r>
        <w:rPr>
          <w:rFonts w:cs="Times New Roman" w:eastAsia="Times New Roman"/>
          <w:lang w:eastAsia="hr-HR"/>
        </w:rPr>
        <w:t xml:space="preserve">Plan je početi iznajmljivati poslovne prostore upravne zgrade radi </w:t>
      </w:r>
      <w:proofErr w:type="spellStart"/>
      <w:r>
        <w:rPr>
          <w:rFonts w:cs="Times New Roman" w:eastAsia="Times New Roman"/>
          <w:lang w:eastAsia="hr-HR"/>
        </w:rPr>
        <w:t>ostvarivalja</w:t>
      </w:r>
      <w:proofErr w:type="spellEnd"/>
      <w:r>
        <w:rPr>
          <w:rFonts w:cs="Times New Roman" w:eastAsia="Times New Roman"/>
          <w:lang w:eastAsia="hr-HR"/>
        </w:rPr>
        <w:t xml:space="preserve"> redovitih mjesečnih priljeva.</w:t>
      </w:r>
    </w:p>
    <w:p w:rsidRDefault="00924162" w:rsidP="00924162" w:rsidR="00924162">
      <w:pPr>
        <w:ind w:left="360"/>
        <w:jc w:val="both"/>
        <w:rPr>
          <w:rFonts w:cs="Times New Roman" w:eastAsia="Times New Roman"/>
          <w:lang w:eastAsia="hr-HR"/>
        </w:rPr>
      </w:pPr>
    </w:p>
    <w:p w:rsidRDefault="00924162" w:rsidP="00924162" w:rsidR="00924162">
      <w:pPr>
        <w:rPr>
          <w:rFonts w:cs="Times New Roman"/>
        </w:rPr>
      </w:pPr>
    </w:p>
    <w:p w:rsidRDefault="00924162" w:rsidP="00924162" w:rsidR="00924162">
      <w:pPr>
        <w:rPr>
          <w:rFonts w:cs="Times New Roman"/>
        </w:rPr>
      </w:pPr>
    </w:p>
    <w:p w:rsidRDefault="00924162" w:rsidP="00924162" w:rsidR="00924162">
      <w:pPr>
        <w:rPr>
          <w:rFonts w:cs="Times New Roman"/>
        </w:rPr>
      </w:pPr>
    </w:p>
    <w:p w:rsidRDefault="00924162" w:rsidP="00924162" w:rsidR="00924162">
      <w:pPr>
        <w:rPr>
          <w:rFonts w:cs="Times New Roman"/>
        </w:rPr>
      </w:pPr>
    </w:p>
    <w:p w:rsidRDefault="00924162" w:rsidP="00924162" w:rsidR="00924162">
      <w:pPr>
        <w:rPr>
          <w:rFonts w:cs="Times New Roman"/>
        </w:rPr>
      </w:pPr>
    </w:p>
    <w:p w:rsidRDefault="00924162" w:rsidP="00924162" w:rsidR="00924162">
      <w:pPr>
        <w:rPr>
          <w:rFonts w:cs="Times New Roman"/>
        </w:rPr>
      </w:pPr>
    </w:p>
    <w:p w:rsidRDefault="00924162" w:rsidP="00924162" w:rsidR="00924162">
      <w:pPr>
        <w:rPr>
          <w:rFonts w:cs="Times New Roman"/>
        </w:rPr>
      </w:pPr>
    </w:p>
    <w:p w:rsidRDefault="00924162" w:rsidP="00924162" w:rsidR="00924162">
      <w:pPr>
        <w:rPr>
          <w:rFonts w:cs="Times New Roman"/>
        </w:rPr>
      </w:pPr>
    </w:p>
    <w:p w:rsidRDefault="00924162" w:rsidP="00924162" w:rsidR="00924162">
      <w:pPr>
        <w:rPr>
          <w:rFonts w:cs="Times New Roman"/>
        </w:rPr>
      </w:pPr>
    </w:p>
    <w:p w:rsidRDefault="00924162" w:rsidP="00924162" w:rsidR="00924162">
      <w:pPr>
        <w:rPr>
          <w:rFonts w:cs="Times New Roman"/>
        </w:rPr>
      </w:pPr>
    </w:p>
    <w:p w:rsidRDefault="00924162" w:rsidP="00924162" w:rsidR="00924162">
      <w:pPr>
        <w:rPr>
          <w:rFonts w:cs="Times New Roman"/>
        </w:rPr>
      </w:pPr>
    </w:p>
    <w:p w:rsidRDefault="00924162" w:rsidP="00924162" w:rsidR="00924162">
      <w:pPr>
        <w:rPr>
          <w:rFonts w:cs="Times New Roman"/>
        </w:rPr>
      </w:pPr>
    </w:p>
    <w:p w:rsidRDefault="00924162" w:rsidP="00924162" w:rsidR="00924162">
      <w:pPr>
        <w:pStyle w:val="Naslov1"/>
        <w:rPr>
          <w:rFonts w:cs="Times New Roman"/>
          <w:sz w:val="24"/>
          <w:szCs w:val="24"/>
        </w:rPr>
      </w:pPr>
      <w:bookmarkStart w:name="_Toc458436250" w:id="37"/>
      <w:bookmarkStart w:name="_Toc432416059" w:id="38"/>
      <w:bookmarkStart w:name="_Toc430627157" w:id="39"/>
      <w:r>
        <w:rPr>
          <w:rFonts w:cs="Times New Roman"/>
          <w:sz w:val="24"/>
          <w:szCs w:val="24"/>
        </w:rPr>
        <w:t>5. PLAN POSLOVANJA</w:t>
      </w:r>
      <w:bookmarkEnd w:id="37"/>
      <w:r>
        <w:rPr>
          <w:rFonts w:cs="Times New Roman"/>
          <w:sz w:val="24"/>
          <w:szCs w:val="24"/>
        </w:rPr>
        <w:t xml:space="preserve"> </w:t>
      </w:r>
      <w:bookmarkEnd w:id="38"/>
      <w:bookmarkEnd w:id="39"/>
    </w:p>
    <w:p w:rsidRDefault="00924162" w:rsidP="00924162" w:rsidR="00924162">
      <w:pPr>
        <w:spacing w:lineRule="auto" w:line="360" w:before="240"/>
        <w:jc w:val="both"/>
        <w:rPr>
          <w:rFonts w:cs="Times New Roman"/>
        </w:rPr>
      </w:pPr>
      <w:r>
        <w:rPr>
          <w:rFonts w:cs="Times New Roman"/>
        </w:rPr>
        <w:t>Ključne pretpostavke projekcije poslovanja:</w:t>
      </w:r>
    </w:p>
    <w:p w:rsidRDefault="00924162" w:rsidP="00924162" w:rsidR="00924162">
      <w:pPr>
        <w:pStyle w:val="Odlomakpopisa"/>
        <w:numPr>
          <w:ilvl w:val="0"/>
          <w:numId w:val="49"/>
        </w:numPr>
        <w:spacing w:lineRule="auto" w:line="360" w:after="200" w:before="240"/>
        <w:contextualSpacing/>
        <w:rPr>
          <w:rFonts w:cs="Times New Roman"/>
        </w:rPr>
      </w:pPr>
      <w:r>
        <w:rPr>
          <w:rFonts w:cs="Times New Roman"/>
        </w:rPr>
        <w:t>Projekcija računa dobiti i gubitka utvrđena je za 2 godine poslovanja, a podlogu za izračun čine utvrđene kategorije u Planu restrukturiranja (tržišne okolnosti, utjecaj na prodajnu i troškovnu učinkovitost, utjecaj financijskog restrukturiranja).</w:t>
      </w:r>
    </w:p>
    <w:p w:rsidRDefault="00924162" w:rsidP="00924162" w:rsidR="00924162">
      <w:pPr>
        <w:pStyle w:val="Odlomakpopisa"/>
        <w:numPr>
          <w:ilvl w:val="0"/>
          <w:numId w:val="49"/>
        </w:numPr>
        <w:spacing w:lineRule="auto" w:line="360" w:after="200" w:before="240"/>
        <w:contextualSpacing/>
        <w:rPr>
          <w:rFonts w:cs="Times New Roman"/>
        </w:rPr>
      </w:pPr>
      <w:r>
        <w:rPr>
          <w:rFonts w:cs="Times New Roman"/>
        </w:rPr>
        <w:t>Prihodi i bruto marža – Projekcija prihoda unutar prikazanog računa dobiti i gubitka temelji se na projekcijama za sve djelatnosti kojima se društvo bavi, a interpretira se kroz ključne pokazatelje ekonomske efikasnosti od kojih su najvažniji:</w:t>
      </w:r>
    </w:p>
    <w:p w:rsidRDefault="00924162" w:rsidP="00924162" w:rsidR="00924162">
      <w:pPr>
        <w:pStyle w:val="Odlomakpopisa"/>
        <w:numPr>
          <w:ilvl w:val="1"/>
          <w:numId w:val="49"/>
        </w:numPr>
        <w:tabs>
          <w:tab w:pos="851" w:val="clear"/>
        </w:tabs>
        <w:spacing w:lineRule="auto" w:line="360" w:after="200" w:before="240"/>
        <w:contextualSpacing/>
        <w:rPr>
          <w:rFonts w:cs="Times New Roman"/>
        </w:rPr>
      </w:pPr>
      <w:r>
        <w:rPr>
          <w:rFonts w:cs="Times New Roman"/>
        </w:rPr>
        <w:t xml:space="preserve">Stabilizacija prihoda, povećanje bruto, marže i poboljšanje naplate dodatnim instrumentima osiguranja, a zasnivaju se na predviđenom utjecaju projekta restrukturiranja kao i na likvidnom poslovanju dok kojeg se došlo putem </w:t>
      </w:r>
      <w:proofErr w:type="spellStart"/>
      <w:r>
        <w:rPr>
          <w:rFonts w:cs="Times New Roman"/>
        </w:rPr>
        <w:t>resporegama</w:t>
      </w:r>
      <w:proofErr w:type="spellEnd"/>
      <w:r>
        <w:rPr>
          <w:rFonts w:cs="Times New Roman"/>
        </w:rPr>
        <w:t xml:space="preserve"> obveza.</w:t>
      </w:r>
    </w:p>
    <w:p w:rsidRDefault="00924162" w:rsidP="00924162" w:rsidR="00924162">
      <w:pPr>
        <w:pStyle w:val="Odlomakpopisa"/>
        <w:numPr>
          <w:ilvl w:val="1"/>
          <w:numId w:val="49"/>
        </w:numPr>
        <w:tabs>
          <w:tab w:pos="851" w:val="clear"/>
        </w:tabs>
        <w:spacing w:lineRule="auto" w:line="360" w:after="200" w:before="240"/>
        <w:contextualSpacing/>
        <w:rPr>
          <w:rFonts w:cs="Times New Roman"/>
        </w:rPr>
      </w:pPr>
      <w:r>
        <w:rPr>
          <w:rFonts w:cs="Times New Roman"/>
        </w:rPr>
        <w:t>Rast prihoda kroz povećanje kanala prodaje (novi kupci, suradnje sa postojećim kupcima, proširenje tržišta-EU)</w:t>
      </w:r>
    </w:p>
    <w:p w:rsidRDefault="00924162" w:rsidP="00924162" w:rsidR="00924162">
      <w:pPr>
        <w:pStyle w:val="Odlomakpopisa"/>
        <w:numPr>
          <w:ilvl w:val="0"/>
          <w:numId w:val="49"/>
        </w:numPr>
        <w:spacing w:lineRule="auto" w:line="360" w:after="200" w:before="240"/>
        <w:contextualSpacing/>
        <w:rPr>
          <w:rFonts w:cs="Times New Roman"/>
        </w:rPr>
      </w:pPr>
      <w:r>
        <w:rPr>
          <w:rFonts w:cs="Times New Roman"/>
        </w:rPr>
        <w:t>Troškovi – projekcija troškova unutar prikazanog računa dobiti i gubitka temelji se na projiciranju svake pojedine stavke troškova, od kojih su ključni:</w:t>
      </w:r>
    </w:p>
    <w:p w:rsidRDefault="00924162" w:rsidP="00924162" w:rsidR="00924162">
      <w:pPr>
        <w:pStyle w:val="Odlomakpopisa"/>
        <w:numPr>
          <w:ilvl w:val="1"/>
          <w:numId w:val="49"/>
        </w:numPr>
        <w:tabs>
          <w:tab w:pos="851" w:val="clear"/>
        </w:tabs>
        <w:spacing w:lineRule="auto" w:line="360" w:after="200" w:before="240"/>
        <w:contextualSpacing/>
        <w:rPr>
          <w:rFonts w:cs="Times New Roman"/>
        </w:rPr>
      </w:pPr>
      <w:r>
        <w:rPr>
          <w:rFonts w:cs="Times New Roman"/>
        </w:rPr>
        <w:t>Smanjenje operativnih troškova koje će se ostvariti kroz povećan opseg posla i veće marže.</w:t>
      </w:r>
    </w:p>
    <w:p w:rsidRDefault="00924162" w:rsidP="00924162" w:rsidR="00924162">
      <w:pPr>
        <w:pStyle w:val="Odlomakpopisa"/>
        <w:numPr>
          <w:ilvl w:val="0"/>
          <w:numId w:val="49"/>
        </w:numPr>
        <w:spacing w:lineRule="auto" w:line="360" w:after="200" w:before="120"/>
        <w:ind w:hanging="357" w:left="714"/>
        <w:contextualSpacing/>
        <w:rPr>
          <w:rFonts w:cs="Times New Roman"/>
        </w:rPr>
      </w:pPr>
      <w:r>
        <w:rPr>
          <w:rFonts w:cs="Times New Roman"/>
        </w:rPr>
        <w:t>U nastavku prikazujemo prosječne mjesečne troškove za nesmetano poslovanje (iznosi u kn), a odnose se na osnovne troškove poslovanja društva. U navedene troškove uključeni su troškovi repromaterijala, energije, održavanja, plaće i otplate.</w:t>
      </w:r>
    </w:p>
    <w:tbl>
      <w:tblPr>
        <w:tblW w:type="dxa" w:w="9223"/>
        <w:tblInd w:type="dxa" w:w="93"/>
        <w:tblLook w:val="04A0" w:noVBand="1" w:noHBand="0" w:lastColumn="0" w:firstColumn="1" w:lastRow="0" w:firstRow="1"/>
      </w:tblPr>
      <w:tblGrid>
        <w:gridCol w:w="615"/>
        <w:gridCol w:w="7232"/>
        <w:gridCol w:w="1376"/>
      </w:tblGrid>
      <w:tr w:rsidTr="00924162" w:rsidR="00924162">
        <w:trPr>
          <w:trHeight w:val="301"/>
        </w:trPr>
        <w:tc>
          <w:tcPr>
            <w:tcW w:type="dxa" w:w="615"/>
            <w:tcBorders>
              <w:top w:space="0" w:sz="4" w:color="auto" w:val="single"/>
              <w:left w:space="0" w:sz="4" w:color="auto" w:val="single"/>
              <w:bottom w:space="0" w:sz="4" w:color="auto" w:val="single"/>
              <w:right w:space="0" w:sz="4" w:color="auto" w:val="single"/>
            </w:tcBorders>
            <w:shd w:fill="E5DFEC" w:color="auto" w:val="clear"/>
            <w:noWrap/>
            <w:vAlign w:val="bottom"/>
            <w:hideMark/>
          </w:tcPr>
          <w:p w:rsidRDefault="00924162" w:rsidR="00924162">
            <w:pPr>
              <w:spacing w:after="0"/>
              <w:rPr>
                <w:rFonts w:cs="Times New Roman" w:eastAsia="Times New Roman"/>
                <w:color w:val="000000"/>
                <w:sz w:val="18"/>
                <w:szCs w:val="18"/>
                <w:lang w:eastAsia="hr-HR"/>
              </w:rPr>
            </w:pPr>
            <w:r>
              <w:rPr>
                <w:rFonts w:cs="Times New Roman" w:eastAsia="Times New Roman"/>
                <w:color w:val="000000"/>
                <w:sz w:val="18"/>
                <w:szCs w:val="18"/>
                <w:lang w:eastAsia="hr-HR"/>
              </w:rPr>
              <w:t>RB</w:t>
            </w:r>
          </w:p>
        </w:tc>
        <w:tc>
          <w:tcPr>
            <w:tcW w:type="dxa" w:w="7232"/>
            <w:tcBorders>
              <w:top w:space="0" w:sz="4" w:color="auto" w:val="single"/>
              <w:left w:val="nil"/>
              <w:bottom w:space="0" w:sz="4" w:color="auto" w:val="single"/>
              <w:right w:space="0" w:sz="4" w:color="auto" w:val="single"/>
            </w:tcBorders>
            <w:shd w:fill="E5DFEC" w:color="auto" w:val="clear"/>
            <w:noWrap/>
            <w:vAlign w:val="bottom"/>
            <w:hideMark/>
          </w:tcPr>
          <w:p w:rsidRDefault="00924162" w:rsidR="00924162">
            <w:pPr>
              <w:spacing w:after="0"/>
              <w:rPr>
                <w:rFonts w:cs="Times New Roman" w:eastAsia="Times New Roman"/>
                <w:color w:val="000000"/>
                <w:sz w:val="18"/>
                <w:szCs w:val="18"/>
                <w:lang w:eastAsia="hr-HR"/>
              </w:rPr>
            </w:pPr>
            <w:r>
              <w:rPr>
                <w:rFonts w:cs="Times New Roman" w:eastAsia="Times New Roman"/>
                <w:color w:val="000000"/>
                <w:sz w:val="18"/>
                <w:szCs w:val="18"/>
                <w:lang w:eastAsia="hr-HR"/>
              </w:rPr>
              <w:t>OPIS</w:t>
            </w:r>
          </w:p>
        </w:tc>
        <w:tc>
          <w:tcPr>
            <w:tcW w:type="dxa" w:w="1376"/>
            <w:tcBorders>
              <w:top w:space="0" w:sz="4" w:color="auto" w:val="single"/>
              <w:left w:val="nil"/>
              <w:bottom w:space="0" w:sz="4" w:color="auto" w:val="single"/>
              <w:right w:space="0" w:sz="4" w:color="auto" w:val="single"/>
            </w:tcBorders>
            <w:shd w:fill="E5DFEC" w:color="auto" w:val="clear"/>
            <w:noWrap/>
            <w:vAlign w:val="bottom"/>
            <w:hideMark/>
          </w:tcPr>
          <w:p w:rsidRDefault="00924162" w:rsidR="00924162">
            <w:pPr>
              <w:spacing w:after="0"/>
              <w:rPr>
                <w:rFonts w:cs="Times New Roman" w:eastAsia="Times New Roman"/>
                <w:color w:val="000000"/>
                <w:sz w:val="18"/>
                <w:szCs w:val="18"/>
                <w:lang w:eastAsia="hr-HR"/>
              </w:rPr>
            </w:pPr>
            <w:r>
              <w:rPr>
                <w:rFonts w:cs="Times New Roman" w:eastAsia="Times New Roman"/>
                <w:color w:val="000000"/>
                <w:sz w:val="18"/>
                <w:szCs w:val="18"/>
                <w:lang w:eastAsia="hr-HR"/>
              </w:rPr>
              <w:t>IZNOS</w:t>
            </w:r>
          </w:p>
        </w:tc>
      </w:tr>
      <w:tr w:rsidTr="00924162" w:rsidR="00924162">
        <w:trPr>
          <w:trHeight w:val="301"/>
        </w:trPr>
        <w:tc>
          <w:tcPr>
            <w:tcW w:type="dxa" w:w="615"/>
            <w:tcBorders>
              <w:top w:val="nil"/>
              <w:left w:space="0" w:sz="4" w:color="auto" w:val="single"/>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w:t>
            </w:r>
          </w:p>
        </w:tc>
        <w:tc>
          <w:tcPr>
            <w:tcW w:type="dxa" w:w="7232"/>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color w:val="000000"/>
                <w:sz w:val="20"/>
                <w:szCs w:val="20"/>
                <w:lang w:eastAsia="hr-HR"/>
              </w:rPr>
            </w:pPr>
            <w:r>
              <w:rPr>
                <w:rFonts w:cs="Times New Roman" w:eastAsia="Times New Roman"/>
                <w:color w:val="000000"/>
                <w:sz w:val="20"/>
                <w:szCs w:val="20"/>
                <w:lang w:eastAsia="hr-HR"/>
              </w:rPr>
              <w:t>OSNOVNI MATERIJALI I SIROVINE</w:t>
            </w:r>
          </w:p>
        </w:tc>
        <w:tc>
          <w:tcPr>
            <w:tcW w:type="dxa" w:w="137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11.444,70</w:t>
            </w:r>
          </w:p>
        </w:tc>
      </w:tr>
      <w:tr w:rsidTr="00924162" w:rsidR="00924162">
        <w:trPr>
          <w:trHeight w:val="301"/>
        </w:trPr>
        <w:tc>
          <w:tcPr>
            <w:tcW w:type="dxa" w:w="615"/>
            <w:tcBorders>
              <w:top w:val="nil"/>
              <w:left w:space="0" w:sz="4" w:color="auto" w:val="single"/>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2.</w:t>
            </w:r>
          </w:p>
        </w:tc>
        <w:tc>
          <w:tcPr>
            <w:tcW w:type="dxa" w:w="7232"/>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color w:val="000000"/>
                <w:sz w:val="20"/>
                <w:szCs w:val="20"/>
                <w:lang w:eastAsia="hr-HR"/>
              </w:rPr>
            </w:pPr>
            <w:r>
              <w:rPr>
                <w:rFonts w:cs="Times New Roman" w:eastAsia="Times New Roman"/>
                <w:color w:val="000000"/>
                <w:sz w:val="20"/>
                <w:szCs w:val="20"/>
                <w:lang w:eastAsia="hr-HR"/>
              </w:rPr>
              <w:t>ELEKTRIČNA ENERGIJA-BAČKOVICA</w:t>
            </w:r>
          </w:p>
        </w:tc>
        <w:tc>
          <w:tcPr>
            <w:tcW w:type="dxa" w:w="137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461,01</w:t>
            </w:r>
          </w:p>
        </w:tc>
      </w:tr>
      <w:tr w:rsidTr="00924162" w:rsidR="00924162">
        <w:trPr>
          <w:trHeight w:val="301"/>
        </w:trPr>
        <w:tc>
          <w:tcPr>
            <w:tcW w:type="dxa" w:w="615"/>
            <w:tcBorders>
              <w:top w:val="nil"/>
              <w:left w:space="0" w:sz="4" w:color="auto" w:val="single"/>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3.</w:t>
            </w:r>
          </w:p>
        </w:tc>
        <w:tc>
          <w:tcPr>
            <w:tcW w:type="dxa" w:w="7232"/>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color w:val="000000"/>
                <w:sz w:val="20"/>
                <w:szCs w:val="20"/>
                <w:lang w:eastAsia="hr-HR"/>
              </w:rPr>
            </w:pPr>
            <w:r>
              <w:rPr>
                <w:rFonts w:cs="Times New Roman" w:eastAsia="Times New Roman"/>
                <w:color w:val="000000"/>
                <w:sz w:val="20"/>
                <w:szCs w:val="20"/>
                <w:lang w:eastAsia="hr-HR"/>
              </w:rPr>
              <w:t>ELEKTRIČNA ENERGIJA-UPRAVA</w:t>
            </w:r>
          </w:p>
        </w:tc>
        <w:tc>
          <w:tcPr>
            <w:tcW w:type="dxa" w:w="137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725,68</w:t>
            </w:r>
          </w:p>
        </w:tc>
      </w:tr>
      <w:tr w:rsidTr="00924162" w:rsidR="00924162">
        <w:trPr>
          <w:trHeight w:val="301"/>
        </w:trPr>
        <w:tc>
          <w:tcPr>
            <w:tcW w:type="dxa" w:w="615"/>
            <w:tcBorders>
              <w:top w:val="nil"/>
              <w:left w:space="0" w:sz="4" w:color="auto" w:val="single"/>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w:t>
            </w:r>
          </w:p>
        </w:tc>
        <w:tc>
          <w:tcPr>
            <w:tcW w:type="dxa" w:w="7232"/>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color w:val="000000"/>
                <w:sz w:val="20"/>
                <w:szCs w:val="20"/>
                <w:lang w:eastAsia="hr-HR"/>
              </w:rPr>
            </w:pPr>
            <w:r>
              <w:rPr>
                <w:rFonts w:cs="Times New Roman" w:eastAsia="Times New Roman"/>
                <w:color w:val="000000"/>
                <w:sz w:val="20"/>
                <w:szCs w:val="20"/>
                <w:lang w:eastAsia="hr-HR"/>
              </w:rPr>
              <w:t>USLUGE TELEFONA, INTERNETA I SL.</w:t>
            </w:r>
          </w:p>
        </w:tc>
        <w:tc>
          <w:tcPr>
            <w:tcW w:type="dxa" w:w="137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328,66</w:t>
            </w:r>
          </w:p>
        </w:tc>
      </w:tr>
      <w:tr w:rsidTr="00924162" w:rsidR="00924162">
        <w:trPr>
          <w:trHeight w:val="301"/>
        </w:trPr>
        <w:tc>
          <w:tcPr>
            <w:tcW w:type="dxa" w:w="615"/>
            <w:tcBorders>
              <w:top w:val="nil"/>
              <w:left w:space="0" w:sz="4" w:color="auto" w:val="single"/>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5.</w:t>
            </w:r>
          </w:p>
        </w:tc>
        <w:tc>
          <w:tcPr>
            <w:tcW w:type="dxa" w:w="7232"/>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color w:val="000000"/>
                <w:sz w:val="20"/>
                <w:szCs w:val="20"/>
                <w:lang w:eastAsia="hr-HR"/>
              </w:rPr>
            </w:pPr>
            <w:r>
              <w:rPr>
                <w:rFonts w:cs="Times New Roman" w:eastAsia="Times New Roman"/>
                <w:color w:val="000000"/>
                <w:sz w:val="20"/>
                <w:szCs w:val="20"/>
                <w:lang w:eastAsia="hr-HR"/>
              </w:rPr>
              <w:t>NABAVLJENE USLUGE TEKUĆEG ODRŽAVANJA ( BEZ</w:t>
            </w:r>
          </w:p>
        </w:tc>
        <w:tc>
          <w:tcPr>
            <w:tcW w:type="dxa" w:w="137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16,27</w:t>
            </w:r>
          </w:p>
        </w:tc>
      </w:tr>
      <w:tr w:rsidTr="00924162" w:rsidR="00924162">
        <w:trPr>
          <w:trHeight w:val="301"/>
        </w:trPr>
        <w:tc>
          <w:tcPr>
            <w:tcW w:type="dxa" w:w="615"/>
            <w:tcBorders>
              <w:top w:val="nil"/>
              <w:left w:space="0" w:sz="4" w:color="auto" w:val="single"/>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6.</w:t>
            </w:r>
          </w:p>
        </w:tc>
        <w:tc>
          <w:tcPr>
            <w:tcW w:type="dxa" w:w="7232"/>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color w:val="000000"/>
                <w:sz w:val="20"/>
                <w:szCs w:val="20"/>
                <w:lang w:eastAsia="hr-HR"/>
              </w:rPr>
            </w:pPr>
            <w:r>
              <w:rPr>
                <w:rFonts w:cs="Times New Roman" w:eastAsia="Times New Roman"/>
                <w:color w:val="000000"/>
                <w:sz w:val="20"/>
                <w:szCs w:val="20"/>
                <w:lang w:eastAsia="hr-HR"/>
              </w:rPr>
              <w:t>KONZULTANTSKE USLUGE</w:t>
            </w:r>
          </w:p>
        </w:tc>
        <w:tc>
          <w:tcPr>
            <w:tcW w:type="dxa" w:w="137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266,67</w:t>
            </w:r>
          </w:p>
        </w:tc>
      </w:tr>
      <w:tr w:rsidTr="00924162" w:rsidR="00924162">
        <w:trPr>
          <w:trHeight w:val="301"/>
        </w:trPr>
        <w:tc>
          <w:tcPr>
            <w:tcW w:type="dxa" w:w="615"/>
            <w:tcBorders>
              <w:top w:val="nil"/>
              <w:left w:space="0" w:sz="4" w:color="auto" w:val="single"/>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7.</w:t>
            </w:r>
          </w:p>
        </w:tc>
        <w:tc>
          <w:tcPr>
            <w:tcW w:type="dxa" w:w="7232"/>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color w:val="000000"/>
                <w:sz w:val="20"/>
                <w:szCs w:val="20"/>
                <w:lang w:eastAsia="hr-HR"/>
              </w:rPr>
            </w:pPr>
            <w:r>
              <w:rPr>
                <w:rFonts w:cs="Times New Roman" w:eastAsia="Times New Roman"/>
                <w:color w:val="000000"/>
                <w:sz w:val="20"/>
                <w:szCs w:val="20"/>
                <w:lang w:eastAsia="hr-HR"/>
              </w:rPr>
              <w:t>KNJIGOVODSTVENE USLUGE VOĐENJA POSLOVNIH KNJIGA</w:t>
            </w:r>
          </w:p>
        </w:tc>
        <w:tc>
          <w:tcPr>
            <w:tcW w:type="dxa" w:w="137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500,00</w:t>
            </w:r>
          </w:p>
        </w:tc>
      </w:tr>
      <w:tr w:rsidTr="00924162" w:rsidR="00924162">
        <w:trPr>
          <w:trHeight w:val="301"/>
        </w:trPr>
        <w:tc>
          <w:tcPr>
            <w:tcW w:type="dxa" w:w="615"/>
            <w:tcBorders>
              <w:top w:val="nil"/>
              <w:left w:space="0" w:sz="4" w:color="auto" w:val="single"/>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8.</w:t>
            </w:r>
          </w:p>
        </w:tc>
        <w:tc>
          <w:tcPr>
            <w:tcW w:type="dxa" w:w="7232"/>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color w:val="000000"/>
                <w:sz w:val="20"/>
                <w:szCs w:val="20"/>
                <w:lang w:eastAsia="hr-HR"/>
              </w:rPr>
            </w:pPr>
            <w:r>
              <w:rPr>
                <w:rFonts w:cs="Times New Roman" w:eastAsia="Times New Roman"/>
                <w:color w:val="000000"/>
                <w:sz w:val="20"/>
                <w:szCs w:val="20"/>
                <w:lang w:eastAsia="hr-HR"/>
              </w:rPr>
              <w:t>ODVJETNIČKE ,BILJEŽNIČKE I USLUGE PRAVNIH AKATA</w:t>
            </w:r>
          </w:p>
        </w:tc>
        <w:tc>
          <w:tcPr>
            <w:tcW w:type="dxa" w:w="137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204,05</w:t>
            </w:r>
          </w:p>
        </w:tc>
      </w:tr>
      <w:tr w:rsidTr="00924162" w:rsidR="00924162">
        <w:trPr>
          <w:trHeight w:val="301"/>
        </w:trPr>
        <w:tc>
          <w:tcPr>
            <w:tcW w:type="dxa" w:w="615"/>
            <w:tcBorders>
              <w:top w:val="nil"/>
              <w:left w:space="0" w:sz="4" w:color="auto" w:val="single"/>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9.</w:t>
            </w:r>
          </w:p>
        </w:tc>
        <w:tc>
          <w:tcPr>
            <w:tcW w:type="dxa" w:w="7232"/>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color w:val="000000"/>
                <w:sz w:val="20"/>
                <w:szCs w:val="20"/>
                <w:lang w:eastAsia="hr-HR"/>
              </w:rPr>
            </w:pPr>
            <w:r>
              <w:rPr>
                <w:rFonts w:cs="Times New Roman" w:eastAsia="Times New Roman"/>
                <w:color w:val="000000"/>
                <w:sz w:val="20"/>
                <w:szCs w:val="20"/>
                <w:lang w:eastAsia="hr-HR"/>
              </w:rPr>
              <w:t>KOMUNALNA NAKNADA</w:t>
            </w:r>
          </w:p>
        </w:tc>
        <w:tc>
          <w:tcPr>
            <w:tcW w:type="dxa" w:w="137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113,40</w:t>
            </w:r>
          </w:p>
        </w:tc>
      </w:tr>
      <w:tr w:rsidTr="00924162" w:rsidR="00924162">
        <w:trPr>
          <w:trHeight w:val="301"/>
        </w:trPr>
        <w:tc>
          <w:tcPr>
            <w:tcW w:type="dxa" w:w="615"/>
            <w:tcBorders>
              <w:top w:val="nil"/>
              <w:left w:space="0" w:sz="4" w:color="auto" w:val="single"/>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lastRenderedPageBreak/>
              <w:t>10.</w:t>
            </w:r>
          </w:p>
        </w:tc>
        <w:tc>
          <w:tcPr>
            <w:tcW w:type="dxa" w:w="7232"/>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color w:val="000000"/>
                <w:sz w:val="20"/>
                <w:szCs w:val="20"/>
                <w:lang w:eastAsia="hr-HR"/>
              </w:rPr>
            </w:pPr>
            <w:r>
              <w:rPr>
                <w:rFonts w:cs="Times New Roman" w:eastAsia="Times New Roman"/>
                <w:color w:val="000000"/>
                <w:sz w:val="20"/>
                <w:szCs w:val="20"/>
                <w:lang w:eastAsia="hr-HR"/>
              </w:rPr>
              <w:t>IZNOŠENJE I ODVOZ SMEĆA I FEKALIJA</w:t>
            </w:r>
          </w:p>
        </w:tc>
        <w:tc>
          <w:tcPr>
            <w:tcW w:type="dxa" w:w="137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150,50</w:t>
            </w:r>
          </w:p>
        </w:tc>
      </w:tr>
      <w:tr w:rsidTr="00924162" w:rsidR="00924162">
        <w:trPr>
          <w:trHeight w:val="301"/>
        </w:trPr>
        <w:tc>
          <w:tcPr>
            <w:tcW w:type="dxa" w:w="615"/>
            <w:tcBorders>
              <w:top w:val="nil"/>
              <w:left w:space="0" w:sz="4" w:color="auto" w:val="single"/>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11.</w:t>
            </w:r>
          </w:p>
        </w:tc>
        <w:tc>
          <w:tcPr>
            <w:tcW w:type="dxa" w:w="7232"/>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color w:val="000000"/>
                <w:sz w:val="20"/>
                <w:szCs w:val="20"/>
                <w:lang w:eastAsia="hr-HR"/>
              </w:rPr>
            </w:pPr>
            <w:r>
              <w:rPr>
                <w:rFonts w:cs="Times New Roman" w:eastAsia="Times New Roman"/>
                <w:color w:val="000000"/>
                <w:sz w:val="20"/>
                <w:szCs w:val="20"/>
                <w:lang w:eastAsia="hr-HR"/>
              </w:rPr>
              <w:t>VODOOPSKRBA I ODVODNJA</w:t>
            </w:r>
          </w:p>
        </w:tc>
        <w:tc>
          <w:tcPr>
            <w:tcW w:type="dxa" w:w="137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87,16</w:t>
            </w:r>
          </w:p>
        </w:tc>
      </w:tr>
      <w:tr w:rsidTr="00924162" w:rsidR="00924162">
        <w:trPr>
          <w:trHeight w:val="301"/>
        </w:trPr>
        <w:tc>
          <w:tcPr>
            <w:tcW w:type="dxa" w:w="615"/>
            <w:tcBorders>
              <w:top w:val="nil"/>
              <w:left w:space="0" w:sz="4" w:color="auto" w:val="single"/>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12.</w:t>
            </w:r>
          </w:p>
        </w:tc>
        <w:tc>
          <w:tcPr>
            <w:tcW w:type="dxa" w:w="7232"/>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color w:val="000000"/>
                <w:sz w:val="20"/>
                <w:szCs w:val="20"/>
                <w:lang w:eastAsia="hr-HR"/>
              </w:rPr>
            </w:pPr>
            <w:r>
              <w:rPr>
                <w:rFonts w:cs="Times New Roman" w:eastAsia="Times New Roman"/>
                <w:color w:val="000000"/>
                <w:sz w:val="20"/>
                <w:szCs w:val="20"/>
                <w:lang w:eastAsia="hr-HR"/>
              </w:rPr>
              <w:t>NETO - PLAĆE I NADOKNADE ZAPOSLENIMA U OSNOVNOJ</w:t>
            </w:r>
          </w:p>
        </w:tc>
        <w:tc>
          <w:tcPr>
            <w:tcW w:type="dxa" w:w="137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33.127,72</w:t>
            </w:r>
          </w:p>
        </w:tc>
      </w:tr>
      <w:tr w:rsidTr="00924162" w:rsidR="00924162">
        <w:trPr>
          <w:trHeight w:val="301"/>
        </w:trPr>
        <w:tc>
          <w:tcPr>
            <w:tcW w:type="dxa" w:w="615"/>
            <w:tcBorders>
              <w:top w:val="nil"/>
              <w:left w:space="0" w:sz="4" w:color="auto" w:val="single"/>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13.</w:t>
            </w:r>
          </w:p>
        </w:tc>
        <w:tc>
          <w:tcPr>
            <w:tcW w:type="dxa" w:w="7232"/>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color w:val="000000"/>
                <w:sz w:val="20"/>
                <w:szCs w:val="20"/>
                <w:lang w:eastAsia="hr-HR"/>
              </w:rPr>
            </w:pPr>
            <w:r>
              <w:rPr>
                <w:rFonts w:cs="Times New Roman" w:eastAsia="Times New Roman"/>
                <w:color w:val="000000"/>
                <w:sz w:val="20"/>
                <w:szCs w:val="20"/>
                <w:lang w:eastAsia="hr-HR"/>
              </w:rPr>
              <w:t>OSIGURANJE OD NESREĆE NA RADU</w:t>
            </w:r>
          </w:p>
        </w:tc>
        <w:tc>
          <w:tcPr>
            <w:tcW w:type="dxa" w:w="137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207,05</w:t>
            </w:r>
          </w:p>
        </w:tc>
      </w:tr>
      <w:tr w:rsidTr="00924162" w:rsidR="00924162">
        <w:trPr>
          <w:trHeight w:val="301"/>
        </w:trPr>
        <w:tc>
          <w:tcPr>
            <w:tcW w:type="dxa" w:w="615"/>
            <w:tcBorders>
              <w:top w:val="nil"/>
              <w:left w:space="0" w:sz="4" w:color="auto" w:val="single"/>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14.</w:t>
            </w:r>
          </w:p>
        </w:tc>
        <w:tc>
          <w:tcPr>
            <w:tcW w:type="dxa" w:w="7232"/>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color w:val="000000"/>
                <w:sz w:val="20"/>
                <w:szCs w:val="20"/>
                <w:lang w:eastAsia="hr-HR"/>
              </w:rPr>
            </w:pPr>
            <w:r>
              <w:rPr>
                <w:rFonts w:cs="Times New Roman" w:eastAsia="Times New Roman"/>
                <w:color w:val="000000"/>
                <w:sz w:val="20"/>
                <w:szCs w:val="20"/>
                <w:lang w:eastAsia="hr-HR"/>
              </w:rPr>
              <w:t xml:space="preserve">DOPRINOS ZA MIO </w:t>
            </w:r>
            <w:proofErr w:type="spellStart"/>
            <w:r>
              <w:rPr>
                <w:rFonts w:cs="Times New Roman" w:eastAsia="Times New Roman"/>
                <w:color w:val="000000"/>
                <w:sz w:val="20"/>
                <w:szCs w:val="20"/>
                <w:lang w:eastAsia="hr-HR"/>
              </w:rPr>
              <w:t>I.i</w:t>
            </w:r>
            <w:proofErr w:type="spellEnd"/>
            <w:r>
              <w:rPr>
                <w:rFonts w:cs="Times New Roman" w:eastAsia="Times New Roman"/>
                <w:color w:val="000000"/>
                <w:sz w:val="20"/>
                <w:szCs w:val="20"/>
                <w:lang w:eastAsia="hr-HR"/>
              </w:rPr>
              <w:t xml:space="preserve"> </w:t>
            </w:r>
            <w:proofErr w:type="spellStart"/>
            <w:r>
              <w:rPr>
                <w:rFonts w:cs="Times New Roman" w:eastAsia="Times New Roman"/>
                <w:color w:val="000000"/>
                <w:sz w:val="20"/>
                <w:szCs w:val="20"/>
                <w:lang w:eastAsia="hr-HR"/>
              </w:rPr>
              <w:t>II.STUP</w:t>
            </w:r>
            <w:proofErr w:type="spellEnd"/>
          </w:p>
        </w:tc>
        <w:tc>
          <w:tcPr>
            <w:tcW w:type="dxa" w:w="137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8.281,93</w:t>
            </w:r>
          </w:p>
        </w:tc>
      </w:tr>
      <w:tr w:rsidTr="00924162" w:rsidR="00924162">
        <w:trPr>
          <w:trHeight w:val="301"/>
        </w:trPr>
        <w:tc>
          <w:tcPr>
            <w:tcW w:type="dxa" w:w="615"/>
            <w:tcBorders>
              <w:top w:val="nil"/>
              <w:left w:space="0" w:sz="4" w:color="auto" w:val="single"/>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15.</w:t>
            </w:r>
          </w:p>
        </w:tc>
        <w:tc>
          <w:tcPr>
            <w:tcW w:type="dxa" w:w="7232"/>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color w:val="000000"/>
                <w:sz w:val="20"/>
                <w:szCs w:val="20"/>
                <w:lang w:eastAsia="hr-HR"/>
              </w:rPr>
            </w:pPr>
            <w:r>
              <w:rPr>
                <w:rFonts w:cs="Times New Roman" w:eastAsia="Times New Roman"/>
                <w:color w:val="000000"/>
                <w:sz w:val="20"/>
                <w:szCs w:val="20"/>
                <w:lang w:eastAsia="hr-HR"/>
              </w:rPr>
              <w:t>DOPRINOS ZA ZDRAVSTVENO OSIGURANJE</w:t>
            </w:r>
          </w:p>
        </w:tc>
        <w:tc>
          <w:tcPr>
            <w:tcW w:type="dxa" w:w="137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6.211,45</w:t>
            </w:r>
          </w:p>
        </w:tc>
      </w:tr>
      <w:tr w:rsidTr="00924162" w:rsidR="00924162">
        <w:trPr>
          <w:trHeight w:val="301"/>
        </w:trPr>
        <w:tc>
          <w:tcPr>
            <w:tcW w:type="dxa" w:w="615"/>
            <w:tcBorders>
              <w:top w:val="nil"/>
              <w:left w:space="0" w:sz="4" w:color="auto" w:val="single"/>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16.</w:t>
            </w:r>
          </w:p>
        </w:tc>
        <w:tc>
          <w:tcPr>
            <w:tcW w:type="dxa" w:w="7232"/>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color w:val="000000"/>
                <w:sz w:val="20"/>
                <w:szCs w:val="20"/>
                <w:lang w:eastAsia="hr-HR"/>
              </w:rPr>
            </w:pPr>
            <w:r>
              <w:rPr>
                <w:rFonts w:cs="Times New Roman" w:eastAsia="Times New Roman"/>
                <w:color w:val="000000"/>
                <w:sz w:val="20"/>
                <w:szCs w:val="20"/>
                <w:lang w:eastAsia="hr-HR"/>
              </w:rPr>
              <w:t>DOPRINOS ZA ZAPOŠLJAVANJE</w:t>
            </w:r>
          </w:p>
        </w:tc>
        <w:tc>
          <w:tcPr>
            <w:tcW w:type="dxa" w:w="137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703,96</w:t>
            </w:r>
          </w:p>
        </w:tc>
      </w:tr>
      <w:tr w:rsidTr="00924162" w:rsidR="00924162">
        <w:trPr>
          <w:trHeight w:val="301"/>
        </w:trPr>
        <w:tc>
          <w:tcPr>
            <w:tcW w:type="dxa" w:w="615"/>
            <w:tcBorders>
              <w:top w:val="nil"/>
              <w:left w:space="0" w:sz="4" w:color="auto" w:val="single"/>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17.</w:t>
            </w:r>
          </w:p>
        </w:tc>
        <w:tc>
          <w:tcPr>
            <w:tcW w:type="dxa" w:w="7232"/>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color w:val="000000"/>
                <w:sz w:val="20"/>
                <w:szCs w:val="20"/>
                <w:lang w:eastAsia="hr-HR"/>
              </w:rPr>
            </w:pPr>
            <w:r>
              <w:rPr>
                <w:rFonts w:cs="Times New Roman" w:eastAsia="Times New Roman"/>
                <w:color w:val="000000"/>
                <w:sz w:val="20"/>
                <w:szCs w:val="20"/>
                <w:lang w:eastAsia="hr-HR"/>
              </w:rPr>
              <w:t>AMORTIZACIJA OBJEKATA I OPREME KOJA SUDJELUJE U</w:t>
            </w:r>
          </w:p>
        </w:tc>
        <w:tc>
          <w:tcPr>
            <w:tcW w:type="dxa" w:w="137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9.874,78</w:t>
            </w:r>
          </w:p>
        </w:tc>
      </w:tr>
      <w:tr w:rsidTr="00924162" w:rsidR="00924162">
        <w:trPr>
          <w:trHeight w:val="301"/>
        </w:trPr>
        <w:tc>
          <w:tcPr>
            <w:tcW w:type="dxa" w:w="615"/>
            <w:tcBorders>
              <w:top w:val="nil"/>
              <w:left w:space="0" w:sz="4" w:color="auto" w:val="single"/>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18.</w:t>
            </w:r>
          </w:p>
        </w:tc>
        <w:tc>
          <w:tcPr>
            <w:tcW w:type="dxa" w:w="7232"/>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color w:val="000000"/>
                <w:sz w:val="20"/>
                <w:szCs w:val="20"/>
                <w:lang w:eastAsia="hr-HR"/>
              </w:rPr>
            </w:pPr>
            <w:r>
              <w:rPr>
                <w:rFonts w:cs="Times New Roman" w:eastAsia="Times New Roman"/>
                <w:color w:val="000000"/>
                <w:sz w:val="20"/>
                <w:szCs w:val="20"/>
                <w:lang w:eastAsia="hr-HR"/>
              </w:rPr>
              <w:t>VRIJEDNOSNA USKLAĐIVANJA POTRAŽIVANJA OD KUPACA-</w:t>
            </w:r>
          </w:p>
        </w:tc>
        <w:tc>
          <w:tcPr>
            <w:tcW w:type="dxa" w:w="137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12.687,42</w:t>
            </w:r>
          </w:p>
        </w:tc>
      </w:tr>
      <w:tr w:rsidTr="00924162" w:rsidR="00924162">
        <w:trPr>
          <w:trHeight w:val="301"/>
        </w:trPr>
        <w:tc>
          <w:tcPr>
            <w:tcW w:type="dxa" w:w="615"/>
            <w:tcBorders>
              <w:top w:val="nil"/>
              <w:left w:space="0" w:sz="4" w:color="auto" w:val="single"/>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19.</w:t>
            </w:r>
          </w:p>
        </w:tc>
        <w:tc>
          <w:tcPr>
            <w:tcW w:type="dxa" w:w="7232"/>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color w:val="000000"/>
                <w:sz w:val="20"/>
                <w:szCs w:val="20"/>
                <w:lang w:eastAsia="hr-HR"/>
              </w:rPr>
            </w:pPr>
            <w:r>
              <w:rPr>
                <w:rFonts w:cs="Times New Roman" w:eastAsia="Times New Roman"/>
                <w:color w:val="000000"/>
                <w:sz w:val="20"/>
                <w:szCs w:val="20"/>
                <w:lang w:eastAsia="hr-HR"/>
              </w:rPr>
              <w:t>PREMIJE OSIGURANJA DUGOTRAJNE MATERIJALNE I</w:t>
            </w:r>
          </w:p>
        </w:tc>
        <w:tc>
          <w:tcPr>
            <w:tcW w:type="dxa" w:w="137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62,17</w:t>
            </w:r>
          </w:p>
        </w:tc>
      </w:tr>
      <w:tr w:rsidTr="00924162" w:rsidR="00924162">
        <w:trPr>
          <w:trHeight w:val="301"/>
        </w:trPr>
        <w:tc>
          <w:tcPr>
            <w:tcW w:type="dxa" w:w="615"/>
            <w:tcBorders>
              <w:top w:val="nil"/>
              <w:left w:space="0" w:sz="4" w:color="auto" w:val="single"/>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20.</w:t>
            </w:r>
          </w:p>
        </w:tc>
        <w:tc>
          <w:tcPr>
            <w:tcW w:type="dxa" w:w="7232"/>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color w:val="000000"/>
                <w:sz w:val="20"/>
                <w:szCs w:val="20"/>
                <w:lang w:eastAsia="hr-HR"/>
              </w:rPr>
            </w:pPr>
            <w:r>
              <w:rPr>
                <w:rFonts w:cs="Times New Roman" w:eastAsia="Times New Roman"/>
                <w:color w:val="000000"/>
                <w:sz w:val="20"/>
                <w:szCs w:val="20"/>
                <w:lang w:eastAsia="hr-HR"/>
              </w:rPr>
              <w:t>TROŠKOVI PLATNOG PROMETA</w:t>
            </w:r>
          </w:p>
        </w:tc>
        <w:tc>
          <w:tcPr>
            <w:tcW w:type="dxa" w:w="137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274,81</w:t>
            </w:r>
          </w:p>
        </w:tc>
      </w:tr>
      <w:tr w:rsidTr="00924162" w:rsidR="00924162">
        <w:trPr>
          <w:trHeight w:val="301"/>
        </w:trPr>
        <w:tc>
          <w:tcPr>
            <w:tcW w:type="dxa" w:w="615"/>
            <w:tcBorders>
              <w:top w:val="nil"/>
              <w:left w:space="0" w:sz="4" w:color="auto" w:val="single"/>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21.</w:t>
            </w:r>
          </w:p>
        </w:tc>
        <w:tc>
          <w:tcPr>
            <w:tcW w:type="dxa" w:w="7232"/>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color w:val="000000"/>
                <w:sz w:val="20"/>
                <w:szCs w:val="20"/>
                <w:lang w:eastAsia="hr-HR"/>
              </w:rPr>
            </w:pPr>
            <w:r>
              <w:rPr>
                <w:rFonts w:cs="Times New Roman" w:eastAsia="Times New Roman"/>
                <w:color w:val="000000"/>
                <w:sz w:val="20"/>
                <w:szCs w:val="20"/>
                <w:lang w:eastAsia="hr-HR"/>
              </w:rPr>
              <w:t>ČLANARINE KOMORI (HGK ILI OBRTNIČKOJ)</w:t>
            </w:r>
          </w:p>
        </w:tc>
        <w:tc>
          <w:tcPr>
            <w:tcW w:type="dxa" w:w="137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42,00</w:t>
            </w:r>
          </w:p>
        </w:tc>
      </w:tr>
      <w:tr w:rsidTr="00924162" w:rsidR="00924162">
        <w:trPr>
          <w:trHeight w:val="301"/>
        </w:trPr>
        <w:tc>
          <w:tcPr>
            <w:tcW w:type="dxa" w:w="615"/>
            <w:tcBorders>
              <w:top w:val="nil"/>
              <w:left w:space="0" w:sz="4" w:color="auto" w:val="single"/>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22.</w:t>
            </w:r>
          </w:p>
        </w:tc>
        <w:tc>
          <w:tcPr>
            <w:tcW w:type="dxa" w:w="7232"/>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color w:val="000000"/>
                <w:sz w:val="20"/>
                <w:szCs w:val="20"/>
                <w:lang w:eastAsia="hr-HR"/>
              </w:rPr>
            </w:pPr>
            <w:r>
              <w:rPr>
                <w:rFonts w:cs="Times New Roman" w:eastAsia="Times New Roman"/>
                <w:color w:val="000000"/>
                <w:sz w:val="20"/>
                <w:szCs w:val="20"/>
                <w:lang w:eastAsia="hr-HR"/>
              </w:rPr>
              <w:t>SUDSKI TROŠKOVI I PRISTOJBE</w:t>
            </w:r>
          </w:p>
        </w:tc>
        <w:tc>
          <w:tcPr>
            <w:tcW w:type="dxa" w:w="137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160,17</w:t>
            </w:r>
          </w:p>
        </w:tc>
      </w:tr>
      <w:tr w:rsidTr="00924162" w:rsidR="00924162">
        <w:trPr>
          <w:trHeight w:val="301"/>
        </w:trPr>
        <w:tc>
          <w:tcPr>
            <w:tcW w:type="dxa" w:w="615"/>
            <w:tcBorders>
              <w:top w:val="nil"/>
              <w:left w:space="0" w:sz="4" w:color="auto" w:val="single"/>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23.</w:t>
            </w:r>
          </w:p>
        </w:tc>
        <w:tc>
          <w:tcPr>
            <w:tcW w:type="dxa" w:w="7232"/>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color w:val="000000"/>
                <w:sz w:val="20"/>
                <w:szCs w:val="20"/>
                <w:lang w:eastAsia="hr-HR"/>
              </w:rPr>
            </w:pPr>
            <w:r>
              <w:rPr>
                <w:rFonts w:cs="Times New Roman" w:eastAsia="Times New Roman"/>
                <w:color w:val="000000"/>
                <w:sz w:val="20"/>
                <w:szCs w:val="20"/>
                <w:lang w:eastAsia="hr-HR"/>
              </w:rPr>
              <w:t>VETERINARSKE USLUGE</w:t>
            </w:r>
          </w:p>
        </w:tc>
        <w:tc>
          <w:tcPr>
            <w:tcW w:type="dxa" w:w="137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272,87</w:t>
            </w:r>
          </w:p>
        </w:tc>
      </w:tr>
      <w:tr w:rsidTr="00924162" w:rsidR="00924162">
        <w:trPr>
          <w:trHeight w:val="301"/>
        </w:trPr>
        <w:tc>
          <w:tcPr>
            <w:tcW w:type="dxa" w:w="615"/>
            <w:tcBorders>
              <w:top w:val="nil"/>
              <w:left w:space="0" w:sz="4" w:color="auto" w:val="single"/>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24.</w:t>
            </w:r>
          </w:p>
        </w:tc>
        <w:tc>
          <w:tcPr>
            <w:tcW w:type="dxa" w:w="7232"/>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color w:val="000000"/>
                <w:sz w:val="20"/>
                <w:szCs w:val="20"/>
                <w:lang w:eastAsia="hr-HR"/>
              </w:rPr>
            </w:pPr>
            <w:r>
              <w:rPr>
                <w:rFonts w:cs="Times New Roman" w:eastAsia="Times New Roman"/>
                <w:color w:val="000000"/>
                <w:sz w:val="20"/>
                <w:szCs w:val="20"/>
                <w:lang w:eastAsia="hr-HR"/>
              </w:rPr>
              <w:t>OSTALI NESPOMENUTI NEMATERIJALNI TROŠKOVI</w:t>
            </w:r>
          </w:p>
        </w:tc>
        <w:tc>
          <w:tcPr>
            <w:tcW w:type="dxa" w:w="137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13,31</w:t>
            </w:r>
          </w:p>
        </w:tc>
      </w:tr>
      <w:tr w:rsidTr="00924162" w:rsidR="00924162">
        <w:trPr>
          <w:trHeight w:val="301"/>
        </w:trPr>
        <w:tc>
          <w:tcPr>
            <w:tcW w:type="dxa" w:w="615"/>
            <w:tcBorders>
              <w:top w:val="nil"/>
              <w:left w:space="0" w:sz="4" w:color="auto" w:val="single"/>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25.</w:t>
            </w:r>
          </w:p>
        </w:tc>
        <w:tc>
          <w:tcPr>
            <w:tcW w:type="dxa" w:w="7232"/>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color w:val="000000"/>
                <w:sz w:val="20"/>
                <w:szCs w:val="20"/>
                <w:lang w:eastAsia="hr-HR"/>
              </w:rPr>
            </w:pPr>
            <w:r>
              <w:rPr>
                <w:rFonts w:cs="Times New Roman" w:eastAsia="Times New Roman"/>
                <w:color w:val="000000"/>
                <w:sz w:val="20"/>
                <w:szCs w:val="20"/>
                <w:lang w:eastAsia="hr-HR"/>
              </w:rPr>
              <w:t>ZATEZNE KAMATE IZ OBVEZNIH ODNOSA</w:t>
            </w:r>
          </w:p>
        </w:tc>
        <w:tc>
          <w:tcPr>
            <w:tcW w:type="dxa" w:w="137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78,50</w:t>
            </w:r>
          </w:p>
        </w:tc>
      </w:tr>
      <w:tr w:rsidTr="00924162" w:rsidR="00924162">
        <w:trPr>
          <w:trHeight w:val="301"/>
        </w:trPr>
        <w:tc>
          <w:tcPr>
            <w:tcW w:type="dxa" w:w="615"/>
            <w:tcBorders>
              <w:top w:val="nil"/>
              <w:left w:space="0" w:sz="4" w:color="auto" w:val="single"/>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26.</w:t>
            </w:r>
          </w:p>
        </w:tc>
        <w:tc>
          <w:tcPr>
            <w:tcW w:type="dxa" w:w="7232"/>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color w:val="000000"/>
                <w:sz w:val="20"/>
                <w:szCs w:val="20"/>
                <w:lang w:eastAsia="hr-HR"/>
              </w:rPr>
            </w:pPr>
            <w:r>
              <w:rPr>
                <w:rFonts w:cs="Times New Roman" w:eastAsia="Times New Roman"/>
                <w:color w:val="000000"/>
                <w:sz w:val="20"/>
                <w:szCs w:val="20"/>
                <w:lang w:eastAsia="hr-HR"/>
              </w:rPr>
              <w:t>ZATEZNE KAMATE NA POREZE, DOPRINOSE I DR. DAVANJA</w:t>
            </w:r>
          </w:p>
        </w:tc>
        <w:tc>
          <w:tcPr>
            <w:tcW w:type="dxa" w:w="137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256,93</w:t>
            </w:r>
          </w:p>
        </w:tc>
      </w:tr>
      <w:tr w:rsidTr="00924162" w:rsidR="00924162">
        <w:trPr>
          <w:trHeight w:val="301"/>
        </w:trPr>
        <w:tc>
          <w:tcPr>
            <w:tcW w:type="dxa" w:w="615"/>
            <w:tcBorders>
              <w:top w:val="nil"/>
              <w:left w:space="0" w:sz="4" w:color="auto" w:val="single"/>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27.</w:t>
            </w:r>
          </w:p>
        </w:tc>
        <w:tc>
          <w:tcPr>
            <w:tcW w:type="dxa" w:w="7232"/>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color w:val="000000"/>
                <w:sz w:val="20"/>
                <w:szCs w:val="20"/>
                <w:lang w:eastAsia="hr-HR"/>
              </w:rPr>
            </w:pPr>
            <w:r>
              <w:rPr>
                <w:rFonts w:cs="Times New Roman" w:eastAsia="Times New Roman"/>
                <w:color w:val="000000"/>
                <w:sz w:val="20"/>
                <w:szCs w:val="20"/>
                <w:lang w:eastAsia="hr-HR"/>
              </w:rPr>
              <w:t>OTPIS POTRAŽIVANJA POREZNO NEPRIZNATI</w:t>
            </w:r>
          </w:p>
        </w:tc>
        <w:tc>
          <w:tcPr>
            <w:tcW w:type="dxa" w:w="137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217,78</w:t>
            </w:r>
          </w:p>
        </w:tc>
      </w:tr>
      <w:tr w:rsidTr="00924162" w:rsidR="00924162">
        <w:trPr>
          <w:trHeight w:val="301"/>
        </w:trPr>
        <w:tc>
          <w:tcPr>
            <w:tcW w:type="dxa" w:w="615"/>
            <w:tcBorders>
              <w:top w:val="nil"/>
              <w:left w:space="0" w:sz="4" w:color="auto" w:val="single"/>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w:t>
            </w:r>
          </w:p>
        </w:tc>
        <w:tc>
          <w:tcPr>
            <w:tcW w:type="dxa" w:w="7232"/>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w:t>
            </w:r>
          </w:p>
        </w:tc>
        <w:tc>
          <w:tcPr>
            <w:tcW w:type="dxa" w:w="137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86.770,93</w:t>
            </w:r>
          </w:p>
        </w:tc>
      </w:tr>
    </w:tbl>
    <w:p w:rsidRDefault="00924162" w:rsidP="00924162" w:rsidR="00924162">
      <w:pPr>
        <w:rPr>
          <w:rFonts w:cs="Times New Roman"/>
        </w:rPr>
      </w:pPr>
    </w:p>
    <w:p w:rsidRDefault="00924162" w:rsidP="00924162" w:rsidR="00924162">
      <w:pPr>
        <w:rPr>
          <w:rFonts w:cs="Times New Roman"/>
        </w:rPr>
      </w:pPr>
      <w:r>
        <w:rPr>
          <w:rFonts w:cs="Times New Roman"/>
        </w:rPr>
        <w:t>Projekcija prihoda (2016.-2018.)</w:t>
      </w:r>
    </w:p>
    <w:p w:rsidRDefault="00924162" w:rsidP="00924162" w:rsidR="00924162">
      <w:pPr>
        <w:jc w:val="center"/>
        <w:rPr>
          <w:rFonts w:cs="Times New Roman"/>
        </w:rPr>
      </w:pPr>
      <w:r>
        <w:rPr>
          <w:rFonts w:cs="Times New Roman"/>
        </w:rPr>
        <w:t>Tablica planiranih prihoda (iznosi u kn)</w:t>
      </w:r>
    </w:p>
    <w:p w:rsidRDefault="00924162" w:rsidP="00924162" w:rsidR="00924162">
      <w:pPr>
        <w:pStyle w:val="Standard"/>
        <w:rPr>
          <w:rFonts w:cs="Times New Roman"/>
          <w:color w:val="FF0000"/>
        </w:rPr>
      </w:pPr>
      <w:r>
        <w:rPr>
          <w:rFonts w:cs="Times New Roman"/>
          <w:color w:val="FF0000"/>
        </w:rPr>
        <w:t xml:space="preserve">   </w:t>
      </w:r>
    </w:p>
    <w:tbl>
      <w:tblPr>
        <w:tblW w:type="dxa" w:w="9189"/>
        <w:tblInd w:type="dxa" w:w="93"/>
        <w:tblLook w:val="04A0" w:noVBand="1" w:noHBand="0" w:lastColumn="0" w:firstColumn="1" w:lastRow="0" w:firstRow="1"/>
      </w:tblPr>
      <w:tblGrid>
        <w:gridCol w:w="1146"/>
        <w:gridCol w:w="1480"/>
        <w:gridCol w:w="2339"/>
        <w:gridCol w:w="1408"/>
        <w:gridCol w:w="1408"/>
        <w:gridCol w:w="1408"/>
      </w:tblGrid>
      <w:tr w:rsidTr="00924162" w:rsidR="00924162">
        <w:trPr>
          <w:trHeight w:val="645"/>
        </w:trPr>
        <w:tc>
          <w:tcPr>
            <w:tcW w:type="dxa" w:w="1146"/>
            <w:tcBorders>
              <w:top w:space="0" w:sz="8" w:color="auto" w:val="single"/>
              <w:left w:space="0" w:sz="8" w:color="auto" w:val="single"/>
              <w:bottom w:space="0" w:sz="8" w:color="auto" w:val="single"/>
              <w:right w:space="0" w:sz="8" w:color="auto" w:val="single"/>
            </w:tcBorders>
            <w:shd w:fill="E5E0EC" w:color="auto" w:val="clear"/>
            <w:hideMark/>
          </w:tcPr>
          <w:p w:rsidRDefault="00924162" w:rsidR="00924162">
            <w:pPr>
              <w:spacing w:after="0"/>
              <w:rPr>
                <w:rFonts w:cs="Times New Roman" w:eastAsia="Times New Roman"/>
                <w:color w:val="000000"/>
                <w:lang w:eastAsia="hr-HR"/>
              </w:rPr>
            </w:pPr>
            <w:r>
              <w:rPr>
                <w:rFonts w:cs="Times New Roman" w:eastAsia="Times New Roman"/>
                <w:color w:val="000000"/>
                <w:lang w:eastAsia="hr-HR"/>
              </w:rPr>
              <w:t>Redni Broj</w:t>
            </w:r>
          </w:p>
        </w:tc>
        <w:tc>
          <w:tcPr>
            <w:tcW w:type="dxa" w:w="1480"/>
            <w:tcBorders>
              <w:top w:space="0" w:sz="8" w:color="auto" w:val="single"/>
              <w:left w:val="nil"/>
              <w:bottom w:space="0" w:sz="8" w:color="auto" w:val="single"/>
              <w:right w:space="0" w:sz="8" w:color="auto" w:val="single"/>
            </w:tcBorders>
            <w:shd w:fill="E5E0EC" w:color="auto" w:val="clear"/>
            <w:hideMark/>
          </w:tcPr>
          <w:p w:rsidRDefault="00924162" w:rsidR="00924162">
            <w:pPr>
              <w:spacing w:after="0"/>
              <w:jc w:val="center"/>
              <w:rPr>
                <w:rFonts w:cs="Times New Roman" w:eastAsia="Times New Roman"/>
                <w:color w:val="000000"/>
                <w:lang w:eastAsia="hr-HR"/>
              </w:rPr>
            </w:pPr>
            <w:r>
              <w:rPr>
                <w:rFonts w:cs="Times New Roman" w:eastAsia="Times New Roman"/>
                <w:color w:val="000000"/>
                <w:lang w:eastAsia="hr-HR"/>
              </w:rPr>
              <w:t>Opis</w:t>
            </w:r>
          </w:p>
        </w:tc>
        <w:tc>
          <w:tcPr>
            <w:tcW w:type="dxa" w:w="2339"/>
            <w:tcBorders>
              <w:top w:space="0" w:sz="8" w:color="auto" w:val="single"/>
              <w:left w:val="nil"/>
              <w:bottom w:space="0" w:sz="8" w:color="auto" w:val="single"/>
              <w:right w:space="0" w:sz="8" w:color="auto" w:val="single"/>
            </w:tcBorders>
            <w:shd w:fill="E5E0EC" w:color="auto" w:val="clear"/>
            <w:hideMark/>
          </w:tcPr>
          <w:p w:rsidRDefault="00924162" w:rsidR="00924162">
            <w:pPr>
              <w:spacing w:after="0"/>
              <w:jc w:val="center"/>
              <w:rPr>
                <w:rFonts w:cs="Times New Roman" w:eastAsia="Times New Roman"/>
                <w:color w:val="000000"/>
                <w:lang w:eastAsia="hr-HR"/>
              </w:rPr>
            </w:pPr>
            <w:r>
              <w:rPr>
                <w:rFonts w:cs="Times New Roman" w:eastAsia="Times New Roman"/>
                <w:color w:val="000000"/>
                <w:lang w:eastAsia="hr-HR"/>
              </w:rPr>
              <w:t>30.06.2016,</w:t>
            </w:r>
          </w:p>
        </w:tc>
        <w:tc>
          <w:tcPr>
            <w:tcW w:type="dxa" w:w="1408"/>
            <w:tcBorders>
              <w:top w:space="0" w:sz="8" w:color="auto" w:val="single"/>
              <w:left w:val="nil"/>
              <w:bottom w:space="0" w:sz="8" w:color="auto" w:val="single"/>
              <w:right w:space="0" w:sz="8" w:color="auto" w:val="single"/>
            </w:tcBorders>
            <w:shd w:fill="E5E0EC" w:color="auto" w:val="clear"/>
            <w:hideMark/>
          </w:tcPr>
          <w:p w:rsidRDefault="00924162" w:rsidR="00924162">
            <w:pPr>
              <w:spacing w:after="0"/>
              <w:jc w:val="center"/>
              <w:rPr>
                <w:rFonts w:cs="Times New Roman" w:eastAsia="Times New Roman"/>
                <w:color w:val="000000"/>
                <w:lang w:eastAsia="hr-HR"/>
              </w:rPr>
            </w:pPr>
            <w:r>
              <w:rPr>
                <w:rFonts w:cs="Times New Roman" w:eastAsia="Times New Roman"/>
                <w:color w:val="000000"/>
                <w:lang w:eastAsia="hr-HR"/>
              </w:rPr>
              <w:t>2016.</w:t>
            </w:r>
          </w:p>
        </w:tc>
        <w:tc>
          <w:tcPr>
            <w:tcW w:type="dxa" w:w="1408"/>
            <w:tcBorders>
              <w:top w:space="0" w:sz="8" w:color="auto" w:val="single"/>
              <w:left w:val="nil"/>
              <w:bottom w:space="0" w:sz="8" w:color="auto" w:val="single"/>
              <w:right w:space="0" w:sz="8" w:color="auto" w:val="single"/>
            </w:tcBorders>
            <w:shd w:fill="E5E0EC" w:color="auto" w:val="clear"/>
            <w:hideMark/>
          </w:tcPr>
          <w:p w:rsidRDefault="00924162" w:rsidR="00924162">
            <w:pPr>
              <w:spacing w:after="0"/>
              <w:jc w:val="center"/>
              <w:rPr>
                <w:rFonts w:cs="Times New Roman" w:eastAsia="Times New Roman"/>
                <w:color w:val="000000"/>
                <w:lang w:eastAsia="hr-HR"/>
              </w:rPr>
            </w:pPr>
            <w:r>
              <w:rPr>
                <w:rFonts w:cs="Times New Roman" w:eastAsia="Times New Roman"/>
                <w:color w:val="000000"/>
                <w:lang w:eastAsia="hr-HR"/>
              </w:rPr>
              <w:t>2017.</w:t>
            </w:r>
          </w:p>
        </w:tc>
        <w:tc>
          <w:tcPr>
            <w:tcW w:type="dxa" w:w="1408"/>
            <w:tcBorders>
              <w:top w:space="0" w:sz="8" w:color="auto" w:val="single"/>
              <w:left w:val="nil"/>
              <w:bottom w:space="0" w:sz="8" w:color="auto" w:val="single"/>
              <w:right w:space="0" w:sz="8" w:color="auto" w:val="single"/>
            </w:tcBorders>
            <w:shd w:fill="E5E0EC" w:color="auto" w:val="clear"/>
            <w:hideMark/>
          </w:tcPr>
          <w:p w:rsidRDefault="00924162" w:rsidR="00924162">
            <w:pPr>
              <w:spacing w:after="0"/>
              <w:jc w:val="center"/>
              <w:rPr>
                <w:rFonts w:cs="Times New Roman" w:eastAsia="Times New Roman"/>
                <w:color w:val="000000"/>
                <w:lang w:eastAsia="hr-HR"/>
              </w:rPr>
            </w:pPr>
            <w:r>
              <w:rPr>
                <w:rFonts w:cs="Times New Roman" w:eastAsia="Times New Roman"/>
                <w:color w:val="000000"/>
                <w:lang w:eastAsia="hr-HR"/>
              </w:rPr>
              <w:t>2018.</w:t>
            </w:r>
          </w:p>
        </w:tc>
      </w:tr>
      <w:tr w:rsidTr="00924162" w:rsidR="00924162">
        <w:trPr>
          <w:trHeight w:val="645"/>
        </w:trPr>
        <w:tc>
          <w:tcPr>
            <w:tcW w:type="dxa" w:w="1146"/>
            <w:tcBorders>
              <w:top w:val="nil"/>
              <w:left w:space="0" w:sz="8" w:color="auto" w:val="single"/>
              <w:bottom w:space="0" w:sz="8" w:color="auto" w:val="single"/>
              <w:right w:space="0" w:sz="8" w:color="auto" w:val="single"/>
            </w:tcBorders>
            <w:hideMark/>
          </w:tcPr>
          <w:p w:rsidRDefault="00924162" w:rsidR="00924162">
            <w:pPr>
              <w:spacing w:after="0"/>
              <w:jc w:val="center"/>
              <w:rPr>
                <w:rFonts w:cs="Times New Roman" w:eastAsia="Times New Roman"/>
                <w:color w:val="000000"/>
                <w:lang w:eastAsia="hr-HR"/>
              </w:rPr>
            </w:pPr>
            <w:r>
              <w:rPr>
                <w:rFonts w:cs="Times New Roman" w:eastAsia="Times New Roman"/>
                <w:color w:val="000000"/>
                <w:lang w:eastAsia="hr-HR"/>
              </w:rPr>
              <w:t>1.</w:t>
            </w:r>
          </w:p>
        </w:tc>
        <w:tc>
          <w:tcPr>
            <w:tcW w:type="dxa" w:w="1480"/>
            <w:tcBorders>
              <w:top w:val="nil"/>
              <w:left w:val="nil"/>
              <w:bottom w:space="0" w:sz="8" w:color="auto" w:val="single"/>
              <w:right w:space="0" w:sz="8" w:color="auto" w:val="single"/>
            </w:tcBorders>
            <w:vAlign w:val="bottom"/>
            <w:hideMark/>
          </w:tcPr>
          <w:p w:rsidRDefault="00924162" w:rsidR="00924162">
            <w:pPr>
              <w:spacing w:after="0"/>
              <w:rPr>
                <w:rFonts w:cs="Times New Roman" w:eastAsia="Times New Roman"/>
                <w:color w:val="000000"/>
                <w:lang w:eastAsia="hr-HR"/>
              </w:rPr>
            </w:pPr>
            <w:r>
              <w:rPr>
                <w:rFonts w:cs="Times New Roman" w:eastAsia="Times New Roman"/>
                <w:color w:val="000000"/>
                <w:lang w:eastAsia="hr-HR"/>
              </w:rPr>
              <w:t>Poslovni prihod</w:t>
            </w:r>
          </w:p>
        </w:tc>
        <w:tc>
          <w:tcPr>
            <w:tcW w:type="dxa" w:w="2339"/>
            <w:tcBorders>
              <w:top w:val="nil"/>
              <w:left w:val="nil"/>
              <w:bottom w:space="0" w:sz="8" w:color="auto" w:val="single"/>
              <w:right w:space="0" w:sz="8" w:color="auto" w:val="single"/>
            </w:tcBorders>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540.295</w:t>
            </w:r>
          </w:p>
        </w:tc>
        <w:tc>
          <w:tcPr>
            <w:tcW w:type="dxa" w:w="1408"/>
            <w:tcBorders>
              <w:top w:val="nil"/>
              <w:left w:val="nil"/>
              <w:bottom w:space="0" w:sz="8" w:color="auto" w:val="single"/>
              <w:right w:space="0" w:sz="8" w:color="auto" w:val="single"/>
            </w:tcBorders>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590.000</w:t>
            </w:r>
          </w:p>
        </w:tc>
        <w:tc>
          <w:tcPr>
            <w:tcW w:type="dxa" w:w="1408"/>
            <w:tcBorders>
              <w:top w:val="nil"/>
              <w:left w:val="nil"/>
              <w:bottom w:space="0" w:sz="8" w:color="auto" w:val="single"/>
              <w:right w:space="0" w:sz="8" w:color="auto" w:val="single"/>
            </w:tcBorders>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637.200</w:t>
            </w:r>
          </w:p>
        </w:tc>
        <w:tc>
          <w:tcPr>
            <w:tcW w:type="dxa" w:w="1408"/>
            <w:tcBorders>
              <w:top w:val="nil"/>
              <w:left w:val="nil"/>
              <w:bottom w:space="0" w:sz="8" w:color="auto" w:val="single"/>
              <w:right w:space="0" w:sz="8" w:color="auto" w:val="single"/>
            </w:tcBorders>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690.000</w:t>
            </w:r>
          </w:p>
        </w:tc>
      </w:tr>
      <w:tr w:rsidTr="00924162" w:rsidR="00924162">
        <w:trPr>
          <w:trHeight w:val="645"/>
        </w:trPr>
        <w:tc>
          <w:tcPr>
            <w:tcW w:type="dxa" w:w="1146"/>
            <w:tcBorders>
              <w:top w:val="nil"/>
              <w:left w:space="0" w:sz="8" w:color="auto" w:val="single"/>
              <w:bottom w:space="0" w:sz="8" w:color="auto" w:val="single"/>
              <w:right w:space="0" w:sz="8" w:color="auto" w:val="single"/>
            </w:tcBorders>
            <w:hideMark/>
          </w:tcPr>
          <w:p w:rsidRDefault="00924162" w:rsidR="00924162">
            <w:pPr>
              <w:spacing w:after="0"/>
              <w:rPr>
                <w:rFonts w:cs="Times New Roman" w:eastAsia="Times New Roman"/>
                <w:color w:val="000000"/>
                <w:lang w:eastAsia="hr-HR"/>
              </w:rPr>
            </w:pPr>
            <w:r>
              <w:rPr>
                <w:rFonts w:cs="Times New Roman" w:eastAsia="Times New Roman"/>
                <w:color w:val="000000"/>
                <w:lang w:eastAsia="hr-HR"/>
              </w:rPr>
              <w:t> </w:t>
            </w:r>
          </w:p>
        </w:tc>
        <w:tc>
          <w:tcPr>
            <w:tcW w:type="dxa" w:w="1480"/>
            <w:tcBorders>
              <w:top w:val="nil"/>
              <w:left w:val="nil"/>
              <w:bottom w:space="0" w:sz="8" w:color="auto" w:val="single"/>
              <w:right w:space="0" w:sz="8" w:color="auto" w:val="single"/>
            </w:tcBorders>
            <w:vAlign w:val="bottom"/>
            <w:hideMark/>
          </w:tcPr>
          <w:p w:rsidRDefault="00924162" w:rsidR="00924162">
            <w:pPr>
              <w:spacing w:after="0"/>
              <w:rPr>
                <w:rFonts w:cs="Times New Roman" w:eastAsia="Times New Roman"/>
                <w:color w:val="000000"/>
                <w:lang w:eastAsia="hr-HR"/>
              </w:rPr>
            </w:pPr>
            <w:r>
              <w:rPr>
                <w:rFonts w:cs="Times New Roman" w:eastAsia="Times New Roman"/>
                <w:color w:val="000000"/>
                <w:lang w:eastAsia="hr-HR"/>
              </w:rPr>
              <w:t>Ukupni prihod</w:t>
            </w:r>
          </w:p>
        </w:tc>
        <w:tc>
          <w:tcPr>
            <w:tcW w:type="dxa" w:w="2339"/>
            <w:tcBorders>
              <w:top w:val="nil"/>
              <w:left w:val="nil"/>
              <w:bottom w:space="0" w:sz="8" w:color="auto" w:val="single"/>
              <w:right w:space="0" w:sz="8" w:color="auto" w:val="single"/>
            </w:tcBorders>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540.295</w:t>
            </w:r>
          </w:p>
        </w:tc>
        <w:tc>
          <w:tcPr>
            <w:tcW w:type="dxa" w:w="1408"/>
            <w:tcBorders>
              <w:top w:val="nil"/>
              <w:left w:val="nil"/>
              <w:bottom w:space="0" w:sz="8" w:color="auto" w:val="single"/>
              <w:right w:space="0" w:sz="8" w:color="auto" w:val="single"/>
            </w:tcBorders>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600.000</w:t>
            </w:r>
          </w:p>
        </w:tc>
        <w:tc>
          <w:tcPr>
            <w:tcW w:type="dxa" w:w="1408"/>
            <w:tcBorders>
              <w:top w:val="nil"/>
              <w:left w:val="nil"/>
              <w:bottom w:space="0" w:sz="8" w:color="auto" w:val="single"/>
              <w:right w:space="0" w:sz="8" w:color="auto" w:val="single"/>
            </w:tcBorders>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640.000</w:t>
            </w:r>
          </w:p>
        </w:tc>
        <w:tc>
          <w:tcPr>
            <w:tcW w:type="dxa" w:w="1408"/>
            <w:tcBorders>
              <w:top w:val="nil"/>
              <w:left w:val="nil"/>
              <w:bottom w:space="0" w:sz="8" w:color="auto" w:val="single"/>
              <w:right w:space="0" w:sz="8" w:color="auto" w:val="single"/>
            </w:tcBorders>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700.000</w:t>
            </w:r>
          </w:p>
        </w:tc>
      </w:tr>
    </w:tbl>
    <w:p w:rsidRDefault="00924162" w:rsidP="00924162" w:rsidR="00924162">
      <w:pPr>
        <w:pStyle w:val="Standard"/>
        <w:rPr>
          <w:rFonts w:cs="Times New Roman"/>
          <w:color w:val="FF0000"/>
        </w:rPr>
      </w:pPr>
    </w:p>
    <w:p w:rsidRDefault="00924162" w:rsidP="00924162" w:rsidR="00924162">
      <w:pPr>
        <w:pStyle w:val="Standard"/>
        <w:rPr>
          <w:rFonts w:cs="Times New Roman"/>
          <w:color w:val="FF0000"/>
        </w:rPr>
      </w:pPr>
    </w:p>
    <w:p w:rsidRDefault="00924162" w:rsidP="00924162" w:rsidR="00924162">
      <w:pPr>
        <w:rPr>
          <w:rFonts w:cs="Times New Roman"/>
        </w:rPr>
      </w:pPr>
      <w:r>
        <w:rPr>
          <w:rFonts w:cs="Times New Roman"/>
        </w:rPr>
        <w:t>Projekcija troškova (2016.-2018.)</w:t>
      </w:r>
    </w:p>
    <w:p w:rsidRDefault="00924162" w:rsidP="00924162" w:rsidR="00924162">
      <w:pPr>
        <w:rPr>
          <w:rFonts w:cs="Times New Roman"/>
        </w:rPr>
      </w:pPr>
    </w:p>
    <w:p w:rsidRDefault="00924162" w:rsidP="00924162" w:rsidR="00924162">
      <w:pPr>
        <w:jc w:val="center"/>
        <w:rPr>
          <w:rFonts w:cs="Times New Roman"/>
        </w:rPr>
      </w:pPr>
      <w:r>
        <w:rPr>
          <w:rFonts w:cs="Times New Roman"/>
        </w:rPr>
        <w:t>Tablica planiranih troškova (iznosi u kn)</w:t>
      </w:r>
    </w:p>
    <w:tbl>
      <w:tblPr>
        <w:tblW w:type="dxa" w:w="9373"/>
        <w:tblInd w:type="dxa" w:w="93"/>
        <w:tblLook w:val="04A0" w:noVBand="1" w:noHBand="0" w:lastColumn="0" w:firstColumn="1" w:lastRow="0" w:firstRow="1"/>
      </w:tblPr>
      <w:tblGrid>
        <w:gridCol w:w="1126"/>
        <w:gridCol w:w="2721"/>
        <w:gridCol w:w="1587"/>
        <w:gridCol w:w="1313"/>
        <w:gridCol w:w="1313"/>
        <w:gridCol w:w="1313"/>
      </w:tblGrid>
      <w:tr w:rsidTr="00924162" w:rsidR="00924162">
        <w:trPr>
          <w:trHeight w:val="652"/>
        </w:trPr>
        <w:tc>
          <w:tcPr>
            <w:tcW w:type="dxa" w:w="1126"/>
            <w:tcBorders>
              <w:top w:space="0" w:sz="8" w:color="auto" w:val="single"/>
              <w:left w:space="0" w:sz="8" w:color="auto" w:val="single"/>
              <w:bottom w:space="0" w:sz="8" w:color="auto" w:val="single"/>
              <w:right w:space="0" w:sz="8" w:color="auto" w:val="single"/>
            </w:tcBorders>
            <w:shd w:fill="E5E0EC" w:color="auto" w:val="clear"/>
            <w:hideMark/>
          </w:tcPr>
          <w:p w:rsidRDefault="00924162" w:rsidR="00924162">
            <w:pPr>
              <w:spacing w:after="0"/>
              <w:rPr>
                <w:rFonts w:cs="Times New Roman" w:eastAsia="Times New Roman"/>
                <w:color w:val="000000"/>
                <w:lang w:eastAsia="hr-HR"/>
              </w:rPr>
            </w:pPr>
            <w:r>
              <w:rPr>
                <w:rFonts w:cs="Times New Roman" w:eastAsia="Times New Roman"/>
                <w:color w:val="000000"/>
                <w:lang w:eastAsia="hr-HR"/>
              </w:rPr>
              <w:t>Redni Broj</w:t>
            </w:r>
          </w:p>
        </w:tc>
        <w:tc>
          <w:tcPr>
            <w:tcW w:type="dxa" w:w="2721"/>
            <w:tcBorders>
              <w:top w:space="0" w:sz="8" w:color="auto" w:val="single"/>
              <w:left w:val="nil"/>
              <w:bottom w:space="0" w:sz="8" w:color="auto" w:val="single"/>
              <w:right w:space="0" w:sz="8" w:color="auto" w:val="single"/>
            </w:tcBorders>
            <w:shd w:fill="E5E0EC" w:color="auto" w:val="clear"/>
            <w:hideMark/>
          </w:tcPr>
          <w:p w:rsidRDefault="00924162" w:rsidR="00924162">
            <w:pPr>
              <w:spacing w:after="0"/>
              <w:jc w:val="center"/>
              <w:rPr>
                <w:rFonts w:cs="Times New Roman" w:eastAsia="Times New Roman"/>
                <w:color w:val="000000"/>
                <w:lang w:eastAsia="hr-HR"/>
              </w:rPr>
            </w:pPr>
            <w:r>
              <w:rPr>
                <w:rFonts w:cs="Times New Roman" w:eastAsia="Times New Roman"/>
                <w:color w:val="000000"/>
                <w:lang w:eastAsia="hr-HR"/>
              </w:rPr>
              <w:t>Opis</w:t>
            </w:r>
          </w:p>
        </w:tc>
        <w:tc>
          <w:tcPr>
            <w:tcW w:type="dxa" w:w="1587"/>
            <w:tcBorders>
              <w:top w:space="0" w:sz="8" w:color="auto" w:val="single"/>
              <w:left w:val="nil"/>
              <w:bottom w:space="0" w:sz="8" w:color="auto" w:val="single"/>
              <w:right w:space="0" w:sz="8" w:color="auto" w:val="single"/>
            </w:tcBorders>
            <w:shd w:fill="E5E0EC" w:color="auto" w:val="clear"/>
            <w:hideMark/>
          </w:tcPr>
          <w:p w:rsidRDefault="00924162" w:rsidR="00924162">
            <w:pPr>
              <w:spacing w:after="0"/>
              <w:jc w:val="center"/>
              <w:rPr>
                <w:rFonts w:cs="Times New Roman" w:eastAsia="Times New Roman"/>
                <w:color w:val="000000"/>
                <w:lang w:eastAsia="hr-HR"/>
              </w:rPr>
            </w:pPr>
            <w:r>
              <w:rPr>
                <w:rFonts w:cs="Times New Roman" w:eastAsia="Times New Roman"/>
                <w:color w:val="000000"/>
                <w:lang w:eastAsia="hr-HR"/>
              </w:rPr>
              <w:t>30.06.2016.</w:t>
            </w:r>
          </w:p>
        </w:tc>
        <w:tc>
          <w:tcPr>
            <w:tcW w:type="dxa" w:w="1313"/>
            <w:tcBorders>
              <w:top w:space="0" w:sz="8" w:color="auto" w:val="single"/>
              <w:left w:val="nil"/>
              <w:bottom w:space="0" w:sz="8" w:color="auto" w:val="single"/>
              <w:right w:space="0" w:sz="8" w:color="auto" w:val="single"/>
            </w:tcBorders>
            <w:shd w:fill="E5E0EC" w:color="auto" w:val="clear"/>
            <w:hideMark/>
          </w:tcPr>
          <w:p w:rsidRDefault="00924162" w:rsidR="00924162">
            <w:pPr>
              <w:spacing w:after="0"/>
              <w:jc w:val="center"/>
              <w:rPr>
                <w:rFonts w:cs="Times New Roman" w:eastAsia="Times New Roman"/>
                <w:color w:val="000000"/>
                <w:lang w:eastAsia="hr-HR"/>
              </w:rPr>
            </w:pPr>
            <w:r>
              <w:rPr>
                <w:rFonts w:cs="Times New Roman" w:eastAsia="Times New Roman"/>
                <w:color w:val="000000"/>
                <w:lang w:eastAsia="hr-HR"/>
              </w:rPr>
              <w:t>2016.</w:t>
            </w:r>
          </w:p>
        </w:tc>
        <w:tc>
          <w:tcPr>
            <w:tcW w:type="dxa" w:w="1313"/>
            <w:tcBorders>
              <w:top w:space="0" w:sz="8" w:color="auto" w:val="single"/>
              <w:left w:val="nil"/>
              <w:bottom w:space="0" w:sz="8" w:color="auto" w:val="single"/>
              <w:right w:space="0" w:sz="8" w:color="auto" w:val="single"/>
            </w:tcBorders>
            <w:shd w:fill="E5E0EC" w:color="auto" w:val="clear"/>
            <w:hideMark/>
          </w:tcPr>
          <w:p w:rsidRDefault="00924162" w:rsidR="00924162">
            <w:pPr>
              <w:spacing w:after="0"/>
              <w:jc w:val="center"/>
              <w:rPr>
                <w:rFonts w:cs="Times New Roman" w:eastAsia="Times New Roman"/>
                <w:color w:val="000000"/>
                <w:lang w:eastAsia="hr-HR"/>
              </w:rPr>
            </w:pPr>
            <w:r>
              <w:rPr>
                <w:rFonts w:cs="Times New Roman" w:eastAsia="Times New Roman"/>
                <w:color w:val="000000"/>
                <w:lang w:eastAsia="hr-HR"/>
              </w:rPr>
              <w:t>2017.</w:t>
            </w:r>
          </w:p>
        </w:tc>
        <w:tc>
          <w:tcPr>
            <w:tcW w:type="dxa" w:w="1313"/>
            <w:tcBorders>
              <w:top w:space="0" w:sz="8" w:color="auto" w:val="single"/>
              <w:left w:val="nil"/>
              <w:bottom w:space="0" w:sz="8" w:color="auto" w:val="single"/>
              <w:right w:space="0" w:sz="8" w:color="auto" w:val="single"/>
            </w:tcBorders>
            <w:shd w:fill="E5E0EC" w:color="auto" w:val="clear"/>
            <w:hideMark/>
          </w:tcPr>
          <w:p w:rsidRDefault="00924162" w:rsidR="00924162">
            <w:pPr>
              <w:spacing w:after="0"/>
              <w:jc w:val="center"/>
              <w:rPr>
                <w:rFonts w:cs="Times New Roman" w:eastAsia="Times New Roman"/>
                <w:color w:val="000000"/>
                <w:lang w:eastAsia="hr-HR"/>
              </w:rPr>
            </w:pPr>
            <w:r>
              <w:rPr>
                <w:rFonts w:cs="Times New Roman" w:eastAsia="Times New Roman"/>
                <w:color w:val="000000"/>
                <w:lang w:eastAsia="hr-HR"/>
              </w:rPr>
              <w:t>2018.</w:t>
            </w:r>
          </w:p>
        </w:tc>
      </w:tr>
      <w:tr w:rsidTr="00924162" w:rsidR="00924162">
        <w:trPr>
          <w:trHeight w:val="20"/>
        </w:trPr>
        <w:tc>
          <w:tcPr>
            <w:tcW w:type="dxa" w:w="1126"/>
            <w:tcBorders>
              <w:top w:val="nil"/>
              <w:left w:space="0" w:sz="8" w:color="auto" w:val="single"/>
              <w:bottom w:space="0" w:sz="8" w:color="auto" w:val="single"/>
              <w:right w:space="0" w:sz="8" w:color="auto" w:val="single"/>
            </w:tcBorders>
            <w:vAlign w:val="bottom"/>
            <w:hideMark/>
          </w:tcPr>
          <w:p w:rsidRDefault="00924162" w:rsidR="00924162">
            <w:pPr>
              <w:spacing w:after="0"/>
              <w:rPr>
                <w:rFonts w:cs="Times New Roman" w:eastAsia="Times New Roman"/>
                <w:color w:val="000000"/>
                <w:lang w:eastAsia="hr-HR"/>
              </w:rPr>
            </w:pPr>
            <w:r>
              <w:rPr>
                <w:rFonts w:cs="Times New Roman" w:eastAsia="Times New Roman"/>
                <w:color w:val="000000"/>
                <w:lang w:eastAsia="hr-HR"/>
              </w:rPr>
              <w:t>1.</w:t>
            </w:r>
          </w:p>
        </w:tc>
        <w:tc>
          <w:tcPr>
            <w:tcW w:type="dxa" w:w="2721"/>
            <w:tcBorders>
              <w:top w:val="nil"/>
              <w:left w:val="nil"/>
              <w:bottom w:space="0" w:sz="8" w:color="auto" w:val="single"/>
              <w:right w:space="0" w:sz="8" w:color="auto" w:val="single"/>
            </w:tcBorders>
            <w:vAlign w:val="bottom"/>
            <w:hideMark/>
          </w:tcPr>
          <w:p w:rsidRDefault="00924162" w:rsidR="00924162">
            <w:pPr>
              <w:spacing w:after="0"/>
              <w:rPr>
                <w:rFonts w:cs="Times New Roman" w:eastAsia="Times New Roman"/>
                <w:color w:val="000000"/>
                <w:lang w:eastAsia="hr-HR"/>
              </w:rPr>
            </w:pPr>
            <w:r>
              <w:rPr>
                <w:rFonts w:cs="Times New Roman" w:eastAsia="Times New Roman"/>
                <w:color w:val="000000"/>
                <w:lang w:eastAsia="hr-HR"/>
              </w:rPr>
              <w:t>Materijalni troškovi</w:t>
            </w:r>
          </w:p>
        </w:tc>
        <w:tc>
          <w:tcPr>
            <w:tcW w:type="dxa" w:w="1587"/>
            <w:tcBorders>
              <w:top w:val="nil"/>
              <w:left w:val="nil"/>
              <w:bottom w:space="0" w:sz="8" w:color="auto" w:val="single"/>
              <w:right w:space="0" w:sz="8" w:color="auto" w:val="single"/>
            </w:tcBorders>
            <w:vAlign w:val="bottom"/>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373.740</w:t>
            </w:r>
          </w:p>
        </w:tc>
        <w:tc>
          <w:tcPr>
            <w:tcW w:type="dxa" w:w="1313"/>
            <w:tcBorders>
              <w:top w:val="nil"/>
              <w:left w:val="nil"/>
              <w:bottom w:space="0" w:sz="8" w:color="auto" w:val="single"/>
              <w:right w:space="0" w:sz="8" w:color="auto" w:val="single"/>
            </w:tcBorders>
            <w:vAlign w:val="bottom"/>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389.000</w:t>
            </w:r>
          </w:p>
        </w:tc>
        <w:tc>
          <w:tcPr>
            <w:tcW w:type="dxa" w:w="1313"/>
            <w:tcBorders>
              <w:top w:val="nil"/>
              <w:left w:val="nil"/>
              <w:bottom w:space="0" w:sz="8" w:color="auto" w:val="single"/>
              <w:right w:space="0" w:sz="8" w:color="auto" w:val="single"/>
            </w:tcBorders>
            <w:vAlign w:val="bottom"/>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405.000</w:t>
            </w:r>
          </w:p>
        </w:tc>
        <w:tc>
          <w:tcPr>
            <w:tcW w:type="dxa" w:w="1313"/>
            <w:tcBorders>
              <w:top w:val="nil"/>
              <w:left w:val="nil"/>
              <w:bottom w:space="0" w:sz="8" w:color="auto" w:val="single"/>
              <w:right w:space="0" w:sz="8" w:color="auto" w:val="single"/>
            </w:tcBorders>
            <w:vAlign w:val="bottom"/>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421.200</w:t>
            </w:r>
          </w:p>
        </w:tc>
      </w:tr>
      <w:tr w:rsidTr="00924162" w:rsidR="00924162">
        <w:trPr>
          <w:trHeight w:val="20"/>
        </w:trPr>
        <w:tc>
          <w:tcPr>
            <w:tcW w:type="dxa" w:w="1126"/>
            <w:tcBorders>
              <w:top w:val="nil"/>
              <w:left w:space="0" w:sz="8" w:color="auto" w:val="single"/>
              <w:bottom w:space="0" w:sz="8" w:color="auto" w:val="single"/>
              <w:right w:space="0" w:sz="8" w:color="auto" w:val="single"/>
            </w:tcBorders>
            <w:vAlign w:val="bottom"/>
            <w:hideMark/>
          </w:tcPr>
          <w:p w:rsidRDefault="00924162" w:rsidR="00924162">
            <w:pPr>
              <w:spacing w:after="0"/>
              <w:rPr>
                <w:rFonts w:cs="Times New Roman" w:eastAsia="Times New Roman"/>
                <w:color w:val="000000"/>
                <w:lang w:eastAsia="hr-HR"/>
              </w:rPr>
            </w:pPr>
            <w:r>
              <w:rPr>
                <w:rFonts w:cs="Times New Roman" w:eastAsia="Times New Roman"/>
                <w:color w:val="000000"/>
                <w:lang w:eastAsia="hr-HR"/>
              </w:rPr>
              <w:t>2.</w:t>
            </w:r>
          </w:p>
        </w:tc>
        <w:tc>
          <w:tcPr>
            <w:tcW w:type="dxa" w:w="2721"/>
            <w:tcBorders>
              <w:top w:val="nil"/>
              <w:left w:val="nil"/>
              <w:bottom w:space="0" w:sz="8" w:color="auto" w:val="single"/>
              <w:right w:space="0" w:sz="8" w:color="auto" w:val="single"/>
            </w:tcBorders>
            <w:vAlign w:val="bottom"/>
            <w:hideMark/>
          </w:tcPr>
          <w:p w:rsidRDefault="00924162" w:rsidR="00924162">
            <w:pPr>
              <w:spacing w:after="0"/>
              <w:rPr>
                <w:rFonts w:cs="Times New Roman" w:eastAsia="Times New Roman"/>
                <w:color w:val="000000"/>
                <w:lang w:eastAsia="hr-HR"/>
              </w:rPr>
            </w:pPr>
            <w:r>
              <w:rPr>
                <w:rFonts w:cs="Times New Roman" w:eastAsia="Times New Roman"/>
                <w:color w:val="000000"/>
                <w:lang w:eastAsia="hr-HR"/>
              </w:rPr>
              <w:t>Troškovi osoblja</w:t>
            </w:r>
          </w:p>
        </w:tc>
        <w:tc>
          <w:tcPr>
            <w:tcW w:type="dxa" w:w="1587"/>
            <w:tcBorders>
              <w:top w:val="nil"/>
              <w:left w:val="nil"/>
              <w:bottom w:space="0" w:sz="8" w:color="auto" w:val="single"/>
              <w:right w:space="0" w:sz="8" w:color="auto" w:val="single"/>
            </w:tcBorders>
            <w:vAlign w:val="bottom"/>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291.192</w:t>
            </w:r>
          </w:p>
        </w:tc>
        <w:tc>
          <w:tcPr>
            <w:tcW w:type="dxa" w:w="1313"/>
            <w:tcBorders>
              <w:top w:val="nil"/>
              <w:left w:val="nil"/>
              <w:bottom w:space="0" w:sz="8" w:color="auto" w:val="single"/>
              <w:right w:space="0" w:sz="8" w:color="auto" w:val="single"/>
            </w:tcBorders>
            <w:vAlign w:val="bottom"/>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303.000</w:t>
            </w:r>
          </w:p>
        </w:tc>
        <w:tc>
          <w:tcPr>
            <w:tcW w:type="dxa" w:w="1313"/>
            <w:tcBorders>
              <w:top w:val="nil"/>
              <w:left w:val="nil"/>
              <w:bottom w:space="0" w:sz="8" w:color="auto" w:val="single"/>
              <w:right w:space="0" w:sz="8" w:color="auto" w:val="single"/>
            </w:tcBorders>
            <w:vAlign w:val="bottom"/>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315.000</w:t>
            </w:r>
          </w:p>
        </w:tc>
        <w:tc>
          <w:tcPr>
            <w:tcW w:type="dxa" w:w="1313"/>
            <w:tcBorders>
              <w:top w:val="nil"/>
              <w:left w:val="nil"/>
              <w:bottom w:space="0" w:sz="8" w:color="auto" w:val="single"/>
              <w:right w:space="0" w:sz="8" w:color="auto" w:val="single"/>
            </w:tcBorders>
            <w:vAlign w:val="bottom"/>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327.600</w:t>
            </w:r>
          </w:p>
        </w:tc>
      </w:tr>
      <w:tr w:rsidTr="00924162" w:rsidR="00924162">
        <w:trPr>
          <w:trHeight w:val="20"/>
        </w:trPr>
        <w:tc>
          <w:tcPr>
            <w:tcW w:type="dxa" w:w="1126"/>
            <w:tcBorders>
              <w:top w:val="nil"/>
              <w:left w:space="0" w:sz="8" w:color="auto" w:val="single"/>
              <w:bottom w:space="0" w:sz="8" w:color="auto" w:val="single"/>
              <w:right w:space="0" w:sz="8" w:color="auto" w:val="single"/>
            </w:tcBorders>
            <w:noWrap/>
            <w:vAlign w:val="bottom"/>
            <w:hideMark/>
          </w:tcPr>
          <w:p w:rsidRDefault="00924162" w:rsidR="00924162">
            <w:pPr>
              <w:spacing w:after="0"/>
              <w:rPr>
                <w:rFonts w:cs="Times New Roman" w:eastAsia="Times New Roman"/>
                <w:color w:val="000000"/>
                <w:lang w:eastAsia="hr-HR"/>
              </w:rPr>
            </w:pPr>
            <w:r>
              <w:rPr>
                <w:rFonts w:cs="Times New Roman" w:eastAsia="Times New Roman"/>
                <w:color w:val="000000"/>
                <w:lang w:eastAsia="hr-HR"/>
              </w:rPr>
              <w:t>3.</w:t>
            </w:r>
          </w:p>
        </w:tc>
        <w:tc>
          <w:tcPr>
            <w:tcW w:type="dxa" w:w="2721"/>
            <w:tcBorders>
              <w:top w:val="nil"/>
              <w:left w:val="nil"/>
              <w:bottom w:space="0" w:sz="8" w:color="auto" w:val="single"/>
              <w:right w:space="0" w:sz="8" w:color="auto" w:val="single"/>
            </w:tcBorders>
            <w:noWrap/>
            <w:vAlign w:val="bottom"/>
            <w:hideMark/>
          </w:tcPr>
          <w:p w:rsidRDefault="00924162" w:rsidR="00924162">
            <w:pPr>
              <w:spacing w:after="0"/>
              <w:rPr>
                <w:rFonts w:cs="Times New Roman" w:eastAsia="Times New Roman"/>
                <w:color w:val="000000"/>
                <w:lang w:eastAsia="hr-HR"/>
              </w:rPr>
            </w:pPr>
            <w:r>
              <w:rPr>
                <w:rFonts w:cs="Times New Roman" w:eastAsia="Times New Roman"/>
                <w:color w:val="000000"/>
                <w:lang w:eastAsia="hr-HR"/>
              </w:rPr>
              <w:t>Amortizacija</w:t>
            </w:r>
          </w:p>
        </w:tc>
        <w:tc>
          <w:tcPr>
            <w:tcW w:type="dxa" w:w="1587"/>
            <w:tcBorders>
              <w:top w:val="nil"/>
              <w:left w:val="nil"/>
              <w:bottom w:space="0" w:sz="8" w:color="auto" w:val="single"/>
              <w:right w:space="0" w:sz="8" w:color="auto" w:val="single"/>
            </w:tcBorders>
            <w:noWrap/>
            <w:vAlign w:val="bottom"/>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59.249</w:t>
            </w:r>
          </w:p>
        </w:tc>
        <w:tc>
          <w:tcPr>
            <w:tcW w:type="dxa" w:w="1313"/>
            <w:tcBorders>
              <w:top w:val="nil"/>
              <w:left w:val="nil"/>
              <w:bottom w:space="0" w:sz="8" w:color="auto" w:val="single"/>
              <w:right w:space="0" w:sz="8" w:color="auto" w:val="single"/>
            </w:tcBorders>
            <w:vAlign w:val="bottom"/>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62.000</w:t>
            </w:r>
          </w:p>
        </w:tc>
        <w:tc>
          <w:tcPr>
            <w:tcW w:type="dxa" w:w="1313"/>
            <w:tcBorders>
              <w:top w:val="nil"/>
              <w:left w:val="nil"/>
              <w:bottom w:space="0" w:sz="8" w:color="auto" w:val="single"/>
              <w:right w:space="0" w:sz="8" w:color="auto" w:val="single"/>
            </w:tcBorders>
            <w:vAlign w:val="bottom"/>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65.000</w:t>
            </w:r>
          </w:p>
        </w:tc>
        <w:tc>
          <w:tcPr>
            <w:tcW w:type="dxa" w:w="1313"/>
            <w:tcBorders>
              <w:top w:val="nil"/>
              <w:left w:val="nil"/>
              <w:bottom w:space="0" w:sz="8" w:color="auto" w:val="single"/>
              <w:right w:space="0" w:sz="8" w:color="auto" w:val="single"/>
            </w:tcBorders>
            <w:vAlign w:val="bottom"/>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67.600</w:t>
            </w:r>
          </w:p>
        </w:tc>
      </w:tr>
      <w:tr w:rsidTr="00924162" w:rsidR="00924162">
        <w:trPr>
          <w:trHeight w:val="20"/>
        </w:trPr>
        <w:tc>
          <w:tcPr>
            <w:tcW w:type="dxa" w:w="1126"/>
            <w:tcBorders>
              <w:top w:val="nil"/>
              <w:left w:space="0" w:sz="8" w:color="auto" w:val="single"/>
              <w:bottom w:space="0" w:sz="8" w:color="auto" w:val="single"/>
              <w:right w:space="0" w:sz="8" w:color="auto" w:val="single"/>
            </w:tcBorders>
            <w:vAlign w:val="bottom"/>
            <w:hideMark/>
          </w:tcPr>
          <w:p w:rsidRDefault="00924162" w:rsidR="00924162">
            <w:pPr>
              <w:spacing w:after="0"/>
              <w:rPr>
                <w:rFonts w:cs="Times New Roman" w:eastAsia="Times New Roman"/>
                <w:color w:val="000000"/>
                <w:lang w:eastAsia="hr-HR"/>
              </w:rPr>
            </w:pPr>
            <w:r>
              <w:rPr>
                <w:rFonts w:cs="Times New Roman" w:eastAsia="Times New Roman"/>
                <w:color w:val="000000"/>
                <w:lang w:eastAsia="hr-HR"/>
              </w:rPr>
              <w:t>4.</w:t>
            </w:r>
          </w:p>
        </w:tc>
        <w:tc>
          <w:tcPr>
            <w:tcW w:type="dxa" w:w="2721"/>
            <w:tcBorders>
              <w:top w:val="nil"/>
              <w:left w:val="nil"/>
              <w:bottom w:space="0" w:sz="8" w:color="auto" w:val="single"/>
              <w:right w:space="0" w:sz="8" w:color="auto" w:val="single"/>
            </w:tcBorders>
            <w:vAlign w:val="bottom"/>
            <w:hideMark/>
          </w:tcPr>
          <w:p w:rsidRDefault="00924162" w:rsidR="00924162">
            <w:pPr>
              <w:spacing w:after="0"/>
              <w:rPr>
                <w:rFonts w:cs="Times New Roman" w:eastAsia="Times New Roman"/>
                <w:color w:val="000000"/>
                <w:lang w:eastAsia="hr-HR"/>
              </w:rPr>
            </w:pPr>
            <w:r>
              <w:rPr>
                <w:rFonts w:cs="Times New Roman" w:eastAsia="Times New Roman"/>
                <w:color w:val="000000"/>
                <w:lang w:eastAsia="hr-HR"/>
              </w:rPr>
              <w:t>Ostali troškovi</w:t>
            </w:r>
          </w:p>
        </w:tc>
        <w:tc>
          <w:tcPr>
            <w:tcW w:type="dxa" w:w="1587"/>
            <w:tcBorders>
              <w:top w:val="nil"/>
              <w:left w:val="nil"/>
              <w:bottom w:space="0" w:sz="8" w:color="auto" w:val="single"/>
              <w:right w:space="0" w:sz="8" w:color="auto" w:val="single"/>
            </w:tcBorders>
            <w:vAlign w:val="bottom"/>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4.952</w:t>
            </w:r>
          </w:p>
        </w:tc>
        <w:tc>
          <w:tcPr>
            <w:tcW w:type="dxa" w:w="1313"/>
            <w:tcBorders>
              <w:top w:val="nil"/>
              <w:left w:val="nil"/>
              <w:bottom w:space="0" w:sz="8" w:color="auto" w:val="single"/>
              <w:right w:space="0" w:sz="8" w:color="auto" w:val="single"/>
            </w:tcBorders>
            <w:vAlign w:val="bottom"/>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5.150</w:t>
            </w:r>
          </w:p>
        </w:tc>
        <w:tc>
          <w:tcPr>
            <w:tcW w:type="dxa" w:w="1313"/>
            <w:tcBorders>
              <w:top w:val="nil"/>
              <w:left w:val="nil"/>
              <w:bottom w:space="0" w:sz="8" w:color="auto" w:val="single"/>
              <w:right w:space="0" w:sz="8" w:color="auto" w:val="single"/>
            </w:tcBorders>
            <w:vAlign w:val="bottom"/>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5.400</w:t>
            </w:r>
          </w:p>
        </w:tc>
        <w:tc>
          <w:tcPr>
            <w:tcW w:type="dxa" w:w="1313"/>
            <w:tcBorders>
              <w:top w:val="nil"/>
              <w:left w:val="nil"/>
              <w:bottom w:space="0" w:sz="8" w:color="auto" w:val="single"/>
              <w:right w:space="0" w:sz="8" w:color="auto" w:val="single"/>
            </w:tcBorders>
            <w:vAlign w:val="bottom"/>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5.700</w:t>
            </w:r>
          </w:p>
        </w:tc>
      </w:tr>
      <w:tr w:rsidTr="00924162" w:rsidR="00924162">
        <w:trPr>
          <w:trHeight w:val="20"/>
        </w:trPr>
        <w:tc>
          <w:tcPr>
            <w:tcW w:type="dxa" w:w="1126"/>
            <w:tcBorders>
              <w:top w:val="nil"/>
              <w:left w:space="0" w:sz="8" w:color="auto" w:val="single"/>
              <w:bottom w:space="0" w:sz="8" w:color="auto" w:val="single"/>
              <w:right w:space="0" w:sz="8" w:color="auto" w:val="single"/>
            </w:tcBorders>
            <w:vAlign w:val="bottom"/>
            <w:hideMark/>
          </w:tcPr>
          <w:p w:rsidRDefault="00924162" w:rsidR="00924162">
            <w:pPr>
              <w:spacing w:after="0"/>
              <w:rPr>
                <w:rFonts w:cs="Times New Roman" w:eastAsia="Times New Roman"/>
                <w:color w:val="000000"/>
                <w:lang w:eastAsia="hr-HR"/>
              </w:rPr>
            </w:pPr>
            <w:r>
              <w:rPr>
                <w:rFonts w:cs="Times New Roman" w:eastAsia="Times New Roman"/>
                <w:color w:val="000000"/>
                <w:lang w:eastAsia="hr-HR"/>
              </w:rPr>
              <w:lastRenderedPageBreak/>
              <w:t> </w:t>
            </w:r>
          </w:p>
        </w:tc>
        <w:tc>
          <w:tcPr>
            <w:tcW w:type="dxa" w:w="2721"/>
            <w:tcBorders>
              <w:top w:val="nil"/>
              <w:left w:val="nil"/>
              <w:bottom w:space="0" w:sz="8" w:color="auto" w:val="single"/>
              <w:right w:space="0" w:sz="8" w:color="auto" w:val="single"/>
            </w:tcBorders>
            <w:vAlign w:val="bottom"/>
            <w:hideMark/>
          </w:tcPr>
          <w:p w:rsidRDefault="00924162" w:rsidR="00924162">
            <w:pPr>
              <w:spacing w:after="0"/>
              <w:rPr>
                <w:rFonts w:cs="Times New Roman" w:eastAsia="Times New Roman"/>
                <w:color w:val="000000"/>
                <w:lang w:eastAsia="hr-HR"/>
              </w:rPr>
            </w:pPr>
            <w:r>
              <w:rPr>
                <w:rFonts w:cs="Times New Roman" w:eastAsia="Times New Roman"/>
                <w:color w:val="000000"/>
                <w:lang w:eastAsia="hr-HR"/>
              </w:rPr>
              <w:t>Ukupni rashod</w:t>
            </w:r>
          </w:p>
        </w:tc>
        <w:tc>
          <w:tcPr>
            <w:tcW w:type="dxa" w:w="1587"/>
            <w:tcBorders>
              <w:top w:val="nil"/>
              <w:left w:val="nil"/>
              <w:bottom w:space="0" w:sz="8" w:color="auto" w:val="single"/>
              <w:right w:space="0" w:sz="8" w:color="auto" w:val="single"/>
            </w:tcBorders>
            <w:vAlign w:val="bottom"/>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537.533</w:t>
            </w:r>
          </w:p>
        </w:tc>
        <w:tc>
          <w:tcPr>
            <w:tcW w:type="dxa" w:w="1313"/>
            <w:tcBorders>
              <w:top w:val="nil"/>
              <w:left w:val="nil"/>
              <w:bottom w:space="0" w:sz="8" w:color="auto" w:val="single"/>
              <w:right w:space="0" w:sz="8" w:color="auto" w:val="single"/>
            </w:tcBorders>
            <w:vAlign w:val="bottom"/>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560.000</w:t>
            </w:r>
          </w:p>
        </w:tc>
        <w:tc>
          <w:tcPr>
            <w:tcW w:type="dxa" w:w="1313"/>
            <w:tcBorders>
              <w:top w:val="nil"/>
              <w:left w:val="nil"/>
              <w:bottom w:space="0" w:sz="8" w:color="auto" w:val="single"/>
              <w:right w:space="0" w:sz="8" w:color="auto" w:val="single"/>
            </w:tcBorders>
            <w:vAlign w:val="bottom"/>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582.400</w:t>
            </w:r>
          </w:p>
        </w:tc>
        <w:tc>
          <w:tcPr>
            <w:tcW w:type="dxa" w:w="1313"/>
            <w:tcBorders>
              <w:top w:val="nil"/>
              <w:left w:val="nil"/>
              <w:bottom w:space="0" w:sz="8" w:color="auto" w:val="single"/>
              <w:right w:space="0" w:sz="8" w:color="auto" w:val="single"/>
            </w:tcBorders>
            <w:vAlign w:val="bottom"/>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606.000</w:t>
            </w:r>
          </w:p>
        </w:tc>
      </w:tr>
    </w:tbl>
    <w:p w:rsidRDefault="00924162" w:rsidP="00924162" w:rsidR="00924162">
      <w:pPr>
        <w:rPr>
          <w:rFonts w:cs="Times New Roman"/>
        </w:rPr>
      </w:pPr>
    </w:p>
    <w:p w:rsidRDefault="00924162" w:rsidP="00924162" w:rsidR="00924162">
      <w:pPr>
        <w:rPr>
          <w:rFonts w:cs="Times New Roman"/>
        </w:rPr>
      </w:pPr>
    </w:p>
    <w:p w:rsidRDefault="00924162" w:rsidP="00924162" w:rsidR="00924162">
      <w:pPr>
        <w:rPr>
          <w:rFonts w:cs="Times New Roman"/>
        </w:rPr>
      </w:pPr>
      <w:r>
        <w:rPr>
          <w:rFonts w:cs="Times New Roman"/>
        </w:rPr>
        <w:t>Projekcija računa dobiti i gubitka (2016.-2018.) (iznosi u kn)</w:t>
      </w:r>
    </w:p>
    <w:p w:rsidRDefault="00924162" w:rsidP="00924162" w:rsidR="00924162">
      <w:pPr>
        <w:rPr>
          <w:rFonts w:cs="Times New Roman"/>
        </w:rPr>
      </w:pPr>
    </w:p>
    <w:tbl>
      <w:tblPr>
        <w:tblW w:type="dxa" w:w="8997"/>
        <w:tblInd w:type="dxa" w:w="93"/>
        <w:tblLook w:val="04A0" w:noVBand="1" w:noHBand="0" w:lastColumn="0" w:firstColumn="1" w:lastRow="0" w:firstRow="1"/>
      </w:tblPr>
      <w:tblGrid>
        <w:gridCol w:w="910"/>
        <w:gridCol w:w="2494"/>
        <w:gridCol w:w="1531"/>
        <w:gridCol w:w="1354"/>
        <w:gridCol w:w="1354"/>
        <w:gridCol w:w="1354"/>
      </w:tblGrid>
      <w:tr w:rsidTr="00924162" w:rsidR="00924162">
        <w:trPr>
          <w:trHeight w:val="20"/>
        </w:trPr>
        <w:tc>
          <w:tcPr>
            <w:tcW w:type="dxa" w:w="910"/>
            <w:tcBorders>
              <w:top w:space="0" w:sz="8" w:color="auto" w:val="single"/>
              <w:left w:space="0" w:sz="8" w:color="auto" w:val="single"/>
              <w:bottom w:space="0" w:sz="8" w:color="auto" w:val="single"/>
              <w:right w:space="0" w:sz="8" w:color="auto" w:val="single"/>
            </w:tcBorders>
            <w:shd w:fill="E5E0EC" w:color="auto" w:val="clear"/>
            <w:hideMark/>
          </w:tcPr>
          <w:p w:rsidRDefault="00924162" w:rsidR="00924162">
            <w:pPr>
              <w:spacing w:after="0"/>
              <w:rPr>
                <w:rFonts w:cs="Times New Roman" w:eastAsia="Times New Roman"/>
                <w:color w:val="000000"/>
                <w:lang w:eastAsia="hr-HR"/>
              </w:rPr>
            </w:pPr>
            <w:r>
              <w:rPr>
                <w:rFonts w:cs="Times New Roman" w:eastAsia="Times New Roman"/>
                <w:color w:val="000000"/>
                <w:lang w:eastAsia="hr-HR"/>
              </w:rPr>
              <w:t>Redni Broj</w:t>
            </w:r>
          </w:p>
        </w:tc>
        <w:tc>
          <w:tcPr>
            <w:tcW w:type="dxa" w:w="2494"/>
            <w:tcBorders>
              <w:top w:space="0" w:sz="8" w:color="auto" w:val="single"/>
              <w:left w:val="nil"/>
              <w:bottom w:space="0" w:sz="8" w:color="auto" w:val="single"/>
              <w:right w:space="0" w:sz="8" w:color="auto" w:val="single"/>
            </w:tcBorders>
            <w:shd w:fill="E5E0EC" w:color="auto" w:val="clear"/>
            <w:hideMark/>
          </w:tcPr>
          <w:p w:rsidRDefault="00924162" w:rsidR="00924162">
            <w:pPr>
              <w:spacing w:after="0"/>
              <w:jc w:val="center"/>
              <w:rPr>
                <w:rFonts w:cs="Times New Roman" w:eastAsia="Times New Roman"/>
                <w:color w:val="000000"/>
                <w:lang w:eastAsia="hr-HR"/>
              </w:rPr>
            </w:pPr>
            <w:r>
              <w:rPr>
                <w:rFonts w:cs="Times New Roman" w:eastAsia="Times New Roman"/>
                <w:color w:val="000000"/>
                <w:lang w:eastAsia="hr-HR"/>
              </w:rPr>
              <w:t>Opis</w:t>
            </w:r>
          </w:p>
        </w:tc>
        <w:tc>
          <w:tcPr>
            <w:tcW w:type="dxa" w:w="1531"/>
            <w:tcBorders>
              <w:top w:space="0" w:sz="8" w:color="auto" w:val="single"/>
              <w:left w:val="nil"/>
              <w:bottom w:space="0" w:sz="8" w:color="auto" w:val="single"/>
              <w:right w:space="0" w:sz="8" w:color="auto" w:val="single"/>
            </w:tcBorders>
            <w:shd w:fill="E5E0EC" w:color="auto" w:val="clear"/>
            <w:hideMark/>
          </w:tcPr>
          <w:p w:rsidRDefault="00924162" w:rsidR="00924162">
            <w:pPr>
              <w:spacing w:after="0"/>
              <w:jc w:val="center"/>
              <w:rPr>
                <w:rFonts w:cs="Times New Roman" w:eastAsia="Times New Roman"/>
                <w:color w:val="000000"/>
                <w:lang w:eastAsia="hr-HR"/>
              </w:rPr>
            </w:pPr>
            <w:r>
              <w:rPr>
                <w:rFonts w:cs="Times New Roman" w:eastAsia="Times New Roman"/>
                <w:color w:val="000000"/>
                <w:lang w:eastAsia="hr-HR"/>
              </w:rPr>
              <w:t>30.06.2016.</w:t>
            </w:r>
          </w:p>
        </w:tc>
        <w:tc>
          <w:tcPr>
            <w:tcW w:type="dxa" w:w="1354"/>
            <w:tcBorders>
              <w:top w:space="0" w:sz="8" w:color="auto" w:val="single"/>
              <w:left w:val="nil"/>
              <w:bottom w:space="0" w:sz="8" w:color="auto" w:val="single"/>
              <w:right w:space="0" w:sz="8" w:color="auto" w:val="single"/>
            </w:tcBorders>
            <w:shd w:fill="E5E0EC" w:color="auto" w:val="clear"/>
            <w:hideMark/>
          </w:tcPr>
          <w:p w:rsidRDefault="00924162" w:rsidR="00924162">
            <w:pPr>
              <w:spacing w:after="0"/>
              <w:jc w:val="center"/>
              <w:rPr>
                <w:rFonts w:cs="Times New Roman" w:eastAsia="Times New Roman"/>
                <w:color w:val="000000"/>
                <w:lang w:eastAsia="hr-HR"/>
              </w:rPr>
            </w:pPr>
            <w:r>
              <w:rPr>
                <w:rFonts w:cs="Times New Roman" w:eastAsia="Times New Roman"/>
                <w:color w:val="000000"/>
                <w:lang w:eastAsia="hr-HR"/>
              </w:rPr>
              <w:t>2016.</w:t>
            </w:r>
          </w:p>
        </w:tc>
        <w:tc>
          <w:tcPr>
            <w:tcW w:type="dxa" w:w="1354"/>
            <w:tcBorders>
              <w:top w:space="0" w:sz="8" w:color="auto" w:val="single"/>
              <w:left w:val="nil"/>
              <w:bottom w:space="0" w:sz="8" w:color="auto" w:val="single"/>
              <w:right w:space="0" w:sz="8" w:color="auto" w:val="single"/>
            </w:tcBorders>
            <w:shd w:fill="E5E0EC" w:color="auto" w:val="clear"/>
            <w:hideMark/>
          </w:tcPr>
          <w:p w:rsidRDefault="00924162" w:rsidR="00924162">
            <w:pPr>
              <w:spacing w:after="0"/>
              <w:jc w:val="center"/>
              <w:rPr>
                <w:rFonts w:cs="Times New Roman" w:eastAsia="Times New Roman"/>
                <w:color w:val="000000"/>
                <w:lang w:eastAsia="hr-HR"/>
              </w:rPr>
            </w:pPr>
            <w:r>
              <w:rPr>
                <w:rFonts w:cs="Times New Roman" w:eastAsia="Times New Roman"/>
                <w:color w:val="000000"/>
                <w:lang w:eastAsia="hr-HR"/>
              </w:rPr>
              <w:t>2017.</w:t>
            </w:r>
          </w:p>
        </w:tc>
        <w:tc>
          <w:tcPr>
            <w:tcW w:type="dxa" w:w="1354"/>
            <w:tcBorders>
              <w:top w:space="0" w:sz="8" w:color="auto" w:val="single"/>
              <w:left w:val="nil"/>
              <w:bottom w:space="0" w:sz="8" w:color="auto" w:val="single"/>
              <w:right w:space="0" w:sz="8" w:color="auto" w:val="single"/>
            </w:tcBorders>
            <w:shd w:fill="E5E0EC" w:color="auto" w:val="clear"/>
            <w:hideMark/>
          </w:tcPr>
          <w:p w:rsidRDefault="00924162" w:rsidR="00924162">
            <w:pPr>
              <w:spacing w:after="0"/>
              <w:jc w:val="center"/>
              <w:rPr>
                <w:rFonts w:cs="Times New Roman" w:eastAsia="Times New Roman"/>
                <w:color w:val="000000"/>
                <w:lang w:eastAsia="hr-HR"/>
              </w:rPr>
            </w:pPr>
            <w:r>
              <w:rPr>
                <w:rFonts w:cs="Times New Roman" w:eastAsia="Times New Roman"/>
                <w:color w:val="000000"/>
                <w:lang w:eastAsia="hr-HR"/>
              </w:rPr>
              <w:t>2018.</w:t>
            </w:r>
          </w:p>
        </w:tc>
      </w:tr>
      <w:tr w:rsidTr="00924162" w:rsidR="00924162">
        <w:trPr>
          <w:trHeight w:val="20"/>
        </w:trPr>
        <w:tc>
          <w:tcPr>
            <w:tcW w:type="dxa" w:w="910"/>
            <w:tcBorders>
              <w:top w:val="nil"/>
              <w:left w:space="0" w:sz="8" w:color="auto" w:val="single"/>
              <w:bottom w:space="0" w:sz="8" w:color="auto" w:val="single"/>
              <w:right w:space="0" w:sz="8" w:color="auto" w:val="single"/>
            </w:tcBorders>
            <w:vAlign w:val="bottom"/>
            <w:hideMark/>
          </w:tcPr>
          <w:p w:rsidRDefault="00924162" w:rsidR="00924162">
            <w:pPr>
              <w:spacing w:after="0"/>
              <w:rPr>
                <w:rFonts w:cs="Times New Roman" w:eastAsia="Times New Roman"/>
                <w:color w:val="000000"/>
                <w:lang w:eastAsia="hr-HR"/>
              </w:rPr>
            </w:pPr>
            <w:r>
              <w:rPr>
                <w:rFonts w:cs="Times New Roman" w:eastAsia="Times New Roman"/>
                <w:color w:val="000000"/>
                <w:lang w:eastAsia="hr-HR"/>
              </w:rPr>
              <w:t>I.</w:t>
            </w:r>
          </w:p>
        </w:tc>
        <w:tc>
          <w:tcPr>
            <w:tcW w:type="dxa" w:w="2494"/>
            <w:tcBorders>
              <w:top w:val="nil"/>
              <w:left w:val="nil"/>
              <w:bottom w:space="0" w:sz="8" w:color="auto" w:val="single"/>
              <w:right w:space="0" w:sz="8" w:color="auto" w:val="single"/>
            </w:tcBorders>
            <w:vAlign w:val="bottom"/>
            <w:hideMark/>
          </w:tcPr>
          <w:p w:rsidRDefault="00924162" w:rsidR="00924162">
            <w:pPr>
              <w:spacing w:after="0"/>
              <w:rPr>
                <w:rFonts w:cs="Times New Roman" w:eastAsia="Times New Roman"/>
                <w:color w:val="000000"/>
                <w:lang w:eastAsia="hr-HR"/>
              </w:rPr>
            </w:pPr>
            <w:r>
              <w:rPr>
                <w:rFonts w:cs="Times New Roman" w:eastAsia="Times New Roman"/>
                <w:color w:val="000000"/>
                <w:lang w:eastAsia="hr-HR"/>
              </w:rPr>
              <w:t>Ukupni prihodi</w:t>
            </w:r>
          </w:p>
        </w:tc>
        <w:tc>
          <w:tcPr>
            <w:tcW w:type="dxa" w:w="1531"/>
            <w:tcBorders>
              <w:top w:val="nil"/>
              <w:left w:val="nil"/>
              <w:bottom w:space="0" w:sz="8" w:color="auto" w:val="single"/>
              <w:right w:space="0" w:sz="8" w:color="auto" w:val="single"/>
            </w:tcBorders>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540.295</w:t>
            </w:r>
          </w:p>
        </w:tc>
        <w:tc>
          <w:tcPr>
            <w:tcW w:type="dxa" w:w="1354"/>
            <w:tcBorders>
              <w:top w:val="nil"/>
              <w:left w:val="nil"/>
              <w:bottom w:space="0" w:sz="8" w:color="auto" w:val="single"/>
              <w:right w:space="0" w:sz="8" w:color="auto" w:val="single"/>
            </w:tcBorders>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600.000</w:t>
            </w:r>
          </w:p>
        </w:tc>
        <w:tc>
          <w:tcPr>
            <w:tcW w:type="dxa" w:w="1354"/>
            <w:tcBorders>
              <w:top w:val="nil"/>
              <w:left w:val="nil"/>
              <w:bottom w:space="0" w:sz="8" w:color="auto" w:val="single"/>
              <w:right w:space="0" w:sz="8" w:color="auto" w:val="single"/>
            </w:tcBorders>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640.000</w:t>
            </w:r>
          </w:p>
        </w:tc>
        <w:tc>
          <w:tcPr>
            <w:tcW w:type="dxa" w:w="1354"/>
            <w:tcBorders>
              <w:top w:val="nil"/>
              <w:left w:val="nil"/>
              <w:bottom w:space="0" w:sz="8" w:color="auto" w:val="single"/>
              <w:right w:space="0" w:sz="8" w:color="auto" w:val="single"/>
            </w:tcBorders>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700.000</w:t>
            </w:r>
          </w:p>
        </w:tc>
      </w:tr>
      <w:tr w:rsidTr="00924162" w:rsidR="00924162">
        <w:trPr>
          <w:trHeight w:val="20"/>
        </w:trPr>
        <w:tc>
          <w:tcPr>
            <w:tcW w:type="dxa" w:w="910"/>
            <w:tcBorders>
              <w:top w:val="nil"/>
              <w:left w:space="0" w:sz="8" w:color="auto" w:val="single"/>
              <w:bottom w:space="0" w:sz="8" w:color="auto" w:val="single"/>
              <w:right w:space="0" w:sz="8" w:color="auto" w:val="single"/>
            </w:tcBorders>
            <w:vAlign w:val="bottom"/>
            <w:hideMark/>
          </w:tcPr>
          <w:p w:rsidRDefault="00924162" w:rsidR="00924162">
            <w:pPr>
              <w:spacing w:after="0"/>
              <w:rPr>
                <w:rFonts w:cs="Times New Roman" w:eastAsia="Times New Roman"/>
                <w:color w:val="000000"/>
                <w:lang w:eastAsia="hr-HR"/>
              </w:rPr>
            </w:pPr>
            <w:r>
              <w:rPr>
                <w:rFonts w:cs="Times New Roman" w:eastAsia="Times New Roman"/>
                <w:color w:val="000000"/>
                <w:lang w:eastAsia="hr-HR"/>
              </w:rPr>
              <w:t>II.</w:t>
            </w:r>
          </w:p>
        </w:tc>
        <w:tc>
          <w:tcPr>
            <w:tcW w:type="dxa" w:w="2494"/>
            <w:tcBorders>
              <w:top w:val="nil"/>
              <w:left w:val="nil"/>
              <w:bottom w:space="0" w:sz="8" w:color="auto" w:val="single"/>
              <w:right w:space="0" w:sz="8" w:color="auto" w:val="single"/>
            </w:tcBorders>
            <w:vAlign w:val="bottom"/>
            <w:hideMark/>
          </w:tcPr>
          <w:p w:rsidRDefault="00924162" w:rsidR="00924162">
            <w:pPr>
              <w:spacing w:after="0"/>
              <w:rPr>
                <w:rFonts w:cs="Times New Roman" w:eastAsia="Times New Roman"/>
                <w:color w:val="000000"/>
                <w:lang w:eastAsia="hr-HR"/>
              </w:rPr>
            </w:pPr>
            <w:r>
              <w:rPr>
                <w:rFonts w:cs="Times New Roman" w:eastAsia="Times New Roman"/>
                <w:color w:val="000000"/>
                <w:lang w:eastAsia="hr-HR"/>
              </w:rPr>
              <w:t>Rashodi</w:t>
            </w:r>
          </w:p>
        </w:tc>
        <w:tc>
          <w:tcPr>
            <w:tcW w:type="dxa" w:w="1531"/>
            <w:tcBorders>
              <w:top w:val="nil"/>
              <w:left w:val="nil"/>
              <w:bottom w:space="0" w:sz="8" w:color="auto" w:val="single"/>
              <w:right w:space="0" w:sz="8" w:color="auto" w:val="single"/>
            </w:tcBorders>
            <w:vAlign w:val="bottom"/>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537.533</w:t>
            </w:r>
          </w:p>
        </w:tc>
        <w:tc>
          <w:tcPr>
            <w:tcW w:type="dxa" w:w="1354"/>
            <w:tcBorders>
              <w:top w:val="nil"/>
              <w:left w:val="nil"/>
              <w:bottom w:space="0" w:sz="8" w:color="auto" w:val="single"/>
              <w:right w:space="0" w:sz="8" w:color="auto" w:val="single"/>
            </w:tcBorders>
            <w:vAlign w:val="bottom"/>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560.000</w:t>
            </w:r>
          </w:p>
        </w:tc>
        <w:tc>
          <w:tcPr>
            <w:tcW w:type="dxa" w:w="1354"/>
            <w:tcBorders>
              <w:top w:val="nil"/>
              <w:left w:val="nil"/>
              <w:bottom w:space="0" w:sz="8" w:color="auto" w:val="single"/>
              <w:right w:space="0" w:sz="8" w:color="auto" w:val="single"/>
            </w:tcBorders>
            <w:vAlign w:val="bottom"/>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582.400</w:t>
            </w:r>
          </w:p>
        </w:tc>
        <w:tc>
          <w:tcPr>
            <w:tcW w:type="dxa" w:w="1354"/>
            <w:tcBorders>
              <w:top w:val="nil"/>
              <w:left w:val="nil"/>
              <w:bottom w:space="0" w:sz="8" w:color="auto" w:val="single"/>
              <w:right w:space="0" w:sz="8" w:color="auto" w:val="single"/>
            </w:tcBorders>
            <w:vAlign w:val="bottom"/>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606.000</w:t>
            </w:r>
          </w:p>
        </w:tc>
      </w:tr>
      <w:tr w:rsidTr="00924162" w:rsidR="00924162">
        <w:trPr>
          <w:trHeight w:val="20"/>
        </w:trPr>
        <w:tc>
          <w:tcPr>
            <w:tcW w:type="dxa" w:w="910"/>
            <w:tcBorders>
              <w:top w:val="nil"/>
              <w:left w:space="0" w:sz="8" w:color="auto" w:val="single"/>
              <w:bottom w:space="0" w:sz="8" w:color="auto" w:val="single"/>
              <w:right w:space="0" w:sz="8" w:color="auto" w:val="single"/>
            </w:tcBorders>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w:t>
            </w:r>
          </w:p>
        </w:tc>
        <w:tc>
          <w:tcPr>
            <w:tcW w:type="dxa" w:w="2494"/>
            <w:tcBorders>
              <w:top w:val="nil"/>
              <w:left w:val="nil"/>
              <w:bottom w:space="0" w:sz="8" w:color="auto" w:val="single"/>
              <w:right w:space="0" w:sz="8" w:color="auto" w:val="single"/>
            </w:tcBorders>
            <w:vAlign w:val="bottom"/>
            <w:hideMark/>
          </w:tcPr>
          <w:p w:rsidRDefault="00924162" w:rsidR="00924162">
            <w:pPr>
              <w:spacing w:after="0"/>
              <w:rPr>
                <w:rFonts w:cs="Times New Roman" w:eastAsia="Times New Roman"/>
                <w:color w:val="000000"/>
                <w:lang w:eastAsia="hr-HR"/>
              </w:rPr>
            </w:pPr>
            <w:r>
              <w:rPr>
                <w:rFonts w:cs="Times New Roman" w:eastAsia="Times New Roman"/>
                <w:color w:val="000000"/>
                <w:lang w:eastAsia="hr-HR"/>
              </w:rPr>
              <w:t>Materijalni troškovi</w:t>
            </w:r>
          </w:p>
        </w:tc>
        <w:tc>
          <w:tcPr>
            <w:tcW w:type="dxa" w:w="1531"/>
            <w:tcBorders>
              <w:top w:val="nil"/>
              <w:left w:val="nil"/>
              <w:bottom w:space="0" w:sz="8" w:color="auto" w:val="single"/>
              <w:right w:space="0" w:sz="8" w:color="auto" w:val="single"/>
            </w:tcBorders>
            <w:vAlign w:val="bottom"/>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373.740</w:t>
            </w:r>
          </w:p>
        </w:tc>
        <w:tc>
          <w:tcPr>
            <w:tcW w:type="dxa" w:w="1354"/>
            <w:tcBorders>
              <w:top w:val="nil"/>
              <w:left w:val="nil"/>
              <w:bottom w:space="0" w:sz="8" w:color="auto" w:val="single"/>
              <w:right w:space="0" w:sz="8" w:color="auto" w:val="single"/>
            </w:tcBorders>
            <w:vAlign w:val="bottom"/>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389.000</w:t>
            </w:r>
          </w:p>
        </w:tc>
        <w:tc>
          <w:tcPr>
            <w:tcW w:type="dxa" w:w="1354"/>
            <w:tcBorders>
              <w:top w:val="nil"/>
              <w:left w:val="nil"/>
              <w:bottom w:space="0" w:sz="8" w:color="auto" w:val="single"/>
              <w:right w:space="0" w:sz="8" w:color="auto" w:val="single"/>
            </w:tcBorders>
            <w:vAlign w:val="bottom"/>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405.000</w:t>
            </w:r>
          </w:p>
        </w:tc>
        <w:tc>
          <w:tcPr>
            <w:tcW w:type="dxa" w:w="1354"/>
            <w:tcBorders>
              <w:top w:val="nil"/>
              <w:left w:val="nil"/>
              <w:bottom w:space="0" w:sz="8" w:color="auto" w:val="single"/>
              <w:right w:space="0" w:sz="8" w:color="auto" w:val="single"/>
            </w:tcBorders>
            <w:vAlign w:val="bottom"/>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421.200</w:t>
            </w:r>
          </w:p>
        </w:tc>
      </w:tr>
      <w:tr w:rsidTr="00924162" w:rsidR="00924162">
        <w:trPr>
          <w:trHeight w:val="20"/>
        </w:trPr>
        <w:tc>
          <w:tcPr>
            <w:tcW w:type="dxa" w:w="910"/>
            <w:tcBorders>
              <w:top w:val="nil"/>
              <w:left w:space="0" w:sz="8" w:color="auto" w:val="single"/>
              <w:bottom w:space="0" w:sz="8" w:color="auto" w:val="single"/>
              <w:right w:space="0" w:sz="8" w:color="auto" w:val="single"/>
            </w:tcBorders>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w:t>
            </w:r>
          </w:p>
        </w:tc>
        <w:tc>
          <w:tcPr>
            <w:tcW w:type="dxa" w:w="2494"/>
            <w:tcBorders>
              <w:top w:val="nil"/>
              <w:left w:val="nil"/>
              <w:bottom w:space="0" w:sz="8" w:color="auto" w:val="single"/>
              <w:right w:space="0" w:sz="8" w:color="auto" w:val="single"/>
            </w:tcBorders>
            <w:vAlign w:val="bottom"/>
            <w:hideMark/>
          </w:tcPr>
          <w:p w:rsidRDefault="00924162" w:rsidR="00924162">
            <w:pPr>
              <w:spacing w:after="0"/>
              <w:rPr>
                <w:rFonts w:cs="Times New Roman" w:eastAsia="Times New Roman"/>
                <w:color w:val="000000"/>
                <w:lang w:eastAsia="hr-HR"/>
              </w:rPr>
            </w:pPr>
            <w:r>
              <w:rPr>
                <w:rFonts w:cs="Times New Roman" w:eastAsia="Times New Roman"/>
                <w:color w:val="000000"/>
                <w:lang w:eastAsia="hr-HR"/>
              </w:rPr>
              <w:t>Troškovi osoblja</w:t>
            </w:r>
          </w:p>
        </w:tc>
        <w:tc>
          <w:tcPr>
            <w:tcW w:type="dxa" w:w="1531"/>
            <w:tcBorders>
              <w:top w:val="nil"/>
              <w:left w:val="nil"/>
              <w:bottom w:space="0" w:sz="8" w:color="auto" w:val="single"/>
              <w:right w:space="0" w:sz="8" w:color="auto" w:val="single"/>
            </w:tcBorders>
            <w:vAlign w:val="bottom"/>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291.192</w:t>
            </w:r>
          </w:p>
        </w:tc>
        <w:tc>
          <w:tcPr>
            <w:tcW w:type="dxa" w:w="1354"/>
            <w:tcBorders>
              <w:top w:val="nil"/>
              <w:left w:val="nil"/>
              <w:bottom w:space="0" w:sz="8" w:color="auto" w:val="single"/>
              <w:right w:space="0" w:sz="8" w:color="auto" w:val="single"/>
            </w:tcBorders>
            <w:vAlign w:val="bottom"/>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303.000</w:t>
            </w:r>
          </w:p>
        </w:tc>
        <w:tc>
          <w:tcPr>
            <w:tcW w:type="dxa" w:w="1354"/>
            <w:tcBorders>
              <w:top w:val="nil"/>
              <w:left w:val="nil"/>
              <w:bottom w:space="0" w:sz="8" w:color="auto" w:val="single"/>
              <w:right w:space="0" w:sz="8" w:color="auto" w:val="single"/>
            </w:tcBorders>
            <w:vAlign w:val="bottom"/>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315.000</w:t>
            </w:r>
          </w:p>
        </w:tc>
        <w:tc>
          <w:tcPr>
            <w:tcW w:type="dxa" w:w="1354"/>
            <w:tcBorders>
              <w:top w:val="nil"/>
              <w:left w:val="nil"/>
              <w:bottom w:space="0" w:sz="8" w:color="auto" w:val="single"/>
              <w:right w:space="0" w:sz="8" w:color="auto" w:val="single"/>
            </w:tcBorders>
            <w:vAlign w:val="bottom"/>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327.600</w:t>
            </w:r>
          </w:p>
        </w:tc>
      </w:tr>
      <w:tr w:rsidTr="00924162" w:rsidR="00924162">
        <w:trPr>
          <w:trHeight w:val="20"/>
        </w:trPr>
        <w:tc>
          <w:tcPr>
            <w:tcW w:type="dxa" w:w="910"/>
            <w:tcBorders>
              <w:top w:val="nil"/>
              <w:left w:space="0" w:sz="8" w:color="auto" w:val="single"/>
              <w:bottom w:space="0" w:sz="8" w:color="auto" w:val="single"/>
              <w:right w:space="0" w:sz="8" w:color="auto" w:val="single"/>
            </w:tcBorders>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w:t>
            </w:r>
          </w:p>
        </w:tc>
        <w:tc>
          <w:tcPr>
            <w:tcW w:type="dxa" w:w="2494"/>
            <w:tcBorders>
              <w:top w:val="nil"/>
              <w:left w:val="nil"/>
              <w:bottom w:space="0" w:sz="8" w:color="auto" w:val="single"/>
              <w:right w:space="0" w:sz="8" w:color="auto" w:val="single"/>
            </w:tcBorders>
            <w:vAlign w:val="bottom"/>
            <w:hideMark/>
          </w:tcPr>
          <w:p w:rsidRDefault="00924162" w:rsidR="00924162">
            <w:pPr>
              <w:spacing w:after="0"/>
              <w:rPr>
                <w:rFonts w:cs="Times New Roman" w:eastAsia="Times New Roman"/>
                <w:color w:val="000000"/>
                <w:lang w:eastAsia="hr-HR"/>
              </w:rPr>
            </w:pPr>
            <w:r>
              <w:rPr>
                <w:rFonts w:cs="Times New Roman" w:eastAsia="Times New Roman"/>
                <w:color w:val="000000"/>
                <w:lang w:eastAsia="hr-HR"/>
              </w:rPr>
              <w:t>Amortizacija</w:t>
            </w:r>
          </w:p>
        </w:tc>
        <w:tc>
          <w:tcPr>
            <w:tcW w:type="dxa" w:w="1531"/>
            <w:tcBorders>
              <w:top w:val="nil"/>
              <w:left w:val="nil"/>
              <w:bottom w:space="0" w:sz="8" w:color="auto" w:val="single"/>
              <w:right w:space="0" w:sz="8" w:color="auto" w:val="single"/>
            </w:tcBorders>
            <w:noWrap/>
            <w:vAlign w:val="bottom"/>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59.249</w:t>
            </w:r>
          </w:p>
        </w:tc>
        <w:tc>
          <w:tcPr>
            <w:tcW w:type="dxa" w:w="1354"/>
            <w:tcBorders>
              <w:top w:val="nil"/>
              <w:left w:val="nil"/>
              <w:bottom w:space="0" w:sz="8" w:color="auto" w:val="single"/>
              <w:right w:space="0" w:sz="8" w:color="auto" w:val="single"/>
            </w:tcBorders>
            <w:vAlign w:val="bottom"/>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62.000</w:t>
            </w:r>
          </w:p>
        </w:tc>
        <w:tc>
          <w:tcPr>
            <w:tcW w:type="dxa" w:w="1354"/>
            <w:tcBorders>
              <w:top w:val="nil"/>
              <w:left w:val="nil"/>
              <w:bottom w:space="0" w:sz="8" w:color="auto" w:val="single"/>
              <w:right w:space="0" w:sz="8" w:color="auto" w:val="single"/>
            </w:tcBorders>
            <w:vAlign w:val="bottom"/>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65.000</w:t>
            </w:r>
          </w:p>
        </w:tc>
        <w:tc>
          <w:tcPr>
            <w:tcW w:type="dxa" w:w="1354"/>
            <w:tcBorders>
              <w:top w:val="nil"/>
              <w:left w:val="nil"/>
              <w:bottom w:space="0" w:sz="8" w:color="auto" w:val="single"/>
              <w:right w:space="0" w:sz="8" w:color="auto" w:val="single"/>
            </w:tcBorders>
            <w:vAlign w:val="bottom"/>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67.600</w:t>
            </w:r>
          </w:p>
        </w:tc>
      </w:tr>
      <w:tr w:rsidTr="00924162" w:rsidR="00924162">
        <w:trPr>
          <w:trHeight w:val="20"/>
        </w:trPr>
        <w:tc>
          <w:tcPr>
            <w:tcW w:type="dxa" w:w="910"/>
            <w:tcBorders>
              <w:top w:val="nil"/>
              <w:left w:space="0" w:sz="8" w:color="auto" w:val="single"/>
              <w:bottom w:space="0" w:sz="8" w:color="auto" w:val="single"/>
              <w:right w:space="0" w:sz="8" w:color="auto" w:val="single"/>
            </w:tcBorders>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w:t>
            </w:r>
          </w:p>
        </w:tc>
        <w:tc>
          <w:tcPr>
            <w:tcW w:type="dxa" w:w="2494"/>
            <w:tcBorders>
              <w:top w:val="nil"/>
              <w:left w:val="nil"/>
              <w:bottom w:space="0" w:sz="8" w:color="auto" w:val="single"/>
              <w:right w:space="0" w:sz="8" w:color="auto" w:val="single"/>
            </w:tcBorders>
            <w:vAlign w:val="bottom"/>
            <w:hideMark/>
          </w:tcPr>
          <w:p w:rsidRDefault="00924162" w:rsidR="00924162">
            <w:pPr>
              <w:spacing w:after="0"/>
              <w:rPr>
                <w:rFonts w:cs="Times New Roman" w:eastAsia="Times New Roman"/>
                <w:color w:val="000000"/>
                <w:lang w:eastAsia="hr-HR"/>
              </w:rPr>
            </w:pPr>
            <w:r>
              <w:rPr>
                <w:rFonts w:cs="Times New Roman" w:eastAsia="Times New Roman"/>
                <w:color w:val="000000"/>
                <w:lang w:eastAsia="hr-HR"/>
              </w:rPr>
              <w:t>Ostali troškovi</w:t>
            </w:r>
          </w:p>
        </w:tc>
        <w:tc>
          <w:tcPr>
            <w:tcW w:type="dxa" w:w="1531"/>
            <w:tcBorders>
              <w:top w:val="nil"/>
              <w:left w:val="nil"/>
              <w:bottom w:space="0" w:sz="8" w:color="auto" w:val="single"/>
              <w:right w:space="0" w:sz="8" w:color="auto" w:val="single"/>
            </w:tcBorders>
            <w:vAlign w:val="bottom"/>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4.952</w:t>
            </w:r>
          </w:p>
        </w:tc>
        <w:tc>
          <w:tcPr>
            <w:tcW w:type="dxa" w:w="1354"/>
            <w:tcBorders>
              <w:top w:val="nil"/>
              <w:left w:val="nil"/>
              <w:bottom w:space="0" w:sz="8" w:color="auto" w:val="single"/>
              <w:right w:space="0" w:sz="8" w:color="auto" w:val="single"/>
            </w:tcBorders>
            <w:vAlign w:val="bottom"/>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5.150</w:t>
            </w:r>
          </w:p>
        </w:tc>
        <w:tc>
          <w:tcPr>
            <w:tcW w:type="dxa" w:w="1354"/>
            <w:tcBorders>
              <w:top w:val="nil"/>
              <w:left w:val="nil"/>
              <w:bottom w:space="0" w:sz="8" w:color="auto" w:val="single"/>
              <w:right w:space="0" w:sz="8" w:color="auto" w:val="single"/>
            </w:tcBorders>
            <w:vAlign w:val="bottom"/>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5.400</w:t>
            </w:r>
          </w:p>
        </w:tc>
        <w:tc>
          <w:tcPr>
            <w:tcW w:type="dxa" w:w="1354"/>
            <w:tcBorders>
              <w:top w:val="nil"/>
              <w:left w:val="nil"/>
              <w:bottom w:space="0" w:sz="8" w:color="auto" w:val="single"/>
              <w:right w:space="0" w:sz="8" w:color="auto" w:val="single"/>
            </w:tcBorders>
            <w:vAlign w:val="bottom"/>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5.700</w:t>
            </w:r>
          </w:p>
        </w:tc>
      </w:tr>
      <w:tr w:rsidTr="00924162" w:rsidR="00924162">
        <w:trPr>
          <w:trHeight w:val="20"/>
        </w:trPr>
        <w:tc>
          <w:tcPr>
            <w:tcW w:type="dxa" w:w="910"/>
            <w:tcBorders>
              <w:top w:val="nil"/>
              <w:left w:space="0" w:sz="8" w:color="auto" w:val="single"/>
              <w:bottom w:space="0" w:sz="8" w:color="auto" w:val="single"/>
              <w:right w:space="0" w:sz="8" w:color="auto" w:val="single"/>
            </w:tcBorders>
            <w:vAlign w:val="bottom"/>
            <w:hideMark/>
          </w:tcPr>
          <w:p w:rsidRDefault="00924162" w:rsidR="00924162">
            <w:pPr>
              <w:spacing w:after="0"/>
              <w:rPr>
                <w:rFonts w:cs="Times New Roman" w:eastAsia="Times New Roman"/>
                <w:color w:val="000000"/>
                <w:lang w:eastAsia="hr-HR"/>
              </w:rPr>
            </w:pPr>
            <w:r>
              <w:rPr>
                <w:rFonts w:cs="Times New Roman" w:eastAsia="Times New Roman"/>
                <w:color w:val="000000"/>
                <w:lang w:eastAsia="hr-HR"/>
              </w:rPr>
              <w:t>III.</w:t>
            </w:r>
          </w:p>
        </w:tc>
        <w:tc>
          <w:tcPr>
            <w:tcW w:type="dxa" w:w="2494"/>
            <w:tcBorders>
              <w:top w:val="nil"/>
              <w:left w:val="nil"/>
              <w:bottom w:space="0" w:sz="8" w:color="auto" w:val="single"/>
              <w:right w:space="0" w:sz="8" w:color="auto" w:val="single"/>
            </w:tcBorders>
            <w:vAlign w:val="bottom"/>
            <w:hideMark/>
          </w:tcPr>
          <w:p w:rsidRDefault="00924162" w:rsidR="00924162">
            <w:pPr>
              <w:spacing w:after="0"/>
              <w:rPr>
                <w:rFonts w:cs="Times New Roman" w:eastAsia="Times New Roman"/>
                <w:color w:val="000000"/>
                <w:lang w:eastAsia="hr-HR"/>
              </w:rPr>
            </w:pPr>
            <w:r>
              <w:rPr>
                <w:rFonts w:cs="Times New Roman" w:eastAsia="Times New Roman"/>
                <w:color w:val="000000"/>
                <w:lang w:eastAsia="hr-HR"/>
              </w:rPr>
              <w:t>Dobit prije oporezivanja</w:t>
            </w:r>
          </w:p>
        </w:tc>
        <w:tc>
          <w:tcPr>
            <w:tcW w:type="dxa" w:w="1531"/>
            <w:tcBorders>
              <w:top w:val="nil"/>
              <w:left w:val="nil"/>
              <w:bottom w:space="0" w:sz="8" w:color="auto" w:val="single"/>
              <w:right w:space="0" w:sz="8" w:color="auto" w:val="single"/>
            </w:tcBorders>
            <w:vAlign w:val="bottom"/>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2.762,00</w:t>
            </w:r>
          </w:p>
        </w:tc>
        <w:tc>
          <w:tcPr>
            <w:tcW w:type="dxa" w:w="1354"/>
            <w:tcBorders>
              <w:top w:val="nil"/>
              <w:left w:val="nil"/>
              <w:bottom w:space="0" w:sz="8" w:color="auto" w:val="single"/>
              <w:right w:space="0" w:sz="8" w:color="auto" w:val="single"/>
            </w:tcBorders>
            <w:vAlign w:val="bottom"/>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40.000,00</w:t>
            </w:r>
          </w:p>
        </w:tc>
        <w:tc>
          <w:tcPr>
            <w:tcW w:type="dxa" w:w="1354"/>
            <w:tcBorders>
              <w:top w:val="nil"/>
              <w:left w:val="nil"/>
              <w:bottom w:space="0" w:sz="8" w:color="auto" w:val="single"/>
              <w:right w:space="0" w:sz="8" w:color="auto" w:val="single"/>
            </w:tcBorders>
            <w:vAlign w:val="bottom"/>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57.600,00</w:t>
            </w:r>
          </w:p>
        </w:tc>
        <w:tc>
          <w:tcPr>
            <w:tcW w:type="dxa" w:w="1354"/>
            <w:tcBorders>
              <w:top w:val="nil"/>
              <w:left w:val="nil"/>
              <w:bottom w:space="0" w:sz="8" w:color="auto" w:val="single"/>
              <w:right w:space="0" w:sz="8" w:color="auto" w:val="single"/>
            </w:tcBorders>
            <w:vAlign w:val="bottom"/>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94.000,00</w:t>
            </w:r>
          </w:p>
        </w:tc>
      </w:tr>
      <w:tr w:rsidTr="00924162" w:rsidR="00924162">
        <w:trPr>
          <w:trHeight w:val="20"/>
        </w:trPr>
        <w:tc>
          <w:tcPr>
            <w:tcW w:type="dxa" w:w="910"/>
            <w:tcBorders>
              <w:top w:val="nil"/>
              <w:left w:space="0" w:sz="8" w:color="auto" w:val="single"/>
              <w:bottom w:space="0" w:sz="8" w:color="auto" w:val="single"/>
              <w:right w:space="0" w:sz="8" w:color="auto" w:val="single"/>
            </w:tcBorders>
            <w:vAlign w:val="bottom"/>
            <w:hideMark/>
          </w:tcPr>
          <w:p w:rsidRDefault="00924162" w:rsidR="00924162">
            <w:pPr>
              <w:spacing w:after="0"/>
              <w:rPr>
                <w:rFonts w:cs="Times New Roman" w:eastAsia="Times New Roman"/>
                <w:color w:val="000000"/>
                <w:lang w:eastAsia="hr-HR"/>
              </w:rPr>
            </w:pPr>
            <w:r>
              <w:rPr>
                <w:rFonts w:cs="Times New Roman" w:eastAsia="Times New Roman"/>
                <w:color w:val="000000"/>
                <w:lang w:eastAsia="hr-HR"/>
              </w:rPr>
              <w:t>IV.</w:t>
            </w:r>
          </w:p>
        </w:tc>
        <w:tc>
          <w:tcPr>
            <w:tcW w:type="dxa" w:w="2494"/>
            <w:tcBorders>
              <w:top w:val="nil"/>
              <w:left w:val="nil"/>
              <w:bottom w:space="0" w:sz="8" w:color="auto" w:val="single"/>
              <w:right w:space="0" w:sz="8" w:color="auto" w:val="single"/>
            </w:tcBorders>
            <w:vAlign w:val="bottom"/>
            <w:hideMark/>
          </w:tcPr>
          <w:p w:rsidRDefault="00924162" w:rsidR="00924162">
            <w:pPr>
              <w:spacing w:after="0"/>
              <w:rPr>
                <w:rFonts w:cs="Times New Roman" w:eastAsia="Times New Roman"/>
                <w:color w:val="000000"/>
                <w:lang w:eastAsia="hr-HR"/>
              </w:rPr>
            </w:pPr>
            <w:r>
              <w:rPr>
                <w:rFonts w:cs="Times New Roman" w:eastAsia="Times New Roman"/>
                <w:color w:val="000000"/>
                <w:lang w:eastAsia="hr-HR"/>
              </w:rPr>
              <w:t>Porez na dobit</w:t>
            </w:r>
          </w:p>
        </w:tc>
        <w:tc>
          <w:tcPr>
            <w:tcW w:type="dxa" w:w="1531"/>
            <w:tcBorders>
              <w:top w:val="nil"/>
              <w:left w:val="nil"/>
              <w:bottom w:space="0" w:sz="8" w:color="auto" w:val="single"/>
              <w:right w:space="0" w:sz="8" w:color="auto" w:val="single"/>
            </w:tcBorders>
            <w:vAlign w:val="bottom"/>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552,40</w:t>
            </w:r>
          </w:p>
        </w:tc>
        <w:tc>
          <w:tcPr>
            <w:tcW w:type="dxa" w:w="1354"/>
            <w:tcBorders>
              <w:top w:val="nil"/>
              <w:left w:val="nil"/>
              <w:bottom w:space="0" w:sz="8" w:color="auto" w:val="single"/>
              <w:right w:space="0" w:sz="8" w:color="auto" w:val="single"/>
            </w:tcBorders>
            <w:vAlign w:val="bottom"/>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8.000,00</w:t>
            </w:r>
          </w:p>
        </w:tc>
        <w:tc>
          <w:tcPr>
            <w:tcW w:type="dxa" w:w="1354"/>
            <w:tcBorders>
              <w:top w:val="nil"/>
              <w:left w:val="nil"/>
              <w:bottom w:space="0" w:sz="8" w:color="auto" w:val="single"/>
              <w:right w:space="0" w:sz="8" w:color="auto" w:val="single"/>
            </w:tcBorders>
            <w:vAlign w:val="bottom"/>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11.520,00</w:t>
            </w:r>
          </w:p>
        </w:tc>
        <w:tc>
          <w:tcPr>
            <w:tcW w:type="dxa" w:w="1354"/>
            <w:tcBorders>
              <w:top w:val="nil"/>
              <w:left w:val="nil"/>
              <w:bottom w:space="0" w:sz="8" w:color="auto" w:val="single"/>
              <w:right w:space="0" w:sz="8" w:color="auto" w:val="single"/>
            </w:tcBorders>
            <w:vAlign w:val="bottom"/>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18.800,00</w:t>
            </w:r>
          </w:p>
        </w:tc>
      </w:tr>
      <w:tr w:rsidTr="00924162" w:rsidR="00924162">
        <w:trPr>
          <w:trHeight w:val="20"/>
        </w:trPr>
        <w:tc>
          <w:tcPr>
            <w:tcW w:type="dxa" w:w="910"/>
            <w:tcBorders>
              <w:top w:val="nil"/>
              <w:left w:space="0" w:sz="8" w:color="auto" w:val="single"/>
              <w:bottom w:space="0" w:sz="8" w:color="auto" w:val="single"/>
              <w:right w:space="0" w:sz="8" w:color="auto" w:val="single"/>
            </w:tcBorders>
            <w:vAlign w:val="bottom"/>
            <w:hideMark/>
          </w:tcPr>
          <w:p w:rsidRDefault="00924162" w:rsidR="00924162">
            <w:pPr>
              <w:spacing w:after="0"/>
              <w:rPr>
                <w:rFonts w:cs="Times New Roman" w:eastAsia="Times New Roman"/>
                <w:color w:val="000000"/>
                <w:lang w:eastAsia="hr-HR"/>
              </w:rPr>
            </w:pPr>
            <w:r>
              <w:rPr>
                <w:rFonts w:cs="Times New Roman" w:eastAsia="Times New Roman"/>
                <w:color w:val="000000"/>
                <w:lang w:eastAsia="hr-HR"/>
              </w:rPr>
              <w:t>V.</w:t>
            </w:r>
          </w:p>
        </w:tc>
        <w:tc>
          <w:tcPr>
            <w:tcW w:type="dxa" w:w="2494"/>
            <w:tcBorders>
              <w:top w:val="nil"/>
              <w:left w:val="nil"/>
              <w:bottom w:space="0" w:sz="8" w:color="auto" w:val="single"/>
              <w:right w:space="0" w:sz="8" w:color="auto" w:val="single"/>
            </w:tcBorders>
            <w:vAlign w:val="bottom"/>
            <w:hideMark/>
          </w:tcPr>
          <w:p w:rsidRDefault="00924162" w:rsidR="00924162">
            <w:pPr>
              <w:spacing w:after="0"/>
              <w:rPr>
                <w:rFonts w:cs="Times New Roman" w:eastAsia="Times New Roman"/>
                <w:color w:val="000000"/>
                <w:lang w:eastAsia="hr-HR"/>
              </w:rPr>
            </w:pPr>
            <w:r>
              <w:rPr>
                <w:rFonts w:cs="Times New Roman" w:eastAsia="Times New Roman"/>
                <w:color w:val="000000"/>
                <w:lang w:eastAsia="hr-HR"/>
              </w:rPr>
              <w:t>Neto dobit</w:t>
            </w:r>
          </w:p>
        </w:tc>
        <w:tc>
          <w:tcPr>
            <w:tcW w:type="dxa" w:w="1531"/>
            <w:tcBorders>
              <w:top w:val="nil"/>
              <w:left w:val="nil"/>
              <w:bottom w:space="0" w:sz="8" w:color="auto" w:val="single"/>
              <w:right w:space="0" w:sz="8" w:color="auto" w:val="single"/>
            </w:tcBorders>
            <w:vAlign w:val="bottom"/>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2.209,60</w:t>
            </w:r>
          </w:p>
        </w:tc>
        <w:tc>
          <w:tcPr>
            <w:tcW w:type="dxa" w:w="1354"/>
            <w:tcBorders>
              <w:top w:val="nil"/>
              <w:left w:val="nil"/>
              <w:bottom w:space="0" w:sz="8" w:color="auto" w:val="single"/>
              <w:right w:space="0" w:sz="8" w:color="auto" w:val="single"/>
            </w:tcBorders>
            <w:vAlign w:val="bottom"/>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32.000,00</w:t>
            </w:r>
          </w:p>
        </w:tc>
        <w:tc>
          <w:tcPr>
            <w:tcW w:type="dxa" w:w="1354"/>
            <w:tcBorders>
              <w:top w:val="nil"/>
              <w:left w:val="nil"/>
              <w:bottom w:space="0" w:sz="8" w:color="auto" w:val="single"/>
              <w:right w:space="0" w:sz="8" w:color="auto" w:val="single"/>
            </w:tcBorders>
            <w:vAlign w:val="bottom"/>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46.080,00</w:t>
            </w:r>
          </w:p>
        </w:tc>
        <w:tc>
          <w:tcPr>
            <w:tcW w:type="dxa" w:w="1354"/>
            <w:tcBorders>
              <w:top w:val="nil"/>
              <w:left w:val="nil"/>
              <w:bottom w:space="0" w:sz="8" w:color="auto" w:val="single"/>
              <w:right w:space="0" w:sz="8" w:color="auto" w:val="single"/>
            </w:tcBorders>
            <w:vAlign w:val="bottom"/>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75.200,00</w:t>
            </w:r>
          </w:p>
        </w:tc>
      </w:tr>
    </w:tbl>
    <w:p w:rsidRDefault="00924162" w:rsidP="00924162" w:rsidR="00924162">
      <w:pPr>
        <w:rPr>
          <w:rFonts w:cs="Times New Roman"/>
        </w:rPr>
      </w:pPr>
    </w:p>
    <w:p w:rsidRDefault="00924162" w:rsidP="00924162" w:rsidR="00924162">
      <w:pPr>
        <w:spacing w:lineRule="auto" w:line="360" w:before="240"/>
        <w:rPr>
          <w:rFonts w:cs="Times New Roman"/>
        </w:rPr>
      </w:pPr>
      <w:proofErr w:type="spellStart"/>
      <w:r>
        <w:rPr>
          <w:rFonts w:cs="Times New Roman"/>
        </w:rPr>
        <w:t>Projecirani</w:t>
      </w:r>
      <w:proofErr w:type="spellEnd"/>
      <w:r>
        <w:rPr>
          <w:rFonts w:cs="Times New Roman"/>
        </w:rPr>
        <w:t xml:space="preserve"> račun dobiti i gubitka iskazuje održivost predloženog poslovnog modela na razini neto dobiti.</w:t>
      </w:r>
    </w:p>
    <w:p w:rsidRDefault="00924162" w:rsidP="00924162" w:rsidR="00924162">
      <w:pPr>
        <w:spacing w:lineRule="auto" w:line="360" w:before="240"/>
        <w:rPr>
          <w:rFonts w:cs="Times New Roman"/>
        </w:rPr>
      </w:pPr>
      <w:r>
        <w:rPr>
          <w:rFonts w:cs="Times New Roman"/>
        </w:rPr>
        <w:t>U 2016. godini uz stabilizaciju prihoda te povećanje bruto marže i smanjenje operativnih troškova poslovanja društva će biti pozitivno.</w:t>
      </w:r>
    </w:p>
    <w:p w:rsidRDefault="00924162" w:rsidP="00924162" w:rsidR="00924162">
      <w:pPr>
        <w:pStyle w:val="Odlomakpopisa"/>
        <w:spacing w:lineRule="auto" w:line="360"/>
        <w:rPr>
          <w:rFonts w:cs="Times New Roman"/>
        </w:rPr>
      </w:pPr>
      <w:r>
        <w:rPr>
          <w:rFonts w:cs="Times New Roman"/>
        </w:rPr>
        <w:t>Cilj Ratarstva d.o.o. je pozicionirati se u sektoru voćarstva kao vodeći centar za sortiranje i pakiranje voća na području Sjeverne i Istočne Hrvatske. Navedeno planira ostvariti kroz usku suradnju sa relevantnim hrvatskim proizvođačima jabuka u narednih 10 godina, a nakon toga stečeno iskustvo proširiti na druge vrste voća, povećati kapacitete sortiranja i postati sinonim kvalitete i idealnog partnera u plasiranju proizvoda na tržište.</w:t>
      </w:r>
    </w:p>
    <w:p w:rsidRDefault="00924162" w:rsidP="00924162" w:rsidR="00924162">
      <w:pPr>
        <w:pStyle w:val="Odlomakpopisa"/>
        <w:spacing w:lineRule="auto" w:line="360"/>
        <w:rPr>
          <w:rFonts w:cs="Times New Roman"/>
        </w:rPr>
      </w:pPr>
      <w:r>
        <w:rPr>
          <w:rFonts w:cs="Times New Roman"/>
        </w:rPr>
        <w:t xml:space="preserve">Društvo je apliciralo na natječaj Mjere 4.1.1. s projektom nabave </w:t>
      </w:r>
      <w:proofErr w:type="spellStart"/>
      <w:r>
        <w:rPr>
          <w:rFonts w:cs="Times New Roman"/>
        </w:rPr>
        <w:t>sortirnice</w:t>
      </w:r>
      <w:proofErr w:type="spellEnd"/>
      <w:r>
        <w:rPr>
          <w:rFonts w:cs="Times New Roman"/>
        </w:rPr>
        <w:t xml:space="preserve">. Rezultati natječaja još </w:t>
      </w:r>
      <w:proofErr w:type="spellStart"/>
      <w:r>
        <w:rPr>
          <w:rFonts w:cs="Times New Roman"/>
        </w:rPr>
        <w:t>uijek</w:t>
      </w:r>
      <w:proofErr w:type="spellEnd"/>
      <w:r>
        <w:rPr>
          <w:rFonts w:cs="Times New Roman"/>
        </w:rPr>
        <w:t xml:space="preserve"> nisu </w:t>
      </w:r>
      <w:proofErr w:type="spellStart"/>
      <w:r>
        <w:rPr>
          <w:rFonts w:cs="Times New Roman"/>
        </w:rPr>
        <w:t>poznati.</w:t>
      </w:r>
      <w:proofErr w:type="spellEnd"/>
      <w:r>
        <w:rPr>
          <w:rFonts w:cs="Times New Roman"/>
        </w:rPr>
        <w:t>.</w:t>
      </w:r>
    </w:p>
    <w:p w:rsidRDefault="00924162" w:rsidP="00924162" w:rsidR="00924162">
      <w:pPr>
        <w:pStyle w:val="Odlomakpopisa"/>
        <w:spacing w:lineRule="auto" w:line="360"/>
        <w:rPr>
          <w:rFonts w:cs="Times New Roman"/>
        </w:rPr>
      </w:pPr>
      <w:r>
        <w:rPr>
          <w:rFonts w:cs="Times New Roman"/>
        </w:rPr>
        <w:t>Temeljna pretpostavka razvoja poslovanja Ratarstva kao centra za sortiranje i pakiranje voća je razvoj voćarske proizvodnje povezanih društava te izgradnja hladnjače kapaciteta 5.000 tona na vlastitoj nekretnini u Ždralovima kraj Bjelovara.</w:t>
      </w:r>
    </w:p>
    <w:p w:rsidRDefault="00924162" w:rsidP="00924162" w:rsidR="00924162">
      <w:pPr>
        <w:pStyle w:val="Odlomakpopisa"/>
        <w:spacing w:lineRule="auto" w:line="360"/>
        <w:rPr>
          <w:rFonts w:cs="Times New Roman"/>
        </w:rPr>
      </w:pPr>
      <w:r>
        <w:rPr>
          <w:rFonts w:cs="Times New Roman"/>
        </w:rPr>
        <w:lastRenderedPageBreak/>
        <w:t xml:space="preserve">Projekt je planiran kao zajednički investicijski projekt povezanih društava VRT d.o.o. (Nositelj projekta) i Voćnjak d.o.o. (Partner u projektu) kojim je tvrtka VRT d.o.o. aplicirala na EAFRD - Mjeru 4.1.1. (Restrukturiranje, modernizacija i povećanje konkurentnosti poljoprivrednih gospodarstava) pod nazivom “Prijem, sortiranje, prerada i skladištenje voća”. </w:t>
      </w:r>
    </w:p>
    <w:p w:rsidRDefault="00924162" w:rsidP="00924162" w:rsidR="00924162">
      <w:pPr>
        <w:pStyle w:val="Odlomakpopisa"/>
        <w:spacing w:lineRule="auto" w:line="360"/>
        <w:rPr>
          <w:rFonts w:cs="Times New Roman"/>
        </w:rPr>
      </w:pPr>
      <w:r>
        <w:rPr>
          <w:rFonts w:cs="Times New Roman"/>
        </w:rPr>
        <w:t>Svrha investicije je postizanje konkurentnije pozicije kroz povećanje učinkovitosti proizvodnje, stvaranje novih skladišnih kapaciteta, uvođenje tehnologije i razvijanje tehnoloških procesa s ciljem postizanja kvalitetnije kontrole procesa, smanjenje utroška energije i poboljšavanje energetske učinkovitosti, te stvaranja uvjeta koji omogućavaju efikasniju kontrolu nad vlastitom kvalitetom jabuke nakon čega slijedi prodaja i distribucija visoko kvalitetnog proizvoda maksimalno prilagođenog kupcu (način sortiranja i pakiranja) u trenutku kada je tržišna cijena najprihvatljivija.</w:t>
      </w:r>
    </w:p>
    <w:p w:rsidRDefault="00924162" w:rsidP="00924162" w:rsidR="00924162">
      <w:pPr>
        <w:pStyle w:val="Odlomakpopisa"/>
        <w:spacing w:lineRule="auto" w:line="360"/>
        <w:rPr>
          <w:rFonts w:cs="Times New Roman"/>
        </w:rPr>
      </w:pPr>
      <w:r>
        <w:rPr>
          <w:rFonts w:cs="Times New Roman"/>
        </w:rPr>
        <w:t xml:space="preserve">Investicija se sastoji od izgradnje i opremanja ULO hladnjače (ULO = </w:t>
      </w:r>
      <w:proofErr w:type="spellStart"/>
      <w:r>
        <w:rPr>
          <w:rFonts w:cs="Times New Roman"/>
        </w:rPr>
        <w:t>Ultra</w:t>
      </w:r>
      <w:proofErr w:type="spellEnd"/>
      <w:r>
        <w:rPr>
          <w:rFonts w:cs="Times New Roman"/>
        </w:rPr>
        <w:t xml:space="preserve"> </w:t>
      </w:r>
      <w:proofErr w:type="spellStart"/>
      <w:r>
        <w:rPr>
          <w:rFonts w:cs="Times New Roman"/>
        </w:rPr>
        <w:t>low</w:t>
      </w:r>
      <w:proofErr w:type="spellEnd"/>
      <w:r>
        <w:rPr>
          <w:rFonts w:cs="Times New Roman"/>
        </w:rPr>
        <w:t xml:space="preserve"> </w:t>
      </w:r>
      <w:proofErr w:type="spellStart"/>
      <w:r>
        <w:rPr>
          <w:rFonts w:cs="Times New Roman"/>
        </w:rPr>
        <w:t>oxygen</w:t>
      </w:r>
      <w:proofErr w:type="spellEnd"/>
      <w:r>
        <w:rPr>
          <w:rFonts w:cs="Times New Roman"/>
        </w:rPr>
        <w:t>) za skladištenje jabuka i gotovih proizvoda te izgradnje i opremanja pogona za preradu voća, odnosno proizvodnju soka i ostalih gotovih proizvoda od jabuke.</w:t>
      </w:r>
    </w:p>
    <w:p w:rsidRDefault="00924162" w:rsidP="00924162" w:rsidR="00924162">
      <w:pPr>
        <w:pStyle w:val="Odlomakpopisa"/>
        <w:spacing w:lineRule="auto" w:line="360"/>
        <w:rPr>
          <w:rFonts w:cs="Times New Roman"/>
        </w:rPr>
      </w:pPr>
      <w:r>
        <w:rPr>
          <w:rFonts w:cs="Times New Roman"/>
        </w:rPr>
        <w:t xml:space="preserve">Vrijednost investicijskog projekta iznosi 5.555.555,00 EUR, a iz EAFRD-a se očekuje povrat novčanih sredstava u iznosu 90% vrijednosti investicije, odnosno 5.000.000,00 EUR. </w:t>
      </w:r>
    </w:p>
    <w:p w:rsidRDefault="00924162" w:rsidP="00924162" w:rsidR="00924162">
      <w:pPr>
        <w:pStyle w:val="Odlomakpopisa"/>
        <w:spacing w:lineRule="auto" w:line="360"/>
        <w:rPr>
          <w:rFonts w:cs="Times New Roman"/>
        </w:rPr>
      </w:pPr>
      <w:r>
        <w:rPr>
          <w:rFonts w:cs="Times New Roman"/>
        </w:rPr>
        <w:t xml:space="preserve">Naime, sukladno Kriterijima odabira zahtjeva za potporu u Tipu operacije 4.1.1. navedenima u Prilogu III. Pravilnika o provedbi mjere M04 “Ulaganja u fizičku imovinu”, </w:t>
      </w:r>
      <w:proofErr w:type="spellStart"/>
      <w:r>
        <w:rPr>
          <w:rFonts w:cs="Times New Roman"/>
        </w:rPr>
        <w:t>podmjere</w:t>
      </w:r>
      <w:proofErr w:type="spellEnd"/>
      <w:r>
        <w:rPr>
          <w:rFonts w:cs="Times New Roman"/>
        </w:rPr>
        <w:t xml:space="preserve"> 4.1. “Potpora za ulaganja u poljoprivredna gospodarstva” iz Programa Ruralnog razvoja Republike Hrvatske za razdoblje 2014.-2020. godine”,  planirani investicijski projekt je ostvario 75 bodova od maksimalnih 100 bodova, a sukladno članku 10. Pravilnika ima preduvjete ostvarivanja 90% bespovratnih sredstava na temelju sljedećih karakteristika projekta:</w:t>
      </w:r>
    </w:p>
    <w:p w:rsidRDefault="00924162" w:rsidP="00924162" w:rsidR="00924162">
      <w:pPr>
        <w:pStyle w:val="Odlomakpopisa"/>
        <w:rPr>
          <w:rFonts w:cs="Times New Roman"/>
        </w:rPr>
      </w:pPr>
      <w:r>
        <w:rPr>
          <w:rFonts w:cs="Times New Roman"/>
        </w:rPr>
        <w:t> </w:t>
      </w:r>
    </w:p>
    <w:tbl>
      <w:tblPr>
        <w:tblW w:type="dxa" w:w="8659"/>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left w:type="dxa" w:w="0"/>
          <w:right w:type="dxa" w:w="0"/>
        </w:tblCellMar>
        <w:tblLook w:val="04A0" w:noVBand="1" w:noHBand="0" w:lastColumn="0" w:firstColumn="1" w:lastRow="0" w:firstRow="1"/>
      </w:tblPr>
      <w:tblGrid>
        <w:gridCol w:w="3888"/>
        <w:gridCol w:w="2888"/>
        <w:gridCol w:w="1883"/>
      </w:tblGrid>
      <w:tr w:rsidTr="00924162" w:rsidR="00924162">
        <w:trPr>
          <w:trHeight w:val="243"/>
        </w:trPr>
        <w:tc>
          <w:tcPr>
            <w:tcW w:type="dxa" w:w="3888"/>
            <w:tcBorders>
              <w:top w:space="0" w:sz="4" w:color="auto" w:val="single"/>
              <w:left w:space="0" w:sz="4" w:color="auto" w:val="single"/>
              <w:bottom w:space="0" w:sz="4" w:color="auto" w:val="single"/>
              <w:right w:space="0" w:sz="4" w:color="auto" w:val="single"/>
            </w:tcBorders>
            <w:tcMar>
              <w:top w:type="dxa" w:w="15"/>
              <w:left w:type="dxa" w:w="15"/>
              <w:bottom w:type="dxa" w:w="0"/>
              <w:right w:type="dxa" w:w="15"/>
            </w:tcMar>
            <w:vAlign w:val="bottom"/>
            <w:hideMark/>
          </w:tcPr>
          <w:p w:rsidRDefault="00924162" w:rsidR="00924162">
            <w:pPr>
              <w:pStyle w:val="Odlomakpopisa"/>
              <w:rPr>
                <w:rFonts w:cs="Times New Roman"/>
                <w:lang w:eastAsia="en-US"/>
              </w:rPr>
            </w:pPr>
            <w:r>
              <w:rPr>
                <w:rFonts w:cs="Times New Roman"/>
              </w:rPr>
              <w:t>minimalan (osnovni)  povrat</w:t>
            </w:r>
          </w:p>
        </w:tc>
        <w:tc>
          <w:tcPr>
            <w:tcW w:type="dxa" w:w="2888"/>
            <w:tcBorders>
              <w:top w:space="0" w:sz="4" w:color="auto" w:val="single"/>
              <w:left w:space="0" w:sz="4" w:color="auto" w:val="single"/>
              <w:bottom w:space="0" w:sz="4" w:color="auto" w:val="single"/>
              <w:right w:space="0" w:sz="4" w:color="auto" w:val="single"/>
            </w:tcBorders>
            <w:tcMar>
              <w:top w:type="dxa" w:w="15"/>
              <w:left w:type="dxa" w:w="15"/>
              <w:bottom w:type="dxa" w:w="0"/>
              <w:right w:type="dxa" w:w="15"/>
            </w:tcMar>
            <w:vAlign w:val="bottom"/>
            <w:hideMark/>
          </w:tcPr>
          <w:p w:rsidRDefault="00924162" w:rsidR="00924162">
            <w:pPr>
              <w:pStyle w:val="Odlomakpopisa"/>
              <w:rPr>
                <w:rFonts w:cs="Times New Roman"/>
                <w:lang w:eastAsia="en-US"/>
              </w:rPr>
            </w:pPr>
            <w:r>
              <w:rPr>
                <w:rFonts w:cs="Times New Roman"/>
              </w:rPr>
              <w:t>2.777.778 EUR</w:t>
            </w:r>
          </w:p>
        </w:tc>
        <w:tc>
          <w:tcPr>
            <w:tcW w:type="dxa" w:w="1883"/>
            <w:tcBorders>
              <w:top w:space="0" w:sz="4" w:color="auto" w:val="single"/>
              <w:left w:space="0" w:sz="4" w:color="auto" w:val="single"/>
              <w:bottom w:space="0" w:sz="4" w:color="auto" w:val="single"/>
              <w:right w:space="0" w:sz="4" w:color="auto" w:val="single"/>
            </w:tcBorders>
            <w:tcMar>
              <w:top w:type="dxa" w:w="15"/>
              <w:left w:type="dxa" w:w="15"/>
              <w:bottom w:type="dxa" w:w="0"/>
              <w:right w:type="dxa" w:w="15"/>
            </w:tcMar>
            <w:vAlign w:val="bottom"/>
            <w:hideMark/>
          </w:tcPr>
          <w:p w:rsidRDefault="00924162" w:rsidR="00924162">
            <w:pPr>
              <w:pStyle w:val="Odlomakpopisa"/>
              <w:rPr>
                <w:rFonts w:cs="Times New Roman"/>
                <w:lang w:eastAsia="en-US"/>
              </w:rPr>
            </w:pPr>
            <w:r>
              <w:rPr>
                <w:rFonts w:cs="Times New Roman"/>
              </w:rPr>
              <w:t>50%</w:t>
            </w:r>
          </w:p>
        </w:tc>
      </w:tr>
      <w:tr w:rsidTr="00924162" w:rsidR="00924162">
        <w:trPr>
          <w:trHeight w:val="243"/>
        </w:trPr>
        <w:tc>
          <w:tcPr>
            <w:tcW w:type="auto" w:w="0"/>
            <w:tcBorders>
              <w:top w:space="0" w:sz="4" w:color="auto" w:val="single"/>
              <w:left w:space="0" w:sz="4" w:color="auto" w:val="single"/>
              <w:bottom w:space="0" w:sz="4" w:color="auto" w:val="single"/>
              <w:right w:space="0" w:sz="4" w:color="auto" w:val="single"/>
            </w:tcBorders>
            <w:tcMar>
              <w:top w:type="dxa" w:w="15"/>
              <w:left w:type="dxa" w:w="15"/>
              <w:bottom w:type="dxa" w:w="0"/>
              <w:right w:type="dxa" w:w="15"/>
            </w:tcMar>
            <w:vAlign w:val="bottom"/>
            <w:hideMark/>
          </w:tcPr>
          <w:p w:rsidRDefault="00924162" w:rsidR="00924162">
            <w:pPr>
              <w:pStyle w:val="Odlomakpopisa"/>
              <w:rPr>
                <w:rFonts w:cs="Times New Roman"/>
                <w:lang w:eastAsia="en-US"/>
              </w:rPr>
            </w:pPr>
            <w:r>
              <w:rPr>
                <w:rFonts w:cs="Times New Roman"/>
              </w:rPr>
              <w:t>mladi poljoprivrednik</w:t>
            </w:r>
          </w:p>
        </w:tc>
        <w:tc>
          <w:tcPr>
            <w:tcW w:type="auto" w:w="0"/>
            <w:tcBorders>
              <w:top w:space="0" w:sz="4" w:color="auto" w:val="single"/>
              <w:left w:space="0" w:sz="4" w:color="auto" w:val="single"/>
              <w:bottom w:space="0" w:sz="4" w:color="auto" w:val="single"/>
              <w:right w:space="0" w:sz="4" w:color="auto" w:val="single"/>
            </w:tcBorders>
            <w:tcMar>
              <w:top w:type="dxa" w:w="15"/>
              <w:left w:type="dxa" w:w="15"/>
              <w:bottom w:type="dxa" w:w="0"/>
              <w:right w:type="dxa" w:w="15"/>
            </w:tcMar>
            <w:vAlign w:val="bottom"/>
            <w:hideMark/>
          </w:tcPr>
          <w:p w:rsidRDefault="00924162" w:rsidR="00924162">
            <w:pPr>
              <w:pStyle w:val="Odlomakpopisa"/>
              <w:rPr>
                <w:rFonts w:cs="Times New Roman"/>
                <w:lang w:eastAsia="en-US"/>
              </w:rPr>
            </w:pPr>
            <w:r>
              <w:rPr>
                <w:rFonts w:cs="Times New Roman"/>
              </w:rPr>
              <w:t>1.111.111 EUR</w:t>
            </w:r>
          </w:p>
        </w:tc>
        <w:tc>
          <w:tcPr>
            <w:tcW w:type="auto" w:w="0"/>
            <w:tcBorders>
              <w:top w:space="0" w:sz="4" w:color="auto" w:val="single"/>
              <w:left w:space="0" w:sz="4" w:color="auto" w:val="single"/>
              <w:bottom w:space="0" w:sz="4" w:color="auto" w:val="single"/>
              <w:right w:space="0" w:sz="4" w:color="auto" w:val="single"/>
            </w:tcBorders>
            <w:tcMar>
              <w:top w:type="dxa" w:w="15"/>
              <w:left w:type="dxa" w:w="15"/>
              <w:bottom w:type="dxa" w:w="0"/>
              <w:right w:type="dxa" w:w="15"/>
            </w:tcMar>
            <w:vAlign w:val="bottom"/>
            <w:hideMark/>
          </w:tcPr>
          <w:p w:rsidRDefault="00924162" w:rsidR="00924162">
            <w:pPr>
              <w:pStyle w:val="Odlomakpopisa"/>
              <w:rPr>
                <w:rFonts w:cs="Times New Roman"/>
                <w:lang w:eastAsia="en-US"/>
              </w:rPr>
            </w:pPr>
            <w:r>
              <w:rPr>
                <w:rFonts w:cs="Times New Roman"/>
              </w:rPr>
              <w:t>20%</w:t>
            </w:r>
          </w:p>
        </w:tc>
      </w:tr>
      <w:tr w:rsidTr="00924162" w:rsidR="00924162">
        <w:trPr>
          <w:trHeight w:val="266"/>
        </w:trPr>
        <w:tc>
          <w:tcPr>
            <w:tcW w:type="auto" w:w="0"/>
            <w:tcBorders>
              <w:top w:space="0" w:sz="4" w:color="auto" w:val="single"/>
              <w:left w:space="0" w:sz="4" w:color="auto" w:val="single"/>
              <w:bottom w:space="0" w:sz="4" w:color="auto" w:val="single"/>
              <w:right w:space="0" w:sz="4" w:color="auto" w:val="single"/>
            </w:tcBorders>
            <w:tcMar>
              <w:top w:type="dxa" w:w="15"/>
              <w:left w:type="dxa" w:w="15"/>
              <w:bottom w:type="dxa" w:w="0"/>
              <w:right w:type="dxa" w:w="15"/>
            </w:tcMar>
            <w:vAlign w:val="bottom"/>
            <w:hideMark/>
          </w:tcPr>
          <w:p w:rsidRDefault="00924162" w:rsidR="00924162">
            <w:pPr>
              <w:pStyle w:val="Odlomakpopisa"/>
              <w:rPr>
                <w:rFonts w:cs="Times New Roman"/>
                <w:lang w:eastAsia="en-US"/>
              </w:rPr>
            </w:pPr>
            <w:r>
              <w:rPr>
                <w:rFonts w:cs="Times New Roman"/>
              </w:rPr>
              <w:t>zajednički projekt</w:t>
            </w:r>
          </w:p>
        </w:tc>
        <w:tc>
          <w:tcPr>
            <w:tcW w:type="auto" w:w="0"/>
            <w:tcBorders>
              <w:top w:space="0" w:sz="4" w:color="auto" w:val="single"/>
              <w:left w:space="0" w:sz="4" w:color="auto" w:val="single"/>
              <w:bottom w:space="0" w:sz="4" w:color="auto" w:val="single"/>
              <w:right w:space="0" w:sz="4" w:color="auto" w:val="single"/>
            </w:tcBorders>
            <w:tcMar>
              <w:top w:type="dxa" w:w="15"/>
              <w:left w:type="dxa" w:w="15"/>
              <w:bottom w:type="dxa" w:w="0"/>
              <w:right w:type="dxa" w:w="15"/>
            </w:tcMar>
            <w:vAlign w:val="bottom"/>
            <w:hideMark/>
          </w:tcPr>
          <w:p w:rsidRDefault="00924162" w:rsidR="00924162">
            <w:pPr>
              <w:pStyle w:val="Odlomakpopisa"/>
              <w:rPr>
                <w:rFonts w:cs="Times New Roman"/>
                <w:lang w:eastAsia="en-US"/>
              </w:rPr>
            </w:pPr>
            <w:r>
              <w:rPr>
                <w:rFonts w:cs="Times New Roman"/>
              </w:rPr>
              <w:t>1.111.111 EUR</w:t>
            </w:r>
          </w:p>
        </w:tc>
        <w:tc>
          <w:tcPr>
            <w:tcW w:type="auto" w:w="0"/>
            <w:tcBorders>
              <w:top w:space="0" w:sz="4" w:color="auto" w:val="single"/>
              <w:left w:space="0" w:sz="4" w:color="auto" w:val="single"/>
              <w:bottom w:space="0" w:sz="4" w:color="auto" w:val="single"/>
              <w:right w:space="0" w:sz="4" w:color="auto" w:val="single"/>
            </w:tcBorders>
            <w:tcMar>
              <w:top w:type="dxa" w:w="15"/>
              <w:left w:type="dxa" w:w="15"/>
              <w:bottom w:type="dxa" w:w="0"/>
              <w:right w:type="dxa" w:w="15"/>
            </w:tcMar>
            <w:vAlign w:val="bottom"/>
            <w:hideMark/>
          </w:tcPr>
          <w:p w:rsidRDefault="00924162" w:rsidR="00924162">
            <w:pPr>
              <w:pStyle w:val="Odlomakpopisa"/>
              <w:rPr>
                <w:rFonts w:cs="Times New Roman"/>
                <w:lang w:eastAsia="en-US"/>
              </w:rPr>
            </w:pPr>
            <w:r>
              <w:rPr>
                <w:rFonts w:cs="Times New Roman"/>
              </w:rPr>
              <w:t>20%</w:t>
            </w:r>
          </w:p>
        </w:tc>
      </w:tr>
      <w:tr w:rsidTr="00924162" w:rsidR="00924162">
        <w:trPr>
          <w:trHeight w:val="266"/>
        </w:trPr>
        <w:tc>
          <w:tcPr>
            <w:tcW w:type="auto" w:w="0"/>
            <w:tcBorders>
              <w:top w:space="0" w:sz="4" w:color="auto" w:val="single"/>
              <w:left w:space="0" w:sz="4" w:color="auto" w:val="single"/>
              <w:bottom w:space="0" w:sz="4" w:color="auto" w:val="single"/>
              <w:right w:space="0" w:sz="4" w:color="auto" w:val="single"/>
            </w:tcBorders>
            <w:tcMar>
              <w:top w:type="dxa" w:w="15"/>
              <w:left w:type="dxa" w:w="15"/>
              <w:bottom w:type="dxa" w:w="0"/>
              <w:right w:type="dxa" w:w="15"/>
            </w:tcMar>
            <w:vAlign w:val="bottom"/>
            <w:hideMark/>
          </w:tcPr>
          <w:p w:rsidRDefault="00924162" w:rsidR="00924162">
            <w:pPr>
              <w:pStyle w:val="Odlomakpopisa"/>
              <w:rPr>
                <w:rFonts w:cs="Times New Roman"/>
                <w:lang w:eastAsia="en-US"/>
              </w:rPr>
            </w:pPr>
            <w:r>
              <w:rPr>
                <w:rFonts w:cs="Times New Roman"/>
              </w:rPr>
              <w:t>Povrat EAFRD - GRANT</w:t>
            </w:r>
          </w:p>
        </w:tc>
        <w:tc>
          <w:tcPr>
            <w:tcW w:type="auto" w:w="0"/>
            <w:tcBorders>
              <w:top w:space="0" w:sz="4" w:color="auto" w:val="single"/>
              <w:left w:space="0" w:sz="4" w:color="auto" w:val="single"/>
              <w:bottom w:space="0" w:sz="4" w:color="auto" w:val="single"/>
              <w:right w:space="0" w:sz="4" w:color="auto" w:val="single"/>
            </w:tcBorders>
            <w:tcMar>
              <w:top w:type="dxa" w:w="15"/>
              <w:left w:type="dxa" w:w="15"/>
              <w:bottom w:type="dxa" w:w="0"/>
              <w:right w:type="dxa" w:w="15"/>
            </w:tcMar>
            <w:vAlign w:val="bottom"/>
            <w:hideMark/>
          </w:tcPr>
          <w:p w:rsidRDefault="00924162" w:rsidR="00924162">
            <w:pPr>
              <w:pStyle w:val="Odlomakpopisa"/>
              <w:rPr>
                <w:rFonts w:cs="Times New Roman"/>
                <w:lang w:eastAsia="en-US"/>
              </w:rPr>
            </w:pPr>
            <w:r>
              <w:rPr>
                <w:rFonts w:cs="Times New Roman"/>
              </w:rPr>
              <w:t>5.000.000 EUR</w:t>
            </w:r>
          </w:p>
        </w:tc>
        <w:tc>
          <w:tcPr>
            <w:tcW w:type="auto" w:w="0"/>
            <w:tcBorders>
              <w:top w:space="0" w:sz="4" w:color="auto" w:val="single"/>
              <w:left w:space="0" w:sz="4" w:color="auto" w:val="single"/>
              <w:bottom w:space="0" w:sz="4" w:color="auto" w:val="single"/>
              <w:right w:space="0" w:sz="4" w:color="auto" w:val="single"/>
            </w:tcBorders>
            <w:tcMar>
              <w:top w:type="dxa" w:w="15"/>
              <w:left w:type="dxa" w:w="15"/>
              <w:bottom w:type="dxa" w:w="0"/>
              <w:right w:type="dxa" w:w="15"/>
            </w:tcMar>
            <w:vAlign w:val="bottom"/>
            <w:hideMark/>
          </w:tcPr>
          <w:p w:rsidRDefault="00924162" w:rsidR="00924162">
            <w:pPr>
              <w:pStyle w:val="Odlomakpopisa"/>
              <w:rPr>
                <w:rFonts w:cs="Times New Roman"/>
                <w:lang w:eastAsia="en-US"/>
              </w:rPr>
            </w:pPr>
            <w:r>
              <w:rPr>
                <w:rFonts w:cs="Times New Roman"/>
              </w:rPr>
              <w:t>90%</w:t>
            </w:r>
          </w:p>
        </w:tc>
      </w:tr>
    </w:tbl>
    <w:p w:rsidRDefault="00924162" w:rsidP="00924162" w:rsidR="00924162">
      <w:pPr>
        <w:pStyle w:val="Odlomakpopisa"/>
        <w:rPr>
          <w:rFonts w:cs="Times New Roman"/>
          <w:lang w:eastAsia="en-US"/>
        </w:rPr>
      </w:pPr>
      <w:r>
        <w:rPr>
          <w:rFonts w:cs="Times New Roman"/>
        </w:rPr>
        <w:t> </w:t>
      </w:r>
    </w:p>
    <w:tbl>
      <w:tblPr>
        <w:tblW w:type="dxa" w:w="861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left w:type="dxa" w:w="0"/>
          <w:right w:type="dxa" w:w="0"/>
        </w:tblCellMar>
        <w:tblLook w:val="04A0" w:noVBand="1" w:noHBand="0" w:lastColumn="0" w:firstColumn="1" w:lastRow="0" w:firstRow="1"/>
      </w:tblPr>
      <w:tblGrid>
        <w:gridCol w:w="3756"/>
        <w:gridCol w:w="2796"/>
        <w:gridCol w:w="2062"/>
      </w:tblGrid>
      <w:tr w:rsidTr="00924162" w:rsidR="00924162">
        <w:trPr>
          <w:trHeight w:val="282"/>
        </w:trPr>
        <w:tc>
          <w:tcPr>
            <w:tcW w:type="dxa" w:w="3756"/>
            <w:tcBorders>
              <w:top w:space="0" w:sz="4" w:color="auto" w:val="single"/>
              <w:left w:space="0" w:sz="4" w:color="auto" w:val="single"/>
              <w:bottom w:space="0" w:sz="4" w:color="auto" w:val="single"/>
              <w:right w:space="0" w:sz="4" w:color="auto" w:val="single"/>
            </w:tcBorders>
            <w:tcMar>
              <w:top w:type="dxa" w:w="15"/>
              <w:left w:type="dxa" w:w="15"/>
              <w:bottom w:type="dxa" w:w="0"/>
              <w:right w:type="dxa" w:w="15"/>
            </w:tcMar>
            <w:vAlign w:val="bottom"/>
            <w:hideMark/>
          </w:tcPr>
          <w:p w:rsidRDefault="00924162" w:rsidR="00924162">
            <w:pPr>
              <w:pStyle w:val="Odlomakpopisa"/>
              <w:rPr>
                <w:rFonts w:cs="Times New Roman"/>
                <w:lang w:eastAsia="en-US"/>
              </w:rPr>
            </w:pPr>
            <w:r>
              <w:rPr>
                <w:rFonts w:cs="Times New Roman"/>
              </w:rPr>
              <w:lastRenderedPageBreak/>
              <w:t>Vrijednost investicije</w:t>
            </w:r>
          </w:p>
        </w:tc>
        <w:tc>
          <w:tcPr>
            <w:tcW w:type="dxa" w:w="2796"/>
            <w:tcBorders>
              <w:top w:space="0" w:sz="4" w:color="auto" w:val="single"/>
              <w:left w:space="0" w:sz="4" w:color="auto" w:val="single"/>
              <w:bottom w:space="0" w:sz="4" w:color="auto" w:val="single"/>
              <w:right w:space="0" w:sz="4" w:color="auto" w:val="single"/>
            </w:tcBorders>
            <w:tcMar>
              <w:top w:type="dxa" w:w="15"/>
              <w:left w:type="dxa" w:w="15"/>
              <w:bottom w:type="dxa" w:w="0"/>
              <w:right w:type="dxa" w:w="15"/>
            </w:tcMar>
            <w:vAlign w:val="bottom"/>
            <w:hideMark/>
          </w:tcPr>
          <w:p w:rsidRDefault="00924162" w:rsidR="00924162">
            <w:pPr>
              <w:pStyle w:val="Odlomakpopisa"/>
              <w:rPr>
                <w:rFonts w:cs="Times New Roman"/>
                <w:lang w:eastAsia="en-US"/>
              </w:rPr>
            </w:pPr>
            <w:r>
              <w:rPr>
                <w:rFonts w:cs="Times New Roman"/>
              </w:rPr>
              <w:t>5.555.556 EUR</w:t>
            </w:r>
          </w:p>
        </w:tc>
        <w:tc>
          <w:tcPr>
            <w:tcW w:type="dxa" w:w="2062"/>
            <w:tcBorders>
              <w:top w:space="0" w:sz="4" w:color="auto" w:val="single"/>
              <w:left w:space="0" w:sz="4" w:color="auto" w:val="single"/>
              <w:bottom w:space="0" w:sz="4" w:color="auto" w:val="single"/>
              <w:right w:space="0" w:sz="4" w:color="auto" w:val="single"/>
            </w:tcBorders>
            <w:tcMar>
              <w:top w:type="dxa" w:w="15"/>
              <w:left w:type="dxa" w:w="15"/>
              <w:bottom w:type="dxa" w:w="0"/>
              <w:right w:type="dxa" w:w="15"/>
            </w:tcMar>
            <w:vAlign w:val="bottom"/>
            <w:hideMark/>
          </w:tcPr>
          <w:p w:rsidRDefault="00924162" w:rsidR="00924162">
            <w:pPr>
              <w:pStyle w:val="Odlomakpopisa"/>
              <w:rPr>
                <w:rFonts w:cs="Times New Roman"/>
                <w:lang w:eastAsia="en-US"/>
              </w:rPr>
            </w:pPr>
            <w:r>
              <w:rPr>
                <w:rFonts w:cs="Times New Roman"/>
              </w:rPr>
              <w:t>100%</w:t>
            </w:r>
          </w:p>
        </w:tc>
      </w:tr>
    </w:tbl>
    <w:p w:rsidRDefault="00924162" w:rsidP="00924162" w:rsidR="00924162">
      <w:pPr>
        <w:pStyle w:val="Odlomakpopisa"/>
        <w:rPr>
          <w:rFonts w:cs="Times New Roman"/>
          <w:lang w:eastAsia="en-US"/>
        </w:rPr>
      </w:pPr>
      <w:r>
        <w:rPr>
          <w:rFonts w:cs="Times New Roman"/>
        </w:rPr>
        <w:t>   </w:t>
      </w:r>
    </w:p>
    <w:p w:rsidRDefault="00924162" w:rsidP="00924162" w:rsidR="00924162">
      <w:pPr>
        <w:pStyle w:val="Odlomakpopisa"/>
        <w:spacing w:lineRule="auto" w:line="360"/>
        <w:rPr>
          <w:rFonts w:cs="Times New Roman"/>
        </w:rPr>
      </w:pPr>
      <w:r>
        <w:rPr>
          <w:rFonts w:cs="Times New Roman"/>
        </w:rPr>
        <w:t>Odluke/novci za Mjeru 4.1.1. na koju smo aplicirali još uvijek nisu nikome dane. Radi se o prvom natječaju u Mjeri 4.1.1. koji je završio 15.04.2015. za koju postoji objavljena lista odobrenih zahtjeva. Naš projekt se nalazi na 72. mjestu.</w:t>
      </w:r>
    </w:p>
    <w:p w:rsidRDefault="00924162" w:rsidP="00924162" w:rsidR="00924162">
      <w:pPr>
        <w:pStyle w:val="Odlomakpopisa"/>
        <w:spacing w:lineRule="auto" w:line="360"/>
        <w:rPr>
          <w:rFonts w:cs="Times New Roman"/>
        </w:rPr>
      </w:pPr>
    </w:p>
    <w:p w:rsidRDefault="00924162" w:rsidP="00924162" w:rsidR="00924162">
      <w:pPr>
        <w:pStyle w:val="Naslov1"/>
        <w:rPr>
          <w:rFonts w:cs="Times New Roman"/>
          <w:sz w:val="24"/>
          <w:szCs w:val="24"/>
        </w:rPr>
      </w:pPr>
      <w:bookmarkStart w:name="_Toc432416060" w:id="40"/>
      <w:bookmarkStart w:name="_Toc430627158" w:id="41"/>
      <w:bookmarkStart w:name="_Toc458436251" w:id="42"/>
      <w:r>
        <w:rPr>
          <w:rFonts w:cs="Times New Roman"/>
          <w:sz w:val="24"/>
          <w:szCs w:val="24"/>
        </w:rPr>
        <w:t xml:space="preserve">6. PLANIRANA BILANCA NA ZADNJI DAN </w:t>
      </w:r>
      <w:bookmarkEnd w:id="40"/>
      <w:bookmarkEnd w:id="41"/>
      <w:r>
        <w:rPr>
          <w:rFonts w:cs="Times New Roman"/>
          <w:sz w:val="24"/>
          <w:szCs w:val="24"/>
        </w:rPr>
        <w:t>RAZDOBLJA ZA KOJE JE SASTAVLJEN PLAN POSLOVANJA</w:t>
      </w:r>
      <w:bookmarkEnd w:id="42"/>
    </w:p>
    <w:p w:rsidRDefault="00924162" w:rsidP="00924162" w:rsidR="00924162">
      <w:pPr>
        <w:spacing w:lineRule="auto" w:line="360" w:before="240"/>
        <w:jc w:val="both"/>
        <w:rPr>
          <w:rFonts w:cs="Times New Roman"/>
        </w:rPr>
      </w:pPr>
      <w:r>
        <w:rPr>
          <w:rFonts w:cs="Times New Roman"/>
        </w:rPr>
        <w:t>Poduzeće će ostvarenjem navedenog Plana operativnog i financijskog restrukturiranja biti dovedeno u stanje stabilnog, održivog i neograničenog poslovanja, sa stanjem obveza kako je prikazano u bilanci na dan 31.12.2018. godine (iznosi u kn), kao zadnjeg dana za koji je sastavljen plan:</w:t>
      </w:r>
    </w:p>
    <w:p w:rsidRDefault="00924162" w:rsidP="00924162" w:rsidR="00924162">
      <w:pPr>
        <w:pStyle w:val="Naslov1"/>
        <w:rPr>
          <w:rFonts w:cs="Times New Roman"/>
          <w:sz w:val="24"/>
          <w:szCs w:val="24"/>
        </w:rPr>
      </w:pPr>
    </w:p>
    <w:tbl>
      <w:tblPr>
        <w:tblW w:type="dxa" w:w="9720"/>
        <w:tblInd w:type="dxa" w:w="93"/>
        <w:tblLook w:val="04A0" w:noVBand="1" w:noHBand="0" w:lastColumn="0" w:firstColumn="1" w:lastRow="0" w:firstRow="1"/>
      </w:tblPr>
      <w:tblGrid>
        <w:gridCol w:w="6840"/>
        <w:gridCol w:w="1596"/>
        <w:gridCol w:w="1356"/>
      </w:tblGrid>
      <w:tr w:rsidTr="00924162" w:rsidR="00924162">
        <w:trPr>
          <w:trHeight w:val="330"/>
        </w:trPr>
        <w:tc>
          <w:tcPr>
            <w:tcW w:type="dxa" w:w="6840"/>
            <w:tcBorders>
              <w:top w:space="0" w:sz="8" w:color="auto" w:val="single"/>
              <w:left w:space="0" w:sz="8" w:color="auto" w:val="single"/>
              <w:bottom w:space="0" w:sz="8" w:color="auto" w:val="single"/>
              <w:right w:space="0" w:sz="8" w:color="auto" w:val="single"/>
            </w:tcBorders>
            <w:shd w:fill="E5E0EC" w:color="auto" w:val="clear"/>
            <w:hideMark/>
          </w:tcPr>
          <w:p w:rsidRDefault="00924162" w:rsidR="00924162">
            <w:pPr>
              <w:spacing w:after="0"/>
              <w:rPr>
                <w:rFonts w:cs="Times New Roman" w:eastAsia="Times New Roman"/>
                <w:b/>
                <w:bCs/>
                <w:color w:val="000000"/>
                <w:lang w:eastAsia="hr-HR"/>
              </w:rPr>
            </w:pPr>
            <w:r>
              <w:rPr>
                <w:rFonts w:cs="Times New Roman" w:eastAsia="Times New Roman"/>
                <w:b/>
                <w:bCs/>
                <w:color w:val="000000"/>
                <w:lang w:eastAsia="hr-HR"/>
              </w:rPr>
              <w:t xml:space="preserve">OPIS </w:t>
            </w:r>
          </w:p>
        </w:tc>
        <w:tc>
          <w:tcPr>
            <w:tcW w:type="dxa" w:w="1500"/>
            <w:tcBorders>
              <w:top w:space="0" w:sz="8" w:color="auto" w:val="single"/>
              <w:left w:val="nil"/>
              <w:bottom w:space="0" w:sz="8" w:color="auto" w:val="single"/>
              <w:right w:space="0" w:sz="8" w:color="auto" w:val="single"/>
            </w:tcBorders>
            <w:shd w:fill="E5E0EC" w:color="auto" w:val="clear"/>
            <w:hideMark/>
          </w:tcPr>
          <w:p w:rsidRDefault="00924162" w:rsidR="00924162">
            <w:pPr>
              <w:spacing w:after="0"/>
              <w:rPr>
                <w:rFonts w:cs="Times New Roman" w:eastAsia="Times New Roman"/>
                <w:b/>
                <w:bCs/>
                <w:color w:val="000000"/>
                <w:lang w:eastAsia="hr-HR"/>
              </w:rPr>
            </w:pPr>
            <w:r>
              <w:rPr>
                <w:rFonts w:cs="Times New Roman" w:eastAsia="Times New Roman"/>
                <w:b/>
                <w:bCs/>
                <w:color w:val="000000"/>
                <w:lang w:eastAsia="hr-HR"/>
              </w:rPr>
              <w:t>30.06.2016.</w:t>
            </w:r>
          </w:p>
        </w:tc>
        <w:tc>
          <w:tcPr>
            <w:tcW w:type="dxa" w:w="1380"/>
            <w:tcBorders>
              <w:top w:space="0" w:sz="8" w:color="auto" w:val="single"/>
              <w:left w:val="nil"/>
              <w:bottom w:space="0" w:sz="8" w:color="auto" w:val="single"/>
              <w:right w:space="0" w:sz="8" w:color="auto" w:val="single"/>
            </w:tcBorders>
            <w:shd w:fill="E5E0EC" w:color="auto" w:val="clear"/>
            <w:hideMark/>
          </w:tcPr>
          <w:p w:rsidRDefault="00924162" w:rsidR="00924162">
            <w:pPr>
              <w:spacing w:after="0"/>
              <w:rPr>
                <w:rFonts w:cs="Times New Roman" w:eastAsia="Times New Roman"/>
                <w:b/>
                <w:bCs/>
                <w:color w:val="000000"/>
                <w:lang w:eastAsia="hr-HR"/>
              </w:rPr>
            </w:pPr>
            <w:r>
              <w:rPr>
                <w:rFonts w:cs="Times New Roman" w:eastAsia="Times New Roman"/>
                <w:b/>
                <w:bCs/>
                <w:color w:val="000000"/>
                <w:lang w:eastAsia="hr-HR"/>
              </w:rPr>
              <w:t>31.12.2018.</w:t>
            </w:r>
          </w:p>
        </w:tc>
      </w:tr>
      <w:tr w:rsidTr="00924162" w:rsidR="00924162">
        <w:trPr>
          <w:trHeight w:val="330"/>
        </w:trPr>
        <w:tc>
          <w:tcPr>
            <w:tcW w:type="dxa" w:w="6840"/>
            <w:tcBorders>
              <w:top w:val="nil"/>
              <w:left w:space="0" w:sz="8" w:color="auto" w:val="single"/>
              <w:bottom w:space="0" w:sz="8" w:color="auto" w:val="single"/>
              <w:right w:space="0" w:sz="8" w:color="auto" w:val="single"/>
            </w:tcBorders>
            <w:noWrap/>
            <w:vAlign w:val="bottom"/>
            <w:hideMark/>
          </w:tcPr>
          <w:p w:rsidRDefault="00924162" w:rsidR="00924162">
            <w:pPr>
              <w:spacing w:after="0"/>
              <w:rPr>
                <w:rFonts w:cs="Times New Roman" w:eastAsia="Times New Roman"/>
                <w:color w:val="000000"/>
                <w:lang w:eastAsia="hr-HR"/>
              </w:rPr>
            </w:pPr>
            <w:r>
              <w:rPr>
                <w:rFonts w:cs="Times New Roman" w:eastAsia="Times New Roman"/>
                <w:color w:val="000000"/>
                <w:lang w:eastAsia="hr-HR"/>
              </w:rPr>
              <w:t xml:space="preserve">           1.       Obveze prema povezanim poduzetnicima</w:t>
            </w:r>
          </w:p>
        </w:tc>
        <w:tc>
          <w:tcPr>
            <w:tcW w:type="dxa" w:w="1500"/>
            <w:tcBorders>
              <w:top w:val="nil"/>
              <w:left w:val="nil"/>
              <w:bottom w:space="0" w:sz="8" w:color="auto" w:val="single"/>
              <w:right w:space="0" w:sz="8" w:color="auto" w:val="single"/>
            </w:tcBorders>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530.950,00</w:t>
            </w:r>
          </w:p>
        </w:tc>
        <w:tc>
          <w:tcPr>
            <w:tcW w:type="dxa" w:w="1380"/>
            <w:tcBorders>
              <w:top w:val="nil"/>
              <w:left w:val="nil"/>
              <w:bottom w:space="0" w:sz="8" w:color="auto" w:val="single"/>
              <w:right w:space="0" w:sz="8" w:color="auto" w:val="single"/>
            </w:tcBorders>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265.475,00</w:t>
            </w:r>
          </w:p>
        </w:tc>
      </w:tr>
      <w:tr w:rsidTr="00924162" w:rsidR="00924162">
        <w:trPr>
          <w:trHeight w:val="330"/>
        </w:trPr>
        <w:tc>
          <w:tcPr>
            <w:tcW w:type="dxa" w:w="6840"/>
            <w:tcBorders>
              <w:top w:val="nil"/>
              <w:left w:space="0" w:sz="8" w:color="auto" w:val="single"/>
              <w:bottom w:space="0" w:sz="8" w:color="auto" w:val="single"/>
              <w:right w:space="0" w:sz="8" w:color="auto" w:val="single"/>
            </w:tcBorders>
            <w:hideMark/>
          </w:tcPr>
          <w:p w:rsidRDefault="00924162" w:rsidR="00924162">
            <w:pPr>
              <w:spacing w:after="0"/>
              <w:ind w:firstLineChars="500" w:firstLine="1200"/>
              <w:rPr>
                <w:rFonts w:cs="Times New Roman" w:eastAsia="Times New Roman"/>
                <w:color w:val="000000"/>
                <w:lang w:eastAsia="hr-HR"/>
              </w:rPr>
            </w:pPr>
            <w:r>
              <w:rPr>
                <w:rFonts w:cs="Times New Roman" w:eastAsia="Times New Roman"/>
                <w:color w:val="000000"/>
                <w:lang w:eastAsia="hr-HR"/>
              </w:rPr>
              <w:t>2.       Obveze za predujmove</w:t>
            </w:r>
          </w:p>
        </w:tc>
        <w:tc>
          <w:tcPr>
            <w:tcW w:type="dxa" w:w="1500"/>
            <w:tcBorders>
              <w:top w:val="nil"/>
              <w:left w:val="nil"/>
              <w:bottom w:space="0" w:sz="8" w:color="auto" w:val="single"/>
              <w:right w:space="0" w:sz="8" w:color="auto" w:val="single"/>
            </w:tcBorders>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33.763,00</w:t>
            </w:r>
          </w:p>
        </w:tc>
        <w:tc>
          <w:tcPr>
            <w:tcW w:type="dxa" w:w="1380"/>
            <w:tcBorders>
              <w:top w:val="nil"/>
              <w:left w:val="nil"/>
              <w:bottom w:space="0" w:sz="8" w:color="auto" w:val="single"/>
              <w:right w:space="0" w:sz="8" w:color="auto" w:val="single"/>
            </w:tcBorders>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16.882,00</w:t>
            </w:r>
          </w:p>
        </w:tc>
      </w:tr>
      <w:tr w:rsidTr="00924162" w:rsidR="00924162">
        <w:trPr>
          <w:trHeight w:val="330"/>
        </w:trPr>
        <w:tc>
          <w:tcPr>
            <w:tcW w:type="dxa" w:w="6840"/>
            <w:tcBorders>
              <w:top w:val="nil"/>
              <w:left w:space="0" w:sz="8" w:color="auto" w:val="single"/>
              <w:bottom w:space="0" w:sz="8" w:color="auto" w:val="single"/>
              <w:right w:space="0" w:sz="8" w:color="auto" w:val="single"/>
            </w:tcBorders>
            <w:hideMark/>
          </w:tcPr>
          <w:p w:rsidRDefault="00924162" w:rsidR="00924162">
            <w:pPr>
              <w:spacing w:after="0"/>
              <w:ind w:firstLineChars="500" w:firstLine="1200"/>
              <w:rPr>
                <w:rFonts w:cs="Times New Roman" w:eastAsia="Times New Roman"/>
                <w:color w:val="000000"/>
                <w:lang w:eastAsia="hr-HR"/>
              </w:rPr>
            </w:pPr>
            <w:r>
              <w:rPr>
                <w:rFonts w:cs="Times New Roman" w:eastAsia="Times New Roman"/>
                <w:color w:val="000000"/>
                <w:lang w:eastAsia="hr-HR"/>
              </w:rPr>
              <w:t>3.       Obveze prema dobavljačima</w:t>
            </w:r>
          </w:p>
        </w:tc>
        <w:tc>
          <w:tcPr>
            <w:tcW w:type="dxa" w:w="1500"/>
            <w:tcBorders>
              <w:top w:val="nil"/>
              <w:left w:val="nil"/>
              <w:bottom w:space="0" w:sz="8" w:color="auto" w:val="single"/>
              <w:right w:space="0" w:sz="8" w:color="auto" w:val="single"/>
            </w:tcBorders>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1.020.870,00</w:t>
            </w:r>
          </w:p>
        </w:tc>
        <w:tc>
          <w:tcPr>
            <w:tcW w:type="dxa" w:w="1380"/>
            <w:tcBorders>
              <w:top w:val="nil"/>
              <w:left w:val="nil"/>
              <w:bottom w:space="0" w:sz="8" w:color="auto" w:val="single"/>
              <w:right w:space="0" w:sz="8" w:color="auto" w:val="single"/>
            </w:tcBorders>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510.435,00</w:t>
            </w:r>
          </w:p>
        </w:tc>
      </w:tr>
      <w:tr w:rsidTr="00924162" w:rsidR="00924162">
        <w:trPr>
          <w:trHeight w:val="330"/>
        </w:trPr>
        <w:tc>
          <w:tcPr>
            <w:tcW w:type="dxa" w:w="6840"/>
            <w:tcBorders>
              <w:top w:val="nil"/>
              <w:left w:space="0" w:sz="8" w:color="auto" w:val="single"/>
              <w:bottom w:space="0" w:sz="8" w:color="auto" w:val="single"/>
              <w:right w:space="0" w:sz="8" w:color="auto" w:val="single"/>
            </w:tcBorders>
            <w:hideMark/>
          </w:tcPr>
          <w:p w:rsidRDefault="00924162" w:rsidR="00924162">
            <w:pPr>
              <w:spacing w:after="0"/>
              <w:ind w:firstLineChars="500" w:firstLine="1200"/>
              <w:rPr>
                <w:rFonts w:cs="Times New Roman" w:eastAsia="Times New Roman"/>
                <w:color w:val="000000"/>
                <w:lang w:eastAsia="hr-HR"/>
              </w:rPr>
            </w:pPr>
            <w:r>
              <w:rPr>
                <w:rFonts w:cs="Times New Roman" w:eastAsia="Times New Roman"/>
                <w:color w:val="000000"/>
                <w:lang w:eastAsia="hr-HR"/>
              </w:rPr>
              <w:t>4.       Obveze prema zaposlenicima</w:t>
            </w:r>
          </w:p>
        </w:tc>
        <w:tc>
          <w:tcPr>
            <w:tcW w:type="dxa" w:w="1500"/>
            <w:tcBorders>
              <w:top w:val="nil"/>
              <w:left w:val="nil"/>
              <w:bottom w:space="0" w:sz="8" w:color="auto" w:val="single"/>
              <w:right w:space="0" w:sz="8" w:color="auto" w:val="single"/>
            </w:tcBorders>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111.666,00</w:t>
            </w:r>
          </w:p>
        </w:tc>
        <w:tc>
          <w:tcPr>
            <w:tcW w:type="dxa" w:w="1380"/>
            <w:tcBorders>
              <w:top w:val="nil"/>
              <w:left w:val="nil"/>
              <w:bottom w:space="0" w:sz="8" w:color="auto" w:val="single"/>
              <w:right w:space="0" w:sz="8" w:color="auto" w:val="single"/>
            </w:tcBorders>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55.833,00</w:t>
            </w:r>
          </w:p>
        </w:tc>
      </w:tr>
      <w:tr w:rsidTr="00924162" w:rsidR="00924162">
        <w:trPr>
          <w:trHeight w:val="330"/>
        </w:trPr>
        <w:tc>
          <w:tcPr>
            <w:tcW w:type="dxa" w:w="6840"/>
            <w:tcBorders>
              <w:top w:val="nil"/>
              <w:left w:space="0" w:sz="8" w:color="auto" w:val="single"/>
              <w:bottom w:space="0" w:sz="8" w:color="auto" w:val="single"/>
              <w:right w:space="0" w:sz="8" w:color="auto" w:val="single"/>
            </w:tcBorders>
            <w:hideMark/>
          </w:tcPr>
          <w:p w:rsidRDefault="00924162" w:rsidR="00924162">
            <w:pPr>
              <w:spacing w:after="0"/>
              <w:ind w:firstLineChars="500" w:firstLine="1200"/>
              <w:rPr>
                <w:rFonts w:cs="Times New Roman" w:eastAsia="Times New Roman"/>
                <w:color w:val="000000"/>
                <w:lang w:eastAsia="hr-HR"/>
              </w:rPr>
            </w:pPr>
            <w:r>
              <w:rPr>
                <w:rFonts w:cs="Times New Roman" w:eastAsia="Times New Roman"/>
                <w:color w:val="000000"/>
                <w:lang w:eastAsia="hr-HR"/>
              </w:rPr>
              <w:t>5.       Obveze za poreze, doprinose i slična davanja</w:t>
            </w:r>
          </w:p>
        </w:tc>
        <w:tc>
          <w:tcPr>
            <w:tcW w:type="dxa" w:w="1500"/>
            <w:tcBorders>
              <w:top w:val="nil"/>
              <w:left w:val="nil"/>
              <w:bottom w:space="0" w:sz="8" w:color="auto" w:val="single"/>
              <w:right w:space="0" w:sz="8" w:color="auto" w:val="single"/>
            </w:tcBorders>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19.300,00</w:t>
            </w:r>
          </w:p>
        </w:tc>
        <w:tc>
          <w:tcPr>
            <w:tcW w:type="dxa" w:w="1380"/>
            <w:tcBorders>
              <w:top w:val="nil"/>
              <w:left w:val="nil"/>
              <w:bottom w:space="0" w:sz="8" w:color="auto" w:val="single"/>
              <w:right w:space="0" w:sz="8" w:color="auto" w:val="single"/>
            </w:tcBorders>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0,00</w:t>
            </w:r>
          </w:p>
        </w:tc>
      </w:tr>
      <w:tr w:rsidTr="00924162" w:rsidR="00924162">
        <w:trPr>
          <w:trHeight w:val="330"/>
        </w:trPr>
        <w:tc>
          <w:tcPr>
            <w:tcW w:type="dxa" w:w="6840"/>
            <w:tcBorders>
              <w:top w:val="nil"/>
              <w:left w:space="0" w:sz="8" w:color="auto" w:val="single"/>
              <w:bottom w:space="0" w:sz="8" w:color="auto" w:val="single"/>
              <w:right w:space="0" w:sz="8" w:color="auto" w:val="single"/>
            </w:tcBorders>
            <w:hideMark/>
          </w:tcPr>
          <w:p w:rsidRDefault="00924162" w:rsidR="00924162">
            <w:pPr>
              <w:spacing w:after="0"/>
              <w:ind w:firstLineChars="500" w:firstLine="1200"/>
              <w:rPr>
                <w:rFonts w:cs="Times New Roman" w:eastAsia="Times New Roman"/>
                <w:color w:val="000000"/>
                <w:lang w:eastAsia="hr-HR"/>
              </w:rPr>
            </w:pPr>
            <w:r>
              <w:rPr>
                <w:rFonts w:cs="Times New Roman" w:eastAsia="Times New Roman"/>
                <w:color w:val="000000"/>
                <w:lang w:eastAsia="hr-HR"/>
              </w:rPr>
              <w:t>6.       Ostale kratkoročne obveze</w:t>
            </w:r>
          </w:p>
        </w:tc>
        <w:tc>
          <w:tcPr>
            <w:tcW w:type="dxa" w:w="1500"/>
            <w:tcBorders>
              <w:top w:val="nil"/>
              <w:left w:val="nil"/>
              <w:bottom w:space="0" w:sz="8" w:color="auto" w:val="single"/>
              <w:right w:space="0" w:sz="8" w:color="auto" w:val="single"/>
            </w:tcBorders>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12.110,00</w:t>
            </w:r>
          </w:p>
        </w:tc>
        <w:tc>
          <w:tcPr>
            <w:tcW w:type="dxa" w:w="1380"/>
            <w:tcBorders>
              <w:top w:val="nil"/>
              <w:left w:val="nil"/>
              <w:bottom w:space="0" w:sz="8" w:color="auto" w:val="single"/>
              <w:right w:space="0" w:sz="8" w:color="auto" w:val="single"/>
            </w:tcBorders>
            <w:hideMark/>
          </w:tcPr>
          <w:p w:rsidRDefault="00924162" w:rsidR="00924162">
            <w:pPr>
              <w:spacing w:after="0"/>
              <w:jc w:val="right"/>
              <w:rPr>
                <w:rFonts w:cs="Times New Roman" w:eastAsia="Times New Roman"/>
                <w:color w:val="000000"/>
                <w:lang w:eastAsia="hr-HR"/>
              </w:rPr>
            </w:pPr>
            <w:r>
              <w:rPr>
                <w:rFonts w:cs="Times New Roman" w:eastAsia="Times New Roman"/>
                <w:color w:val="000000"/>
                <w:lang w:eastAsia="hr-HR"/>
              </w:rPr>
              <w:t>6.055,00</w:t>
            </w:r>
          </w:p>
        </w:tc>
      </w:tr>
      <w:tr w:rsidTr="00924162" w:rsidR="00924162">
        <w:trPr>
          <w:trHeight w:val="330"/>
        </w:trPr>
        <w:tc>
          <w:tcPr>
            <w:tcW w:type="dxa" w:w="6840"/>
            <w:tcBorders>
              <w:top w:val="nil"/>
              <w:left w:space="0" w:sz="8" w:color="auto" w:val="single"/>
              <w:bottom w:space="0" w:sz="8" w:color="auto" w:val="single"/>
              <w:right w:space="0" w:sz="8" w:color="auto" w:val="single"/>
            </w:tcBorders>
            <w:hideMark/>
          </w:tcPr>
          <w:p w:rsidRDefault="00924162" w:rsidR="00924162">
            <w:pPr>
              <w:spacing w:after="0"/>
              <w:rPr>
                <w:rFonts w:cs="Times New Roman" w:eastAsia="Times New Roman"/>
                <w:b/>
                <w:bCs/>
                <w:color w:val="000000"/>
                <w:lang w:eastAsia="hr-HR"/>
              </w:rPr>
            </w:pPr>
            <w:r>
              <w:rPr>
                <w:rFonts w:cs="Times New Roman" w:eastAsia="Times New Roman"/>
                <w:b/>
                <w:bCs/>
                <w:color w:val="000000"/>
                <w:lang w:eastAsia="hr-HR"/>
              </w:rPr>
              <w:t>UKUPNO</w:t>
            </w:r>
          </w:p>
        </w:tc>
        <w:tc>
          <w:tcPr>
            <w:tcW w:type="dxa" w:w="1500"/>
            <w:tcBorders>
              <w:top w:val="nil"/>
              <w:left w:val="nil"/>
              <w:bottom w:space="0" w:sz="8" w:color="auto" w:val="single"/>
              <w:right w:space="0" w:sz="8" w:color="auto" w:val="single"/>
            </w:tcBorders>
            <w:hideMark/>
          </w:tcPr>
          <w:p w:rsidRDefault="00924162" w:rsidR="00924162">
            <w:pPr>
              <w:spacing w:after="0"/>
              <w:jc w:val="right"/>
              <w:rPr>
                <w:rFonts w:cs="Times New Roman" w:eastAsia="Times New Roman"/>
                <w:b/>
                <w:bCs/>
                <w:color w:val="000000"/>
                <w:lang w:eastAsia="hr-HR"/>
              </w:rPr>
            </w:pPr>
            <w:r>
              <w:rPr>
                <w:rFonts w:cs="Times New Roman" w:eastAsia="Times New Roman"/>
                <w:b/>
                <w:bCs/>
                <w:color w:val="000000"/>
                <w:lang w:eastAsia="hr-HR"/>
              </w:rPr>
              <w:t>19.912.894,00</w:t>
            </w:r>
          </w:p>
        </w:tc>
        <w:tc>
          <w:tcPr>
            <w:tcW w:type="dxa" w:w="1380"/>
            <w:tcBorders>
              <w:top w:val="nil"/>
              <w:left w:val="nil"/>
              <w:bottom w:space="0" w:sz="8" w:color="auto" w:val="single"/>
              <w:right w:space="0" w:sz="8" w:color="auto" w:val="single"/>
            </w:tcBorders>
            <w:hideMark/>
          </w:tcPr>
          <w:p w:rsidRDefault="00924162" w:rsidR="00924162">
            <w:pPr>
              <w:spacing w:after="0"/>
              <w:jc w:val="right"/>
              <w:rPr>
                <w:rFonts w:cs="Times New Roman" w:eastAsia="Times New Roman"/>
                <w:b/>
                <w:bCs/>
                <w:color w:val="000000"/>
                <w:lang w:eastAsia="hr-HR"/>
              </w:rPr>
            </w:pPr>
            <w:r>
              <w:rPr>
                <w:rFonts w:cs="Times New Roman" w:eastAsia="Times New Roman"/>
                <w:b/>
                <w:bCs/>
                <w:color w:val="000000"/>
                <w:lang w:eastAsia="hr-HR"/>
              </w:rPr>
              <w:t>854.680,00</w:t>
            </w:r>
          </w:p>
        </w:tc>
      </w:tr>
    </w:tbl>
    <w:p w:rsidRDefault="00924162" w:rsidP="00924162" w:rsidR="00924162">
      <w:pPr>
        <w:pStyle w:val="Odlomakpopisa"/>
        <w:spacing w:lineRule="auto" w:line="360"/>
        <w:rPr>
          <w:rFonts w:cs="Times New Roman"/>
          <w:lang w:eastAsia="en-US"/>
        </w:rPr>
      </w:pPr>
    </w:p>
    <w:p w:rsidRDefault="00924162" w:rsidP="00924162" w:rsidR="00924162">
      <w:pPr>
        <w:pStyle w:val="Odlomakpopisa"/>
        <w:spacing w:lineRule="auto" w:line="360"/>
        <w:rPr>
          <w:rFonts w:cs="Times New Roman"/>
        </w:rPr>
      </w:pPr>
    </w:p>
    <w:p w:rsidRDefault="00924162" w:rsidP="00924162" w:rsidR="00924162">
      <w:pPr>
        <w:pStyle w:val="Odlomakpopisa"/>
        <w:spacing w:lineRule="auto" w:line="360"/>
        <w:rPr>
          <w:rFonts w:cs="Times New Roman"/>
        </w:rPr>
      </w:pPr>
    </w:p>
    <w:p w:rsidRDefault="00924162" w:rsidP="00924162" w:rsidR="00924162">
      <w:pPr>
        <w:pStyle w:val="Odlomakpopisa"/>
        <w:spacing w:lineRule="auto" w:line="360"/>
        <w:rPr>
          <w:rFonts w:cs="Times New Roman"/>
        </w:rPr>
      </w:pPr>
    </w:p>
    <w:p w:rsidRDefault="00924162" w:rsidP="00924162" w:rsidR="00924162">
      <w:pPr>
        <w:pStyle w:val="Odlomakpopisa"/>
        <w:spacing w:lineRule="auto" w:line="360"/>
        <w:rPr>
          <w:rFonts w:cs="Times New Roman"/>
        </w:rPr>
      </w:pPr>
    </w:p>
    <w:p w:rsidRDefault="00924162" w:rsidP="00924162" w:rsidR="00924162">
      <w:pPr>
        <w:pStyle w:val="Odlomakpopisa"/>
        <w:spacing w:lineRule="auto" w:line="360"/>
        <w:rPr>
          <w:rFonts w:cs="Times New Roman"/>
        </w:rPr>
      </w:pPr>
    </w:p>
    <w:p w:rsidRDefault="00924162" w:rsidP="00924162" w:rsidR="00924162">
      <w:pPr>
        <w:pStyle w:val="Odlomakpopisa"/>
        <w:spacing w:lineRule="auto" w:line="360"/>
        <w:rPr>
          <w:rFonts w:cs="Times New Roman"/>
        </w:rPr>
      </w:pPr>
    </w:p>
    <w:p w:rsidRDefault="00924162" w:rsidP="00924162" w:rsidR="00924162">
      <w:pPr>
        <w:pStyle w:val="Odlomakpopisa"/>
        <w:spacing w:lineRule="auto" w:line="360"/>
        <w:rPr>
          <w:rFonts w:cs="Times New Roman"/>
        </w:rPr>
      </w:pPr>
    </w:p>
    <w:p w:rsidRDefault="00924162" w:rsidP="00924162" w:rsidR="00924162">
      <w:pPr>
        <w:pStyle w:val="Odlomakpopisa"/>
        <w:spacing w:lineRule="auto" w:line="360"/>
        <w:rPr>
          <w:rFonts w:cs="Times New Roman"/>
        </w:rPr>
      </w:pPr>
    </w:p>
    <w:p w:rsidRDefault="00924162" w:rsidP="00924162" w:rsidR="00924162">
      <w:pPr>
        <w:pStyle w:val="Odlomakpopisa"/>
        <w:spacing w:lineRule="auto" w:line="360"/>
        <w:rPr>
          <w:rFonts w:cs="Times New Roman"/>
        </w:rPr>
      </w:pPr>
    </w:p>
    <w:p w:rsidRDefault="00924162" w:rsidP="00924162" w:rsidR="00924162">
      <w:pPr>
        <w:pStyle w:val="Odlomakpopisa"/>
        <w:spacing w:lineRule="auto" w:line="360"/>
        <w:rPr>
          <w:rFonts w:cs="Times New Roman"/>
        </w:rPr>
      </w:pPr>
    </w:p>
    <w:p w:rsidRDefault="00924162" w:rsidP="00924162" w:rsidR="00924162">
      <w:pPr>
        <w:pStyle w:val="Odlomakpopisa"/>
        <w:spacing w:lineRule="auto" w:line="360"/>
        <w:rPr>
          <w:rFonts w:cs="Times New Roman"/>
        </w:rPr>
      </w:pPr>
    </w:p>
    <w:p w:rsidRDefault="00924162" w:rsidP="00924162" w:rsidR="00924162">
      <w:pPr>
        <w:pStyle w:val="Odlomakpopisa"/>
        <w:spacing w:lineRule="auto" w:line="360"/>
        <w:rPr>
          <w:rFonts w:cs="Times New Roman"/>
        </w:rPr>
      </w:pPr>
    </w:p>
    <w:p w:rsidRDefault="00924162" w:rsidP="00924162" w:rsidR="00924162">
      <w:pPr>
        <w:pStyle w:val="Odlomakpopisa"/>
        <w:spacing w:lineRule="auto" w:line="360"/>
        <w:rPr>
          <w:rFonts w:cs="Times New Roman"/>
        </w:rPr>
      </w:pPr>
    </w:p>
    <w:p w:rsidRDefault="00924162" w:rsidP="00924162" w:rsidR="00924162">
      <w:pPr>
        <w:pStyle w:val="Odlomakpopisa"/>
        <w:spacing w:lineRule="auto" w:line="360"/>
        <w:rPr>
          <w:rFonts w:cs="Times New Roman"/>
        </w:rPr>
      </w:pPr>
    </w:p>
    <w:p w:rsidRDefault="00924162" w:rsidP="00924162" w:rsidR="00924162">
      <w:pPr>
        <w:pStyle w:val="Naslov1"/>
        <w:rPr>
          <w:rFonts w:cs="Times New Roman"/>
          <w:sz w:val="24"/>
          <w:szCs w:val="24"/>
        </w:rPr>
      </w:pPr>
      <w:bookmarkStart w:name="_Toc432416061" w:id="43"/>
      <w:bookmarkStart w:name="_Toc458436252" w:id="44"/>
      <w:r>
        <w:rPr>
          <w:rFonts w:cs="Times New Roman"/>
          <w:sz w:val="24"/>
          <w:szCs w:val="24"/>
        </w:rPr>
        <w:t xml:space="preserve">7. </w:t>
      </w:r>
      <w:bookmarkEnd w:id="43"/>
      <w:r>
        <w:rPr>
          <w:rFonts w:cs="Times New Roman"/>
          <w:sz w:val="24"/>
          <w:szCs w:val="24"/>
        </w:rPr>
        <w:t>ANALIZA SVIH TRAŽBINA PREMA VISINI I VRSTI (TRAŽBINE RADNIKA I PRIJAŠNJIH DUŽNIKOVIH RADNIKA, IZLUČNA PRAVA, RAZLUČNA PRAVA, TRAŽBINE ZA KOJE SE VODI POSTUPAK, NEOSIGURANE TRAŽBINE I DRUGE TRAŽBINE)</w:t>
      </w:r>
      <w:bookmarkEnd w:id="44"/>
    </w:p>
    <w:p w:rsidRDefault="00924162" w:rsidP="00924162" w:rsidR="00924162">
      <w:pPr>
        <w:spacing w:lineRule="auto" w:line="360"/>
        <w:rPr>
          <w:rFonts w:cs="Times New Roman"/>
        </w:rPr>
      </w:pPr>
    </w:p>
    <w:p w:rsidRDefault="00924162" w:rsidP="00924162" w:rsidR="00924162">
      <w:pPr>
        <w:spacing w:lineRule="auto" w:line="360"/>
        <w:jc w:val="both"/>
        <w:rPr>
          <w:rFonts w:cs="Times New Roman"/>
        </w:rPr>
      </w:pPr>
      <w:r>
        <w:rPr>
          <w:rFonts w:cs="Times New Roman"/>
        </w:rPr>
        <w:t xml:space="preserve">I)   Ova </w:t>
      </w:r>
      <w:proofErr w:type="spellStart"/>
      <w:r>
        <w:rPr>
          <w:rFonts w:cs="Times New Roman"/>
        </w:rPr>
        <w:t>predstečajna</w:t>
      </w:r>
      <w:proofErr w:type="spellEnd"/>
      <w:r>
        <w:rPr>
          <w:rFonts w:cs="Times New Roman"/>
        </w:rPr>
        <w:t xml:space="preserve"> nagodba planira se sklopiti između dužnika  RATARSTVO d.o.o. (u daljnjem testu: dužnik)  i vjerovnika </w:t>
      </w:r>
      <w:proofErr w:type="spellStart"/>
      <w:r>
        <w:rPr>
          <w:rFonts w:cs="Times New Roman"/>
        </w:rPr>
        <w:t>predstečajne</w:t>
      </w:r>
      <w:proofErr w:type="spellEnd"/>
      <w:r>
        <w:rPr>
          <w:rFonts w:cs="Times New Roman"/>
        </w:rPr>
        <w:t xml:space="preserve"> nagodbe (u daljnjem tekstu vjerovnici) sa utvrđenim tražbinama kako slijedi:</w:t>
      </w:r>
    </w:p>
    <w:tbl>
      <w:tblPr>
        <w:tblW w:type="dxa" w:w="9850"/>
        <w:tblInd w:type="dxa" w:w="93"/>
        <w:tblLook w:val="04A0" w:noVBand="1" w:noHBand="0" w:lastColumn="0" w:firstColumn="1" w:lastRow="0" w:firstRow="1"/>
      </w:tblPr>
      <w:tblGrid>
        <w:gridCol w:w="554"/>
        <w:gridCol w:w="2789"/>
        <w:gridCol w:w="1555"/>
        <w:gridCol w:w="2551"/>
        <w:gridCol w:w="1492"/>
        <w:gridCol w:w="1221"/>
      </w:tblGrid>
      <w:tr w:rsidTr="00924162" w:rsidR="00924162">
        <w:trPr>
          <w:trHeight w:val="450"/>
        </w:trPr>
        <w:tc>
          <w:tcPr>
            <w:tcW w:type="dxa" w:w="554"/>
            <w:tcBorders>
              <w:top w:space="0" w:sz="4" w:color="auto" w:val="single"/>
              <w:left w:space="0" w:sz="4" w:color="auto" w:val="single"/>
              <w:bottom w:space="0" w:sz="4" w:color="auto" w:val="single"/>
              <w:right w:space="0" w:sz="4" w:color="auto" w:val="single"/>
            </w:tcBorders>
            <w:shd w:fill="E5E0EC" w:color="auto" w:val="clear"/>
            <w:noWrap/>
            <w:vAlign w:val="bottom"/>
            <w:hideMark/>
          </w:tcPr>
          <w:p w:rsidRDefault="00924162" w:rsidR="00924162">
            <w:pPr>
              <w:spacing w:after="0"/>
              <w:jc w:val="center"/>
              <w:rPr>
                <w:rFonts w:cs="Times New Roman" w:eastAsia="Times New Roman"/>
                <w:b/>
                <w:bCs/>
                <w:color w:val="000000"/>
                <w:sz w:val="16"/>
                <w:szCs w:val="16"/>
                <w:lang w:eastAsia="hr-HR"/>
              </w:rPr>
            </w:pPr>
            <w:r>
              <w:rPr>
                <w:rFonts w:cs="Times New Roman" w:eastAsia="Times New Roman"/>
                <w:b/>
                <w:bCs/>
                <w:color w:val="000000"/>
                <w:sz w:val="16"/>
                <w:szCs w:val="16"/>
                <w:lang w:eastAsia="hr-HR"/>
              </w:rPr>
              <w:t>RBR</w:t>
            </w:r>
          </w:p>
        </w:tc>
        <w:tc>
          <w:tcPr>
            <w:tcW w:type="dxa" w:w="2721"/>
            <w:tcBorders>
              <w:top w:space="0" w:sz="4" w:color="auto" w:val="single"/>
              <w:left w:val="nil"/>
              <w:bottom w:space="0" w:sz="4" w:color="auto" w:val="single"/>
              <w:right w:space="0" w:sz="4" w:color="auto" w:val="single"/>
            </w:tcBorders>
            <w:shd w:fill="E5E0EC" w:color="auto" w:val="clear"/>
            <w:vAlign w:val="bottom"/>
            <w:hideMark/>
          </w:tcPr>
          <w:p w:rsidRDefault="00924162" w:rsidR="00924162">
            <w:pPr>
              <w:spacing w:after="0"/>
              <w:jc w:val="center"/>
              <w:rPr>
                <w:rFonts w:cs="Times New Roman" w:eastAsia="Times New Roman"/>
                <w:b/>
                <w:bCs/>
                <w:color w:val="000000"/>
                <w:sz w:val="16"/>
                <w:szCs w:val="16"/>
                <w:lang w:eastAsia="hr-HR"/>
              </w:rPr>
            </w:pPr>
            <w:r>
              <w:rPr>
                <w:rFonts w:cs="Times New Roman" w:eastAsia="Times New Roman"/>
                <w:b/>
                <w:bCs/>
                <w:color w:val="000000"/>
                <w:sz w:val="16"/>
                <w:szCs w:val="16"/>
                <w:lang w:eastAsia="hr-HR"/>
              </w:rPr>
              <w:t>NAZIV VJEROVNIKA</w:t>
            </w:r>
          </w:p>
        </w:tc>
        <w:tc>
          <w:tcPr>
            <w:tcW w:type="dxa" w:w="1417"/>
            <w:tcBorders>
              <w:top w:space="0" w:sz="4" w:color="auto" w:val="single"/>
              <w:left w:val="nil"/>
              <w:bottom w:space="0" w:sz="4" w:color="auto" w:val="single"/>
              <w:right w:space="0" w:sz="4" w:color="auto" w:val="single"/>
            </w:tcBorders>
            <w:shd w:fill="E5E0EC" w:color="auto" w:val="clear"/>
            <w:vAlign w:val="bottom"/>
            <w:hideMark/>
          </w:tcPr>
          <w:p w:rsidRDefault="00924162" w:rsidR="00924162">
            <w:pPr>
              <w:spacing w:after="0"/>
              <w:jc w:val="center"/>
              <w:rPr>
                <w:rFonts w:cs="Times New Roman" w:eastAsia="Times New Roman"/>
                <w:b/>
                <w:bCs/>
                <w:color w:val="000000"/>
                <w:sz w:val="16"/>
                <w:szCs w:val="16"/>
                <w:lang w:eastAsia="hr-HR"/>
              </w:rPr>
            </w:pPr>
            <w:r>
              <w:rPr>
                <w:rFonts w:cs="Times New Roman" w:eastAsia="Times New Roman"/>
                <w:b/>
                <w:bCs/>
                <w:color w:val="000000"/>
                <w:sz w:val="16"/>
                <w:szCs w:val="16"/>
                <w:lang w:eastAsia="hr-HR"/>
              </w:rPr>
              <w:t>OIB</w:t>
            </w:r>
          </w:p>
        </w:tc>
        <w:tc>
          <w:tcPr>
            <w:tcW w:type="dxa" w:w="2551"/>
            <w:tcBorders>
              <w:top w:space="0" w:sz="4" w:color="auto" w:val="single"/>
              <w:left w:val="nil"/>
              <w:bottom w:space="0" w:sz="4" w:color="auto" w:val="single"/>
              <w:right w:space="0" w:sz="4" w:color="auto" w:val="single"/>
            </w:tcBorders>
            <w:shd w:fill="E5E0EC" w:color="auto" w:val="clear"/>
            <w:vAlign w:val="bottom"/>
            <w:hideMark/>
          </w:tcPr>
          <w:p w:rsidRDefault="00924162" w:rsidR="00924162">
            <w:pPr>
              <w:spacing w:after="0"/>
              <w:jc w:val="center"/>
              <w:rPr>
                <w:rFonts w:cs="Times New Roman" w:eastAsia="Times New Roman"/>
                <w:b/>
                <w:bCs/>
                <w:color w:val="000000"/>
                <w:sz w:val="16"/>
                <w:szCs w:val="16"/>
                <w:lang w:eastAsia="hr-HR"/>
              </w:rPr>
            </w:pPr>
            <w:r>
              <w:rPr>
                <w:rFonts w:cs="Times New Roman" w:eastAsia="Times New Roman"/>
                <w:b/>
                <w:bCs/>
                <w:color w:val="000000"/>
                <w:sz w:val="16"/>
                <w:szCs w:val="16"/>
                <w:lang w:eastAsia="hr-HR"/>
              </w:rPr>
              <w:t>ADRESA</w:t>
            </w:r>
          </w:p>
        </w:tc>
        <w:tc>
          <w:tcPr>
            <w:tcW w:type="dxa" w:w="1386"/>
            <w:tcBorders>
              <w:top w:space="0" w:sz="4" w:color="auto" w:val="single"/>
              <w:left w:val="nil"/>
              <w:bottom w:space="0" w:sz="4" w:color="auto" w:val="single"/>
              <w:right w:space="0" w:sz="4" w:color="auto" w:val="single"/>
            </w:tcBorders>
            <w:shd w:fill="E5E0EC" w:color="auto" w:val="clear"/>
            <w:vAlign w:val="bottom"/>
            <w:hideMark/>
          </w:tcPr>
          <w:p w:rsidRDefault="00924162" w:rsidR="00924162">
            <w:pPr>
              <w:spacing w:after="0"/>
              <w:jc w:val="center"/>
              <w:rPr>
                <w:rFonts w:cs="Times New Roman" w:eastAsia="Times New Roman"/>
                <w:b/>
                <w:bCs/>
                <w:color w:val="000000"/>
                <w:sz w:val="16"/>
                <w:szCs w:val="16"/>
                <w:lang w:eastAsia="hr-HR"/>
              </w:rPr>
            </w:pPr>
            <w:r>
              <w:rPr>
                <w:rFonts w:cs="Times New Roman" w:eastAsia="Times New Roman"/>
                <w:b/>
                <w:bCs/>
                <w:color w:val="000000"/>
                <w:sz w:val="16"/>
                <w:szCs w:val="16"/>
                <w:lang w:eastAsia="hr-HR"/>
              </w:rPr>
              <w:t>IZNOS</w:t>
            </w:r>
          </w:p>
        </w:tc>
        <w:tc>
          <w:tcPr>
            <w:tcW w:type="dxa" w:w="1221"/>
            <w:tcBorders>
              <w:top w:space="0" w:sz="4" w:color="auto" w:val="single"/>
              <w:left w:val="nil"/>
              <w:bottom w:space="0" w:sz="4" w:color="auto" w:val="single"/>
              <w:right w:space="0" w:sz="4" w:color="auto" w:val="single"/>
            </w:tcBorders>
            <w:shd w:fill="E5E0EC" w:color="auto" w:val="clear"/>
            <w:vAlign w:val="bottom"/>
            <w:hideMark/>
          </w:tcPr>
          <w:p w:rsidRDefault="00924162" w:rsidR="00924162">
            <w:pPr>
              <w:spacing w:after="0"/>
              <w:jc w:val="center"/>
              <w:rPr>
                <w:rFonts w:cs="Times New Roman" w:eastAsia="Times New Roman"/>
                <w:b/>
                <w:bCs/>
                <w:color w:val="000000"/>
                <w:sz w:val="16"/>
                <w:szCs w:val="16"/>
                <w:lang w:eastAsia="hr-HR"/>
              </w:rPr>
            </w:pPr>
            <w:r>
              <w:rPr>
                <w:rFonts w:cs="Times New Roman" w:eastAsia="Times New Roman"/>
                <w:b/>
                <w:bCs/>
                <w:color w:val="000000"/>
                <w:sz w:val="16"/>
                <w:szCs w:val="16"/>
                <w:lang w:eastAsia="hr-HR"/>
              </w:rPr>
              <w:t>STRUKTURA (%)</w:t>
            </w:r>
          </w:p>
        </w:tc>
      </w:tr>
      <w:tr w:rsidTr="00924162" w:rsidR="00924162">
        <w:trPr>
          <w:trHeight w:val="300"/>
        </w:trPr>
        <w:tc>
          <w:tcPr>
            <w:tcW w:type="dxa" w:w="554"/>
            <w:tcBorders>
              <w:top w:val="nil"/>
              <w:left w:space="0" w:sz="4" w:color="auto" w:val="single"/>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w:t>
            </w:r>
          </w:p>
        </w:tc>
        <w:tc>
          <w:tcPr>
            <w:tcW w:type="dxa" w:w="2721"/>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AGROPROJEKT d.o.o.</w:t>
            </w:r>
          </w:p>
        </w:tc>
        <w:tc>
          <w:tcPr>
            <w:tcW w:type="dxa" w:w="1417"/>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31999338764</w:t>
            </w:r>
          </w:p>
        </w:tc>
        <w:tc>
          <w:tcPr>
            <w:tcW w:type="dxa" w:w="2551"/>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47 000 Karlovac, Banija 130</w:t>
            </w:r>
          </w:p>
        </w:tc>
        <w:tc>
          <w:tcPr>
            <w:tcW w:type="dxa" w:w="138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22.750,00</w:t>
            </w:r>
          </w:p>
        </w:tc>
        <w:tc>
          <w:tcPr>
            <w:tcW w:type="dxa" w:w="1221"/>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1,41%</w:t>
            </w:r>
          </w:p>
        </w:tc>
      </w:tr>
      <w:tr w:rsidTr="00924162" w:rsidR="00924162">
        <w:trPr>
          <w:trHeight w:val="300"/>
        </w:trPr>
        <w:tc>
          <w:tcPr>
            <w:tcW w:type="dxa" w:w="554"/>
            <w:tcBorders>
              <w:top w:val="nil"/>
              <w:left w:space="0" w:sz="4" w:color="auto" w:val="single"/>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2.</w:t>
            </w:r>
          </w:p>
        </w:tc>
        <w:tc>
          <w:tcPr>
            <w:tcW w:type="dxa" w:w="2721"/>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DIMNJAČARSKI OBRT, VL. ZDRAVKO JANKOVIĆ,</w:t>
            </w:r>
          </w:p>
        </w:tc>
        <w:tc>
          <w:tcPr>
            <w:tcW w:type="dxa" w:w="1417"/>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39891406813</w:t>
            </w:r>
          </w:p>
        </w:tc>
        <w:tc>
          <w:tcPr>
            <w:tcW w:type="dxa" w:w="2551"/>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43 000 Ciglena, Ciglena 185a</w:t>
            </w:r>
          </w:p>
        </w:tc>
        <w:tc>
          <w:tcPr>
            <w:tcW w:type="dxa" w:w="138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122,00</w:t>
            </w:r>
          </w:p>
        </w:tc>
        <w:tc>
          <w:tcPr>
            <w:tcW w:type="dxa" w:w="1221"/>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0,01%</w:t>
            </w:r>
          </w:p>
        </w:tc>
      </w:tr>
      <w:tr w:rsidTr="00924162" w:rsidR="00924162">
        <w:trPr>
          <w:trHeight w:val="300"/>
        </w:trPr>
        <w:tc>
          <w:tcPr>
            <w:tcW w:type="dxa" w:w="554"/>
            <w:tcBorders>
              <w:top w:val="nil"/>
              <w:left w:space="0" w:sz="4" w:color="auto" w:val="single"/>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3.</w:t>
            </w:r>
          </w:p>
        </w:tc>
        <w:tc>
          <w:tcPr>
            <w:tcW w:type="dxa" w:w="2721"/>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ERSTE&amp;STEIERMÄRKISCHE BANK d. d.</w:t>
            </w:r>
          </w:p>
        </w:tc>
        <w:tc>
          <w:tcPr>
            <w:tcW w:type="dxa" w:w="1417"/>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23057039320</w:t>
            </w:r>
          </w:p>
        </w:tc>
        <w:tc>
          <w:tcPr>
            <w:tcW w:type="dxa" w:w="2551"/>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51 000 Rijeka, Jadranski trg 3</w:t>
            </w:r>
          </w:p>
        </w:tc>
        <w:tc>
          <w:tcPr>
            <w:tcW w:type="dxa" w:w="138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262,22</w:t>
            </w:r>
          </w:p>
        </w:tc>
        <w:tc>
          <w:tcPr>
            <w:tcW w:type="dxa" w:w="1221"/>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0,02%</w:t>
            </w:r>
          </w:p>
        </w:tc>
      </w:tr>
      <w:tr w:rsidTr="00924162" w:rsidR="00924162">
        <w:trPr>
          <w:trHeight w:val="300"/>
        </w:trPr>
        <w:tc>
          <w:tcPr>
            <w:tcW w:type="dxa" w:w="554"/>
            <w:tcBorders>
              <w:top w:val="nil"/>
              <w:left w:space="0" w:sz="4" w:color="auto" w:val="single"/>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w:t>
            </w:r>
          </w:p>
        </w:tc>
        <w:tc>
          <w:tcPr>
            <w:tcW w:type="dxa" w:w="2721"/>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GRAD BJELOVAR</w:t>
            </w:r>
          </w:p>
        </w:tc>
        <w:tc>
          <w:tcPr>
            <w:tcW w:type="dxa" w:w="1417"/>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18970641692</w:t>
            </w:r>
          </w:p>
        </w:tc>
        <w:tc>
          <w:tcPr>
            <w:tcW w:type="dxa" w:w="2551"/>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43 000 Bjelovar, Trg Eugena Kvaternika 2</w:t>
            </w:r>
          </w:p>
        </w:tc>
        <w:tc>
          <w:tcPr>
            <w:tcW w:type="dxa" w:w="138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637,35</w:t>
            </w:r>
          </w:p>
        </w:tc>
        <w:tc>
          <w:tcPr>
            <w:tcW w:type="dxa" w:w="1221"/>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0,04%</w:t>
            </w:r>
          </w:p>
        </w:tc>
      </w:tr>
      <w:tr w:rsidTr="00924162" w:rsidR="00924162">
        <w:trPr>
          <w:trHeight w:val="300"/>
        </w:trPr>
        <w:tc>
          <w:tcPr>
            <w:tcW w:type="dxa" w:w="554"/>
            <w:tcBorders>
              <w:top w:val="nil"/>
              <w:left w:space="0" w:sz="4" w:color="auto" w:val="single"/>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5.</w:t>
            </w:r>
          </w:p>
        </w:tc>
        <w:tc>
          <w:tcPr>
            <w:tcW w:type="dxa" w:w="2721"/>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HEP-Operator distribucijskog sustava d.o.o.</w:t>
            </w:r>
          </w:p>
        </w:tc>
        <w:tc>
          <w:tcPr>
            <w:tcW w:type="dxa" w:w="1417"/>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46830600751</w:t>
            </w:r>
          </w:p>
        </w:tc>
        <w:tc>
          <w:tcPr>
            <w:tcW w:type="dxa" w:w="2551"/>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10 000 Zagreb, Ulica grada Vukovara 37</w:t>
            </w:r>
          </w:p>
        </w:tc>
        <w:tc>
          <w:tcPr>
            <w:tcW w:type="dxa" w:w="138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1.804,15</w:t>
            </w:r>
          </w:p>
        </w:tc>
        <w:tc>
          <w:tcPr>
            <w:tcW w:type="dxa" w:w="1221"/>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0,11%</w:t>
            </w:r>
          </w:p>
        </w:tc>
      </w:tr>
      <w:tr w:rsidTr="00924162" w:rsidR="00924162">
        <w:trPr>
          <w:trHeight w:val="300"/>
        </w:trPr>
        <w:tc>
          <w:tcPr>
            <w:tcW w:type="dxa" w:w="554"/>
            <w:tcBorders>
              <w:top w:val="nil"/>
              <w:left w:space="0" w:sz="4" w:color="auto" w:val="single"/>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6.</w:t>
            </w:r>
          </w:p>
        </w:tc>
        <w:tc>
          <w:tcPr>
            <w:tcW w:type="dxa" w:w="2721"/>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HEP-Opskrba d.o.o.</w:t>
            </w:r>
          </w:p>
        </w:tc>
        <w:tc>
          <w:tcPr>
            <w:tcW w:type="dxa" w:w="1417"/>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63073332379</w:t>
            </w:r>
          </w:p>
        </w:tc>
        <w:tc>
          <w:tcPr>
            <w:tcW w:type="dxa" w:w="2551"/>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10 000 Zagreb, Ulica grada Vukovara 37</w:t>
            </w:r>
          </w:p>
        </w:tc>
        <w:tc>
          <w:tcPr>
            <w:tcW w:type="dxa" w:w="138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845,03</w:t>
            </w:r>
          </w:p>
        </w:tc>
        <w:tc>
          <w:tcPr>
            <w:tcW w:type="dxa" w:w="1221"/>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0,05%</w:t>
            </w:r>
          </w:p>
        </w:tc>
      </w:tr>
      <w:tr w:rsidTr="00924162" w:rsidR="00924162">
        <w:trPr>
          <w:trHeight w:val="300"/>
        </w:trPr>
        <w:tc>
          <w:tcPr>
            <w:tcW w:type="dxa" w:w="554"/>
            <w:tcBorders>
              <w:top w:val="nil"/>
              <w:left w:space="0" w:sz="4" w:color="auto" w:val="single"/>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7.</w:t>
            </w:r>
          </w:p>
        </w:tc>
        <w:tc>
          <w:tcPr>
            <w:tcW w:type="dxa" w:w="2721"/>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HIDROREGULACIJA d.d.</w:t>
            </w:r>
          </w:p>
        </w:tc>
        <w:tc>
          <w:tcPr>
            <w:tcW w:type="dxa" w:w="1417"/>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54088531631</w:t>
            </w:r>
          </w:p>
        </w:tc>
        <w:tc>
          <w:tcPr>
            <w:tcW w:type="dxa" w:w="2551"/>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43 000 Bjelovar, Vatroslava Lisinskog 4</w:t>
            </w:r>
          </w:p>
        </w:tc>
        <w:tc>
          <w:tcPr>
            <w:tcW w:type="dxa" w:w="138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113,93</w:t>
            </w:r>
          </w:p>
        </w:tc>
        <w:tc>
          <w:tcPr>
            <w:tcW w:type="dxa" w:w="1221"/>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0,01%</w:t>
            </w:r>
          </w:p>
        </w:tc>
      </w:tr>
      <w:tr w:rsidTr="00924162" w:rsidR="00924162">
        <w:trPr>
          <w:trHeight w:val="300"/>
        </w:trPr>
        <w:tc>
          <w:tcPr>
            <w:tcW w:type="dxa" w:w="554"/>
            <w:tcBorders>
              <w:top w:val="nil"/>
              <w:left w:space="0" w:sz="4" w:color="auto" w:val="single"/>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lastRenderedPageBreak/>
              <w:t>8.</w:t>
            </w:r>
          </w:p>
        </w:tc>
        <w:tc>
          <w:tcPr>
            <w:tcW w:type="dxa" w:w="2721"/>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JAVNI BILJEŽNIK MARIJA KUSTIĆ</w:t>
            </w:r>
          </w:p>
        </w:tc>
        <w:tc>
          <w:tcPr>
            <w:tcW w:type="dxa" w:w="1417"/>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26027300253</w:t>
            </w:r>
          </w:p>
        </w:tc>
        <w:tc>
          <w:tcPr>
            <w:tcW w:type="dxa" w:w="2551"/>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43 000 Bjelovar, Dr. Ante Starčevića 5b</w:t>
            </w:r>
          </w:p>
        </w:tc>
        <w:tc>
          <w:tcPr>
            <w:tcW w:type="dxa" w:w="138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597,50</w:t>
            </w:r>
          </w:p>
        </w:tc>
        <w:tc>
          <w:tcPr>
            <w:tcW w:type="dxa" w:w="1221"/>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0,04%</w:t>
            </w:r>
          </w:p>
        </w:tc>
      </w:tr>
      <w:tr w:rsidTr="00924162" w:rsidR="00924162">
        <w:trPr>
          <w:trHeight w:val="300"/>
        </w:trPr>
        <w:tc>
          <w:tcPr>
            <w:tcW w:type="dxa" w:w="554"/>
            <w:tcBorders>
              <w:top w:val="nil"/>
              <w:left w:space="0" w:sz="4" w:color="auto" w:val="single"/>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9.</w:t>
            </w:r>
          </w:p>
        </w:tc>
        <w:tc>
          <w:tcPr>
            <w:tcW w:type="dxa" w:w="2721"/>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JAVNI BILJEŽNIK MARTINA DUJMOVIĆ</w:t>
            </w:r>
          </w:p>
        </w:tc>
        <w:tc>
          <w:tcPr>
            <w:tcW w:type="dxa" w:w="1417"/>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36676911716</w:t>
            </w:r>
          </w:p>
        </w:tc>
        <w:tc>
          <w:tcPr>
            <w:tcW w:type="dxa" w:w="2551"/>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43 000 Bjelovar, Petra Preradovića 8/1</w:t>
            </w:r>
          </w:p>
        </w:tc>
        <w:tc>
          <w:tcPr>
            <w:tcW w:type="dxa" w:w="138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355,00</w:t>
            </w:r>
          </w:p>
        </w:tc>
        <w:tc>
          <w:tcPr>
            <w:tcW w:type="dxa" w:w="1221"/>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0,02%</w:t>
            </w:r>
          </w:p>
        </w:tc>
      </w:tr>
      <w:tr w:rsidTr="00924162" w:rsidR="00924162">
        <w:trPr>
          <w:trHeight w:val="300"/>
        </w:trPr>
        <w:tc>
          <w:tcPr>
            <w:tcW w:type="dxa" w:w="554"/>
            <w:tcBorders>
              <w:top w:val="nil"/>
              <w:left w:space="0" w:sz="4" w:color="auto" w:val="single"/>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10.</w:t>
            </w:r>
          </w:p>
        </w:tc>
        <w:tc>
          <w:tcPr>
            <w:tcW w:type="dxa" w:w="2721"/>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KOMUNALAC d.o.o.</w:t>
            </w:r>
          </w:p>
        </w:tc>
        <w:tc>
          <w:tcPr>
            <w:tcW w:type="dxa" w:w="1417"/>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27962400486</w:t>
            </w:r>
          </w:p>
        </w:tc>
        <w:tc>
          <w:tcPr>
            <w:tcW w:type="dxa" w:w="2551"/>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43 000 Bjelovar, Ferde Livadića 14a</w:t>
            </w:r>
          </w:p>
        </w:tc>
        <w:tc>
          <w:tcPr>
            <w:tcW w:type="dxa" w:w="138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1.514,61</w:t>
            </w:r>
          </w:p>
        </w:tc>
        <w:tc>
          <w:tcPr>
            <w:tcW w:type="dxa" w:w="1221"/>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0,09%</w:t>
            </w:r>
          </w:p>
        </w:tc>
      </w:tr>
      <w:tr w:rsidTr="00924162" w:rsidR="00924162">
        <w:trPr>
          <w:trHeight w:val="300"/>
        </w:trPr>
        <w:tc>
          <w:tcPr>
            <w:tcW w:type="dxa" w:w="554"/>
            <w:tcBorders>
              <w:top w:val="nil"/>
              <w:left w:space="0" w:sz="4" w:color="auto" w:val="single"/>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11.</w:t>
            </w:r>
          </w:p>
        </w:tc>
        <w:tc>
          <w:tcPr>
            <w:tcW w:type="dxa" w:w="2721"/>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MAJCAN VETERINARSKA AMBULANTA d.o.o.</w:t>
            </w:r>
          </w:p>
        </w:tc>
        <w:tc>
          <w:tcPr>
            <w:tcW w:type="dxa" w:w="1417"/>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56492483135</w:t>
            </w:r>
          </w:p>
        </w:tc>
        <w:tc>
          <w:tcPr>
            <w:tcW w:type="dxa" w:w="2551"/>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43 000 Bjelovar, Krste Frankopana 38</w:t>
            </w:r>
          </w:p>
        </w:tc>
        <w:tc>
          <w:tcPr>
            <w:tcW w:type="dxa" w:w="138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690,30</w:t>
            </w:r>
          </w:p>
        </w:tc>
        <w:tc>
          <w:tcPr>
            <w:tcW w:type="dxa" w:w="1221"/>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0,04%</w:t>
            </w:r>
          </w:p>
        </w:tc>
      </w:tr>
      <w:tr w:rsidTr="00924162" w:rsidR="00924162">
        <w:trPr>
          <w:trHeight w:val="300"/>
        </w:trPr>
        <w:tc>
          <w:tcPr>
            <w:tcW w:type="dxa" w:w="554"/>
            <w:tcBorders>
              <w:top w:val="nil"/>
              <w:left w:space="0" w:sz="4" w:color="auto" w:val="single"/>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12.</w:t>
            </w:r>
          </w:p>
        </w:tc>
        <w:tc>
          <w:tcPr>
            <w:tcW w:type="dxa" w:w="2721"/>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MINISTARSTVO FINANCIJA - POREZNA UPRAVA</w:t>
            </w:r>
          </w:p>
        </w:tc>
        <w:tc>
          <w:tcPr>
            <w:tcW w:type="dxa" w:w="1417"/>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18683136487</w:t>
            </w:r>
          </w:p>
        </w:tc>
        <w:tc>
          <w:tcPr>
            <w:tcW w:type="dxa" w:w="2551"/>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43 000 Bjelovar, dr. A. Starčevića 8</w:t>
            </w:r>
          </w:p>
        </w:tc>
        <w:tc>
          <w:tcPr>
            <w:tcW w:type="dxa" w:w="138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19.300,00</w:t>
            </w:r>
          </w:p>
        </w:tc>
        <w:tc>
          <w:tcPr>
            <w:tcW w:type="dxa" w:w="1221"/>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1,20%</w:t>
            </w:r>
          </w:p>
        </w:tc>
      </w:tr>
      <w:tr w:rsidTr="00924162" w:rsidR="00924162">
        <w:trPr>
          <w:trHeight w:val="300"/>
        </w:trPr>
        <w:tc>
          <w:tcPr>
            <w:tcW w:type="dxa" w:w="554"/>
            <w:tcBorders>
              <w:top w:val="nil"/>
              <w:left w:space="0" w:sz="4" w:color="auto" w:val="single"/>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13.</w:t>
            </w:r>
          </w:p>
        </w:tc>
        <w:tc>
          <w:tcPr>
            <w:tcW w:type="dxa" w:w="2721"/>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OPĆINA VELIKA PISANICA</w:t>
            </w:r>
          </w:p>
        </w:tc>
        <w:tc>
          <w:tcPr>
            <w:tcW w:type="dxa" w:w="1417"/>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18872765530</w:t>
            </w:r>
          </w:p>
        </w:tc>
        <w:tc>
          <w:tcPr>
            <w:tcW w:type="dxa" w:w="2551"/>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43 271 Velika Pisanica, Trg hrvatskih branitelja 3</w:t>
            </w:r>
          </w:p>
        </w:tc>
        <w:tc>
          <w:tcPr>
            <w:tcW w:type="dxa" w:w="138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7.991,00</w:t>
            </w:r>
          </w:p>
        </w:tc>
        <w:tc>
          <w:tcPr>
            <w:tcW w:type="dxa" w:w="1221"/>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0,50%</w:t>
            </w:r>
          </w:p>
        </w:tc>
      </w:tr>
      <w:tr w:rsidTr="00924162" w:rsidR="00924162">
        <w:trPr>
          <w:trHeight w:val="300"/>
        </w:trPr>
        <w:tc>
          <w:tcPr>
            <w:tcW w:type="dxa" w:w="554"/>
            <w:tcBorders>
              <w:top w:val="nil"/>
              <w:left w:space="0" w:sz="4" w:color="auto" w:val="single"/>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14.</w:t>
            </w:r>
          </w:p>
        </w:tc>
        <w:tc>
          <w:tcPr>
            <w:tcW w:type="dxa" w:w="2721"/>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QUALIA POSLOVNA RJEŠENJA d.o.o.</w:t>
            </w:r>
          </w:p>
        </w:tc>
        <w:tc>
          <w:tcPr>
            <w:tcW w:type="dxa" w:w="1417"/>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39031322823</w:t>
            </w:r>
          </w:p>
        </w:tc>
        <w:tc>
          <w:tcPr>
            <w:tcW w:type="dxa" w:w="2551"/>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10 000 Zagreb, Lastovska 23</w:t>
            </w:r>
          </w:p>
        </w:tc>
        <w:tc>
          <w:tcPr>
            <w:tcW w:type="dxa" w:w="138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12.156,50</w:t>
            </w:r>
          </w:p>
        </w:tc>
        <w:tc>
          <w:tcPr>
            <w:tcW w:type="dxa" w:w="1221"/>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0,75%</w:t>
            </w:r>
          </w:p>
        </w:tc>
      </w:tr>
      <w:tr w:rsidTr="00924162" w:rsidR="00924162">
        <w:trPr>
          <w:trHeight w:val="300"/>
        </w:trPr>
        <w:tc>
          <w:tcPr>
            <w:tcW w:type="dxa" w:w="554"/>
            <w:tcBorders>
              <w:top w:val="nil"/>
              <w:left w:space="0" w:sz="4" w:color="auto" w:val="single"/>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15.</w:t>
            </w:r>
          </w:p>
        </w:tc>
        <w:tc>
          <w:tcPr>
            <w:tcW w:type="dxa" w:w="2721"/>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proofErr w:type="spellStart"/>
            <w:r>
              <w:rPr>
                <w:rFonts w:cs="Times New Roman" w:eastAsia="Times New Roman" w:hAnsi="Calibri" w:ascii="Calibri"/>
                <w:color w:val="000000"/>
                <w:lang w:eastAsia="hr-HR"/>
              </w:rPr>
              <w:t>Syngenta</w:t>
            </w:r>
            <w:proofErr w:type="spellEnd"/>
            <w:r>
              <w:rPr>
                <w:rFonts w:cs="Times New Roman" w:eastAsia="Times New Roman" w:hAnsi="Calibri" w:ascii="Calibri"/>
                <w:color w:val="000000"/>
                <w:lang w:eastAsia="hr-HR"/>
              </w:rPr>
              <w:t xml:space="preserve"> </w:t>
            </w:r>
            <w:proofErr w:type="spellStart"/>
            <w:r>
              <w:rPr>
                <w:rFonts w:cs="Times New Roman" w:eastAsia="Times New Roman" w:hAnsi="Calibri" w:ascii="Calibri"/>
                <w:color w:val="000000"/>
                <w:lang w:eastAsia="hr-HR"/>
              </w:rPr>
              <w:t>Agro</w:t>
            </w:r>
            <w:proofErr w:type="spellEnd"/>
            <w:r>
              <w:rPr>
                <w:rFonts w:cs="Times New Roman" w:eastAsia="Times New Roman" w:hAnsi="Calibri" w:ascii="Calibri"/>
                <w:color w:val="000000"/>
                <w:lang w:eastAsia="hr-HR"/>
              </w:rPr>
              <w:t xml:space="preserve"> d.o.o.</w:t>
            </w:r>
          </w:p>
        </w:tc>
        <w:tc>
          <w:tcPr>
            <w:tcW w:type="dxa" w:w="1417"/>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20226779781</w:t>
            </w:r>
          </w:p>
        </w:tc>
        <w:tc>
          <w:tcPr>
            <w:tcW w:type="dxa" w:w="2551"/>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10 000 Zagreb, Samoborska cesta 147</w:t>
            </w:r>
          </w:p>
        </w:tc>
        <w:tc>
          <w:tcPr>
            <w:tcW w:type="dxa" w:w="138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96.822,00</w:t>
            </w:r>
          </w:p>
        </w:tc>
        <w:tc>
          <w:tcPr>
            <w:tcW w:type="dxa" w:w="1221"/>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6,00%</w:t>
            </w:r>
          </w:p>
        </w:tc>
      </w:tr>
      <w:tr w:rsidTr="00924162" w:rsidR="00924162">
        <w:trPr>
          <w:trHeight w:val="300"/>
        </w:trPr>
        <w:tc>
          <w:tcPr>
            <w:tcW w:type="dxa" w:w="554"/>
            <w:tcBorders>
              <w:top w:val="nil"/>
              <w:left w:space="0" w:sz="4" w:color="auto" w:val="single"/>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16.</w:t>
            </w:r>
          </w:p>
        </w:tc>
        <w:tc>
          <w:tcPr>
            <w:tcW w:type="dxa" w:w="2721"/>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proofErr w:type="spellStart"/>
            <w:r>
              <w:rPr>
                <w:rFonts w:cs="Times New Roman" w:eastAsia="Times New Roman" w:hAnsi="Calibri" w:ascii="Calibri"/>
                <w:color w:val="000000"/>
                <w:lang w:eastAsia="hr-HR"/>
              </w:rPr>
              <w:t>Timac</w:t>
            </w:r>
            <w:proofErr w:type="spellEnd"/>
            <w:r>
              <w:rPr>
                <w:rFonts w:cs="Times New Roman" w:eastAsia="Times New Roman" w:hAnsi="Calibri" w:ascii="Calibri"/>
                <w:color w:val="000000"/>
                <w:lang w:eastAsia="hr-HR"/>
              </w:rPr>
              <w:t xml:space="preserve"> </w:t>
            </w:r>
            <w:proofErr w:type="spellStart"/>
            <w:r>
              <w:rPr>
                <w:rFonts w:cs="Times New Roman" w:eastAsia="Times New Roman" w:hAnsi="Calibri" w:ascii="Calibri"/>
                <w:color w:val="000000"/>
                <w:lang w:eastAsia="hr-HR"/>
              </w:rPr>
              <w:t>Agro</w:t>
            </w:r>
            <w:proofErr w:type="spellEnd"/>
            <w:r>
              <w:rPr>
                <w:rFonts w:cs="Times New Roman" w:eastAsia="Times New Roman" w:hAnsi="Calibri" w:ascii="Calibri"/>
                <w:color w:val="000000"/>
                <w:lang w:eastAsia="hr-HR"/>
              </w:rPr>
              <w:t xml:space="preserve"> d.o.o.</w:t>
            </w:r>
          </w:p>
        </w:tc>
        <w:tc>
          <w:tcPr>
            <w:tcW w:type="dxa" w:w="1417"/>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18901646767</w:t>
            </w:r>
          </w:p>
        </w:tc>
        <w:tc>
          <w:tcPr>
            <w:tcW w:type="dxa" w:w="2551"/>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10 000 Zagreb, Rapska 46</w:t>
            </w:r>
          </w:p>
        </w:tc>
        <w:tc>
          <w:tcPr>
            <w:tcW w:type="dxa" w:w="138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751.317,90</w:t>
            </w:r>
          </w:p>
        </w:tc>
        <w:tc>
          <w:tcPr>
            <w:tcW w:type="dxa" w:w="1221"/>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46,58%</w:t>
            </w:r>
          </w:p>
        </w:tc>
      </w:tr>
      <w:tr w:rsidTr="00924162" w:rsidR="00924162">
        <w:trPr>
          <w:trHeight w:val="300"/>
        </w:trPr>
        <w:tc>
          <w:tcPr>
            <w:tcW w:type="dxa" w:w="554"/>
            <w:tcBorders>
              <w:top w:val="nil"/>
              <w:left w:space="0" w:sz="4" w:color="auto" w:val="single"/>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17.</w:t>
            </w:r>
          </w:p>
        </w:tc>
        <w:tc>
          <w:tcPr>
            <w:tcW w:type="dxa" w:w="2721"/>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TINAL d. o. o.</w:t>
            </w:r>
          </w:p>
        </w:tc>
        <w:tc>
          <w:tcPr>
            <w:tcW w:type="dxa" w:w="1417"/>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99404444555</w:t>
            </w:r>
          </w:p>
        </w:tc>
        <w:tc>
          <w:tcPr>
            <w:tcW w:type="dxa" w:w="2551"/>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52 000 Pazin, Hrvatskog narodnog preporoda 1</w:t>
            </w:r>
          </w:p>
        </w:tc>
        <w:tc>
          <w:tcPr>
            <w:tcW w:type="dxa" w:w="138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3.013,22</w:t>
            </w:r>
          </w:p>
        </w:tc>
        <w:tc>
          <w:tcPr>
            <w:tcW w:type="dxa" w:w="1221"/>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0,19%</w:t>
            </w:r>
          </w:p>
        </w:tc>
      </w:tr>
      <w:tr w:rsidTr="00924162" w:rsidR="00924162">
        <w:trPr>
          <w:trHeight w:val="300"/>
        </w:trPr>
        <w:tc>
          <w:tcPr>
            <w:tcW w:type="dxa" w:w="554"/>
            <w:tcBorders>
              <w:top w:val="nil"/>
              <w:left w:space="0" w:sz="4" w:color="auto" w:val="single"/>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18.</w:t>
            </w:r>
          </w:p>
        </w:tc>
        <w:tc>
          <w:tcPr>
            <w:tcW w:type="dxa" w:w="2721"/>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URED OVLAŠTENOG INŽINJERA GRAĐEVINARSTVA LJUBA CAREK</w:t>
            </w:r>
          </w:p>
        </w:tc>
        <w:tc>
          <w:tcPr>
            <w:tcW w:type="dxa" w:w="1417"/>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55010996107</w:t>
            </w:r>
          </w:p>
        </w:tc>
        <w:tc>
          <w:tcPr>
            <w:tcW w:type="dxa" w:w="2551"/>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43 000 Bjelovar, Borisa Papandopula 16</w:t>
            </w:r>
          </w:p>
        </w:tc>
        <w:tc>
          <w:tcPr>
            <w:tcW w:type="dxa" w:w="138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4.500,00</w:t>
            </w:r>
          </w:p>
        </w:tc>
        <w:tc>
          <w:tcPr>
            <w:tcW w:type="dxa" w:w="1221"/>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0,28%</w:t>
            </w:r>
          </w:p>
        </w:tc>
      </w:tr>
      <w:tr w:rsidTr="00924162" w:rsidR="00924162">
        <w:trPr>
          <w:trHeight w:val="300"/>
        </w:trPr>
        <w:tc>
          <w:tcPr>
            <w:tcW w:type="dxa" w:w="554"/>
            <w:tcBorders>
              <w:top w:val="nil"/>
              <w:left w:space="0" w:sz="4" w:color="auto" w:val="single"/>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19.</w:t>
            </w:r>
          </w:p>
        </w:tc>
        <w:tc>
          <w:tcPr>
            <w:tcW w:type="dxa" w:w="2721"/>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VODNE USLUGE d.o.o.</w:t>
            </w:r>
          </w:p>
        </w:tc>
        <w:tc>
          <w:tcPr>
            <w:tcW w:type="dxa" w:w="1417"/>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43307218011</w:t>
            </w:r>
          </w:p>
        </w:tc>
        <w:tc>
          <w:tcPr>
            <w:tcW w:type="dxa" w:w="2551"/>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43 000 Bjelovar, Ferde Livadića 14a</w:t>
            </w:r>
          </w:p>
        </w:tc>
        <w:tc>
          <w:tcPr>
            <w:tcW w:type="dxa" w:w="138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499,34</w:t>
            </w:r>
          </w:p>
        </w:tc>
        <w:tc>
          <w:tcPr>
            <w:tcW w:type="dxa" w:w="1221"/>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0,03%</w:t>
            </w:r>
          </w:p>
        </w:tc>
      </w:tr>
      <w:tr w:rsidTr="00924162" w:rsidR="00924162">
        <w:trPr>
          <w:trHeight w:val="300"/>
        </w:trPr>
        <w:tc>
          <w:tcPr>
            <w:tcW w:type="dxa" w:w="554"/>
            <w:tcBorders>
              <w:top w:val="nil"/>
              <w:left w:space="0" w:sz="4" w:color="auto" w:val="single"/>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20.</w:t>
            </w:r>
          </w:p>
        </w:tc>
        <w:tc>
          <w:tcPr>
            <w:tcW w:type="dxa" w:w="2721"/>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VRT d.o.o.</w:t>
            </w:r>
          </w:p>
        </w:tc>
        <w:tc>
          <w:tcPr>
            <w:tcW w:type="dxa" w:w="1417"/>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68416812428</w:t>
            </w:r>
          </w:p>
        </w:tc>
        <w:tc>
          <w:tcPr>
            <w:tcW w:type="dxa" w:w="2551"/>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43 000 Bjelovar, Matice hrvatske 4/I</w:t>
            </w:r>
          </w:p>
        </w:tc>
        <w:tc>
          <w:tcPr>
            <w:tcW w:type="dxa" w:w="138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670.961,85</w:t>
            </w:r>
          </w:p>
        </w:tc>
        <w:tc>
          <w:tcPr>
            <w:tcW w:type="dxa" w:w="1221"/>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41,60%</w:t>
            </w:r>
          </w:p>
        </w:tc>
      </w:tr>
      <w:tr w:rsidTr="00924162" w:rsidR="00924162">
        <w:trPr>
          <w:trHeight w:val="300"/>
        </w:trPr>
        <w:tc>
          <w:tcPr>
            <w:tcW w:type="dxa" w:w="554"/>
            <w:tcBorders>
              <w:top w:val="nil"/>
              <w:left w:space="0" w:sz="4" w:color="auto" w:val="single"/>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21.</w:t>
            </w:r>
          </w:p>
        </w:tc>
        <w:tc>
          <w:tcPr>
            <w:tcW w:type="dxa" w:w="2721"/>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VRT d.o.o.</w:t>
            </w:r>
          </w:p>
        </w:tc>
        <w:tc>
          <w:tcPr>
            <w:tcW w:type="dxa" w:w="1417"/>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68416812428</w:t>
            </w:r>
          </w:p>
        </w:tc>
        <w:tc>
          <w:tcPr>
            <w:tcW w:type="dxa" w:w="2551"/>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43 000 Bjelovar, Matice hrvatske 4/I</w:t>
            </w:r>
          </w:p>
        </w:tc>
        <w:tc>
          <w:tcPr>
            <w:tcW w:type="dxa" w:w="138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16.620,00</w:t>
            </w:r>
          </w:p>
        </w:tc>
        <w:tc>
          <w:tcPr>
            <w:tcW w:type="dxa" w:w="1221"/>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1,03%</w:t>
            </w:r>
          </w:p>
        </w:tc>
      </w:tr>
      <w:tr w:rsidTr="00924162" w:rsidR="00924162">
        <w:trPr>
          <w:trHeight w:val="300"/>
        </w:trPr>
        <w:tc>
          <w:tcPr>
            <w:tcW w:type="dxa" w:w="554"/>
            <w:tcBorders>
              <w:top w:val="nil"/>
              <w:left w:space="0" w:sz="4" w:color="auto" w:val="single"/>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w:t>
            </w:r>
          </w:p>
        </w:tc>
        <w:tc>
          <w:tcPr>
            <w:tcW w:type="dxa" w:w="2721"/>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w:t>
            </w:r>
          </w:p>
        </w:tc>
        <w:tc>
          <w:tcPr>
            <w:tcW w:type="dxa" w:w="1417"/>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w:t>
            </w:r>
          </w:p>
        </w:tc>
        <w:tc>
          <w:tcPr>
            <w:tcW w:type="dxa" w:w="2551"/>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w:t>
            </w:r>
          </w:p>
        </w:tc>
        <w:tc>
          <w:tcPr>
            <w:tcW w:type="dxa" w:w="138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1.612.873,90</w:t>
            </w:r>
          </w:p>
        </w:tc>
        <w:tc>
          <w:tcPr>
            <w:tcW w:type="dxa" w:w="1221"/>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100,00%</w:t>
            </w:r>
          </w:p>
        </w:tc>
      </w:tr>
    </w:tbl>
    <w:p w:rsidRDefault="00924162" w:rsidP="00924162" w:rsidR="00924162">
      <w:pPr>
        <w:spacing w:lineRule="auto" w:line="360"/>
        <w:jc w:val="both"/>
        <w:rPr>
          <w:rFonts w:cs="Times New Roman"/>
        </w:rPr>
      </w:pPr>
    </w:p>
    <w:p w:rsidRDefault="00924162" w:rsidP="00924162" w:rsidR="00924162">
      <w:pPr>
        <w:spacing w:lineRule="auto" w:line="360"/>
        <w:jc w:val="both"/>
        <w:rPr>
          <w:rFonts w:cs="Times New Roman"/>
        </w:rPr>
      </w:pPr>
      <w:r>
        <w:rPr>
          <w:rFonts w:cs="Times New Roman"/>
        </w:rPr>
        <w:t xml:space="preserve">II) Sklapanjem ove </w:t>
      </w:r>
      <w:proofErr w:type="spellStart"/>
      <w:r>
        <w:rPr>
          <w:rFonts w:cs="Times New Roman"/>
        </w:rPr>
        <w:t>predstečajne</w:t>
      </w:r>
      <w:proofErr w:type="spellEnd"/>
      <w:r>
        <w:rPr>
          <w:rFonts w:cs="Times New Roman"/>
        </w:rPr>
        <w:t xml:space="preserve"> nagodbe, dužnik će se obavezati na ispunjenje prioritetnih tražbina radnika.</w:t>
      </w:r>
    </w:p>
    <w:p w:rsidRDefault="00924162" w:rsidP="00924162" w:rsidR="00924162">
      <w:pPr>
        <w:spacing w:lineRule="auto" w:line="360"/>
        <w:jc w:val="both"/>
        <w:rPr>
          <w:rFonts w:cs="Times New Roman"/>
        </w:rPr>
      </w:pPr>
      <w:r>
        <w:rPr>
          <w:rFonts w:cs="Times New Roman"/>
        </w:rPr>
        <w:t xml:space="preserve"> III) Za vjerovnike iz točke I. ovog nacrta, a sukladno Utvrđenim tražbinama, plana financijskog i operativnog restrukturiranja, otplata utvrđenih iznosa tražbina će se vršiti na slijedeći način kako slijedi:</w:t>
      </w:r>
    </w:p>
    <w:p w:rsidRDefault="00924162" w:rsidP="00924162" w:rsidR="00924162">
      <w:pPr>
        <w:spacing w:lineRule="auto" w:line="360"/>
        <w:jc w:val="both"/>
        <w:rPr>
          <w:rFonts w:cs="Times New Roman"/>
        </w:rPr>
      </w:pPr>
    </w:p>
    <w:p w:rsidRDefault="00924162" w:rsidP="00924162" w:rsidR="00924162">
      <w:pPr>
        <w:spacing w:lineRule="auto" w:line="360"/>
        <w:jc w:val="both"/>
        <w:rPr>
          <w:rFonts w:cs="Times New Roman"/>
        </w:rPr>
      </w:pPr>
    </w:p>
    <w:p w:rsidRDefault="00924162" w:rsidP="00924162" w:rsidR="00924162">
      <w:pPr>
        <w:spacing w:lineRule="auto" w:line="360"/>
        <w:jc w:val="both"/>
        <w:rPr>
          <w:rFonts w:cs="Times New Roman"/>
        </w:rPr>
      </w:pPr>
    </w:p>
    <w:p w:rsidRDefault="00924162" w:rsidP="00924162" w:rsidR="00924162">
      <w:pPr>
        <w:spacing w:lineRule="auto" w:line="360"/>
        <w:jc w:val="both"/>
        <w:rPr>
          <w:rFonts w:cs="Times New Roman"/>
        </w:rPr>
      </w:pPr>
    </w:p>
    <w:p w:rsidRDefault="00924162" w:rsidP="00924162" w:rsidR="00924162">
      <w:pPr>
        <w:spacing w:lineRule="auto" w:line="360"/>
        <w:jc w:val="both"/>
        <w:rPr>
          <w:rFonts w:cs="Times New Roman"/>
        </w:rPr>
      </w:pPr>
    </w:p>
    <w:p w:rsidRDefault="00924162" w:rsidP="00924162" w:rsidR="00924162">
      <w:pPr>
        <w:spacing w:lineRule="auto" w:line="360"/>
        <w:jc w:val="both"/>
        <w:rPr>
          <w:rFonts w:cs="Times New Roman"/>
        </w:rPr>
      </w:pPr>
    </w:p>
    <w:p w:rsidRDefault="00924162" w:rsidP="00924162" w:rsidR="00924162">
      <w:pPr>
        <w:spacing w:lineRule="auto" w:line="360"/>
        <w:jc w:val="both"/>
        <w:rPr>
          <w:rFonts w:cs="Times New Roman"/>
        </w:rPr>
      </w:pPr>
    </w:p>
    <w:p w:rsidRDefault="00924162" w:rsidP="00924162" w:rsidR="00924162">
      <w:pPr>
        <w:spacing w:lineRule="auto" w:line="360"/>
        <w:jc w:val="both"/>
        <w:rPr>
          <w:rFonts w:cs="Times New Roman"/>
        </w:rPr>
      </w:pPr>
    </w:p>
    <w:p w:rsidRDefault="00924162" w:rsidP="00924162" w:rsidR="00924162">
      <w:pPr>
        <w:spacing w:lineRule="auto" w:line="360"/>
        <w:jc w:val="both"/>
        <w:rPr>
          <w:rFonts w:cs="Times New Roman"/>
        </w:rPr>
      </w:pPr>
    </w:p>
    <w:p w:rsidRDefault="00924162" w:rsidP="00924162" w:rsidR="00924162">
      <w:pPr>
        <w:spacing w:lineRule="auto" w:line="360"/>
        <w:jc w:val="both"/>
        <w:rPr>
          <w:rFonts w:cs="Times New Roman"/>
        </w:rPr>
      </w:pPr>
    </w:p>
    <w:p w:rsidRDefault="00924162" w:rsidP="00924162" w:rsidR="00924162">
      <w:pPr>
        <w:spacing w:lineRule="auto" w:line="360" w:after="0"/>
        <w:rPr>
          <w:rFonts w:cs="Times New Roman"/>
        </w:rPr>
        <w:sectPr w:rsidR="00924162">
          <w:pgSz w:h="16838" w:w="11906"/>
          <w:pgMar w:gutter="0" w:footer="708" w:header="708" w:left="1417" w:bottom="1417" w:right="1417" w:top="1417"/>
          <w:cols w:space="720"/>
        </w:sectPr>
      </w:pPr>
    </w:p>
    <w:p w:rsidRDefault="00924162" w:rsidP="00924162" w:rsidR="00924162">
      <w:pPr>
        <w:spacing w:lineRule="auto" w:line="360"/>
        <w:jc w:val="both"/>
        <w:rPr>
          <w:rFonts w:cs="Times New Roman"/>
        </w:rPr>
      </w:pPr>
    </w:p>
    <w:p w:rsidRDefault="00924162" w:rsidP="00924162" w:rsidR="00924162">
      <w:pPr>
        <w:suppressLineNumbers/>
        <w:tabs>
          <w:tab w:pos="340" w:val="left"/>
          <w:tab w:pos="426" w:val="center"/>
          <w:tab w:pos="720" w:val="left"/>
          <w:tab w:pos="4320" w:val="center"/>
          <w:tab w:pos="8640" w:val="right"/>
        </w:tabs>
        <w:spacing w:lineRule="auto" w:line="360"/>
        <w:ind w:right="-64" w:left="-46"/>
        <w:jc w:val="both"/>
        <w:rPr>
          <w:rFonts w:cs="Times New Roman"/>
          <w:i/>
        </w:rPr>
      </w:pPr>
      <w:r>
        <w:rPr>
          <w:rFonts w:cs="Times New Roman"/>
          <w:b/>
          <w:i/>
          <w:u w:val="single"/>
        </w:rPr>
        <w:t xml:space="preserve">Za prvu grupu vjerovnika: </w:t>
      </w:r>
    </w:p>
    <w:p w:rsidRDefault="00924162" w:rsidP="00924162" w:rsidR="00924162">
      <w:pPr>
        <w:spacing w:lineRule="auto" w:line="360"/>
        <w:jc w:val="both"/>
        <w:rPr>
          <w:rFonts w:cs="Times New Roman"/>
        </w:rPr>
      </w:pPr>
      <w:r>
        <w:rPr>
          <w:rFonts w:cs="Times New Roman"/>
        </w:rPr>
        <w:t xml:space="preserve">Dug prema Javnoj upravi i trgovačkim društvima u većinskom vlasništvu RH na dan 30.06.2016. godine iznosi </w:t>
      </w:r>
      <w:r>
        <w:rPr>
          <w:rFonts w:cs="Times New Roman" w:eastAsia="Times New Roman"/>
          <w:color w:val="000000"/>
          <w:lang w:eastAsia="hr-HR"/>
        </w:rPr>
        <w:t>32.591,48</w:t>
      </w:r>
      <w:r>
        <w:rPr>
          <w:rFonts w:cs="Times New Roman"/>
        </w:rPr>
        <w:t xml:space="preserve"> kn. Kod Ministarstva financija i drugih tijela javne uprave i trgovačkih društava u većinskom državnom vlasništvu predviđen je otpis 70% ukupno utvrđene tražbine, te nakon dvije godine počeka, obročna otplata 30% ukupno utvrđene tražbine u 60 jednakih mjesečnih obroka (anuiteta) uz propisanu kamatu od 4,5% godišnje, a sve počevši od dana pravomoćnosti Rješenja o sklopljenoj </w:t>
      </w:r>
      <w:proofErr w:type="spellStart"/>
      <w:r>
        <w:rPr>
          <w:rFonts w:cs="Times New Roman"/>
        </w:rPr>
        <w:t>predstečajnoj</w:t>
      </w:r>
      <w:proofErr w:type="spellEnd"/>
      <w:r>
        <w:rPr>
          <w:rFonts w:cs="Times New Roman"/>
        </w:rPr>
        <w:t xml:space="preserve"> nagodbi pred Trgovačkim sudom. Prioritetne tražbine prema državi će se izuzeti iz nagodbe i one će se prioritetno podmiriti.</w:t>
      </w:r>
    </w:p>
    <w:tbl>
      <w:tblPr>
        <w:tblW w:type="dxa" w:w="14381"/>
        <w:tblInd w:type="dxa" w:w="93"/>
        <w:tblLook w:val="04A0" w:noVBand="1" w:noHBand="0" w:lastColumn="0" w:firstColumn="1" w:lastRow="0" w:firstRow="1"/>
      </w:tblPr>
      <w:tblGrid>
        <w:gridCol w:w="681"/>
        <w:gridCol w:w="2684"/>
        <w:gridCol w:w="1555"/>
        <w:gridCol w:w="2752"/>
        <w:gridCol w:w="1188"/>
        <w:gridCol w:w="935"/>
        <w:gridCol w:w="1605"/>
        <w:gridCol w:w="1605"/>
        <w:gridCol w:w="1404"/>
      </w:tblGrid>
      <w:tr w:rsidTr="00924162" w:rsidR="00924162">
        <w:trPr>
          <w:trHeight w:val="1030"/>
        </w:trPr>
        <w:tc>
          <w:tcPr>
            <w:tcW w:type="dxa" w:w="681"/>
            <w:tcBorders>
              <w:top w:space="0" w:sz="4" w:color="auto" w:val="single"/>
              <w:left w:space="0" w:sz="4" w:color="auto" w:val="single"/>
              <w:bottom w:space="0" w:sz="4" w:color="auto" w:val="single"/>
              <w:right w:space="0" w:sz="4" w:color="auto" w:val="single"/>
            </w:tcBorders>
            <w:shd w:fill="E5E0EC" w:color="auto" w:val="clear"/>
            <w:noWrap/>
            <w:vAlign w:val="bottom"/>
            <w:hideMark/>
          </w:tcPr>
          <w:p w:rsidRDefault="00924162" w:rsidR="00924162">
            <w:pPr>
              <w:spacing w:after="0"/>
              <w:jc w:val="center"/>
              <w:rPr>
                <w:rFonts w:cs="Times New Roman" w:eastAsia="Times New Roman"/>
                <w:b/>
                <w:bCs/>
                <w:color w:val="000000"/>
                <w:sz w:val="20"/>
                <w:szCs w:val="20"/>
                <w:lang w:eastAsia="hr-HR"/>
              </w:rPr>
            </w:pPr>
            <w:r>
              <w:rPr>
                <w:rFonts w:cs="Times New Roman" w:eastAsia="Times New Roman"/>
                <w:b/>
                <w:bCs/>
                <w:color w:val="000000"/>
                <w:sz w:val="20"/>
                <w:szCs w:val="20"/>
                <w:lang w:eastAsia="hr-HR"/>
              </w:rPr>
              <w:t>RBR</w:t>
            </w:r>
          </w:p>
        </w:tc>
        <w:tc>
          <w:tcPr>
            <w:tcW w:type="dxa" w:w="2684"/>
            <w:tcBorders>
              <w:top w:space="0" w:sz="4" w:color="auto" w:val="single"/>
              <w:left w:val="nil"/>
              <w:bottom w:space="0" w:sz="4" w:color="auto" w:val="single"/>
              <w:right w:space="0" w:sz="4" w:color="auto" w:val="single"/>
            </w:tcBorders>
            <w:shd w:fill="E5E0EC" w:color="auto" w:val="clear"/>
            <w:vAlign w:val="bottom"/>
            <w:hideMark/>
          </w:tcPr>
          <w:p w:rsidRDefault="00924162" w:rsidR="00924162">
            <w:pPr>
              <w:spacing w:after="0"/>
              <w:jc w:val="center"/>
              <w:rPr>
                <w:rFonts w:cs="Times New Roman" w:eastAsia="Times New Roman"/>
                <w:b/>
                <w:bCs/>
                <w:color w:val="000000"/>
                <w:sz w:val="20"/>
                <w:szCs w:val="20"/>
                <w:lang w:eastAsia="hr-HR"/>
              </w:rPr>
            </w:pPr>
            <w:r>
              <w:rPr>
                <w:rFonts w:cs="Times New Roman" w:eastAsia="Times New Roman"/>
                <w:b/>
                <w:bCs/>
                <w:color w:val="000000"/>
                <w:sz w:val="20"/>
                <w:szCs w:val="20"/>
                <w:lang w:eastAsia="hr-HR"/>
              </w:rPr>
              <w:t>NAZIV VJEROVNIKA</w:t>
            </w:r>
          </w:p>
        </w:tc>
        <w:tc>
          <w:tcPr>
            <w:tcW w:type="dxa" w:w="1538"/>
            <w:tcBorders>
              <w:top w:space="0" w:sz="4" w:color="auto" w:val="single"/>
              <w:left w:val="nil"/>
              <w:bottom w:space="0" w:sz="4" w:color="auto" w:val="single"/>
              <w:right w:space="0" w:sz="4" w:color="auto" w:val="single"/>
            </w:tcBorders>
            <w:shd w:fill="E5E0EC" w:color="auto" w:val="clear"/>
            <w:vAlign w:val="bottom"/>
            <w:hideMark/>
          </w:tcPr>
          <w:p w:rsidRDefault="00924162" w:rsidR="00924162">
            <w:pPr>
              <w:spacing w:after="0"/>
              <w:jc w:val="center"/>
              <w:rPr>
                <w:rFonts w:cs="Times New Roman" w:eastAsia="Times New Roman"/>
                <w:b/>
                <w:bCs/>
                <w:color w:val="000000"/>
                <w:sz w:val="20"/>
                <w:szCs w:val="20"/>
                <w:lang w:eastAsia="hr-HR"/>
              </w:rPr>
            </w:pPr>
            <w:r>
              <w:rPr>
                <w:rFonts w:cs="Times New Roman" w:eastAsia="Times New Roman"/>
                <w:b/>
                <w:bCs/>
                <w:color w:val="000000"/>
                <w:sz w:val="20"/>
                <w:szCs w:val="20"/>
                <w:lang w:eastAsia="hr-HR"/>
              </w:rPr>
              <w:t>OIB</w:t>
            </w:r>
          </w:p>
        </w:tc>
        <w:tc>
          <w:tcPr>
            <w:tcW w:type="dxa" w:w="2752"/>
            <w:tcBorders>
              <w:top w:space="0" w:sz="4" w:color="auto" w:val="single"/>
              <w:left w:val="nil"/>
              <w:bottom w:space="0" w:sz="4" w:color="auto" w:val="single"/>
              <w:right w:space="0" w:sz="4" w:color="auto" w:val="single"/>
            </w:tcBorders>
            <w:shd w:fill="E5E0EC" w:color="auto" w:val="clear"/>
            <w:vAlign w:val="bottom"/>
            <w:hideMark/>
          </w:tcPr>
          <w:p w:rsidRDefault="00924162" w:rsidR="00924162">
            <w:pPr>
              <w:spacing w:after="0"/>
              <w:jc w:val="center"/>
              <w:rPr>
                <w:rFonts w:cs="Times New Roman" w:eastAsia="Times New Roman"/>
                <w:b/>
                <w:bCs/>
                <w:color w:val="000000"/>
                <w:sz w:val="20"/>
                <w:szCs w:val="20"/>
                <w:lang w:eastAsia="hr-HR"/>
              </w:rPr>
            </w:pPr>
            <w:r>
              <w:rPr>
                <w:rFonts w:cs="Times New Roman" w:eastAsia="Times New Roman"/>
                <w:b/>
                <w:bCs/>
                <w:color w:val="000000"/>
                <w:sz w:val="20"/>
                <w:szCs w:val="20"/>
                <w:lang w:eastAsia="hr-HR"/>
              </w:rPr>
              <w:t>ADRESA</w:t>
            </w:r>
          </w:p>
        </w:tc>
        <w:tc>
          <w:tcPr>
            <w:tcW w:type="dxa" w:w="1180"/>
            <w:tcBorders>
              <w:top w:space="0" w:sz="4" w:color="auto" w:val="single"/>
              <w:left w:val="nil"/>
              <w:bottom w:space="0" w:sz="4" w:color="auto" w:val="single"/>
              <w:right w:space="0" w:sz="4" w:color="auto" w:val="single"/>
            </w:tcBorders>
            <w:shd w:fill="E5E0EC" w:color="auto" w:val="clear"/>
            <w:vAlign w:val="bottom"/>
            <w:hideMark/>
          </w:tcPr>
          <w:p w:rsidRDefault="00924162" w:rsidR="00924162">
            <w:pPr>
              <w:spacing w:after="0"/>
              <w:jc w:val="center"/>
              <w:rPr>
                <w:rFonts w:cs="Times New Roman" w:eastAsia="Times New Roman"/>
                <w:b/>
                <w:bCs/>
                <w:color w:val="000000"/>
                <w:sz w:val="20"/>
                <w:szCs w:val="20"/>
                <w:lang w:eastAsia="hr-HR"/>
              </w:rPr>
            </w:pPr>
            <w:r>
              <w:rPr>
                <w:rFonts w:cs="Times New Roman" w:eastAsia="Times New Roman"/>
                <w:b/>
                <w:bCs/>
                <w:color w:val="000000"/>
                <w:sz w:val="20"/>
                <w:szCs w:val="20"/>
                <w:lang w:eastAsia="hr-HR"/>
              </w:rPr>
              <w:t>IZNOS</w:t>
            </w:r>
          </w:p>
        </w:tc>
        <w:tc>
          <w:tcPr>
            <w:tcW w:type="dxa" w:w="932"/>
            <w:tcBorders>
              <w:top w:space="0" w:sz="4" w:color="auto" w:val="single"/>
              <w:left w:val="nil"/>
              <w:bottom w:space="0" w:sz="4" w:color="auto" w:val="single"/>
              <w:right w:space="0" w:sz="4" w:color="auto" w:val="single"/>
            </w:tcBorders>
            <w:shd w:fill="E5E0EC" w:color="auto" w:val="clear"/>
            <w:vAlign w:val="bottom"/>
            <w:hideMark/>
          </w:tcPr>
          <w:p w:rsidRDefault="00924162" w:rsidR="00924162">
            <w:pPr>
              <w:spacing w:after="0"/>
              <w:jc w:val="center"/>
              <w:rPr>
                <w:rFonts w:cs="Times New Roman" w:eastAsia="Times New Roman"/>
                <w:b/>
                <w:bCs/>
                <w:color w:val="000000"/>
                <w:sz w:val="20"/>
                <w:szCs w:val="20"/>
                <w:lang w:eastAsia="hr-HR"/>
              </w:rPr>
            </w:pPr>
            <w:r>
              <w:rPr>
                <w:rFonts w:cs="Times New Roman" w:eastAsia="Times New Roman"/>
                <w:b/>
                <w:bCs/>
                <w:color w:val="000000"/>
                <w:sz w:val="20"/>
                <w:szCs w:val="20"/>
                <w:lang w:eastAsia="hr-HR"/>
              </w:rPr>
              <w:t>OTPIS</w:t>
            </w:r>
          </w:p>
        </w:tc>
        <w:tc>
          <w:tcPr>
            <w:tcW w:type="dxa" w:w="1605"/>
            <w:tcBorders>
              <w:top w:space="0" w:sz="4" w:color="auto" w:val="single"/>
              <w:left w:val="nil"/>
              <w:bottom w:space="0" w:sz="4" w:color="auto" w:val="single"/>
              <w:right w:space="0" w:sz="4" w:color="auto" w:val="single"/>
            </w:tcBorders>
            <w:shd w:fill="E5E0EC" w:color="auto" w:val="clear"/>
            <w:vAlign w:val="bottom"/>
            <w:hideMark/>
          </w:tcPr>
          <w:p w:rsidRDefault="00924162" w:rsidR="00924162">
            <w:pPr>
              <w:spacing w:after="0"/>
              <w:rPr>
                <w:rFonts w:cs="Times New Roman" w:eastAsia="Times New Roman"/>
                <w:b/>
                <w:bCs/>
                <w:color w:val="000000"/>
                <w:sz w:val="20"/>
                <w:szCs w:val="20"/>
                <w:lang w:eastAsia="hr-HR"/>
              </w:rPr>
            </w:pPr>
            <w:r>
              <w:rPr>
                <w:rFonts w:cs="Times New Roman" w:eastAsia="Times New Roman"/>
                <w:b/>
                <w:bCs/>
                <w:color w:val="000000"/>
                <w:sz w:val="20"/>
                <w:szCs w:val="20"/>
                <w:lang w:eastAsia="hr-HR"/>
              </w:rPr>
              <w:t>OTPISANA VRIJEDNOST</w:t>
            </w:r>
          </w:p>
        </w:tc>
        <w:tc>
          <w:tcPr>
            <w:tcW w:type="dxa" w:w="1605"/>
            <w:tcBorders>
              <w:top w:space="0" w:sz="4" w:color="auto" w:val="single"/>
              <w:left w:val="nil"/>
              <w:bottom w:space="0" w:sz="4" w:color="auto" w:val="single"/>
              <w:right w:space="0" w:sz="4" w:color="auto" w:val="single"/>
            </w:tcBorders>
            <w:shd w:fill="E5E0EC" w:color="auto" w:val="clear"/>
            <w:vAlign w:val="bottom"/>
            <w:hideMark/>
          </w:tcPr>
          <w:p w:rsidRDefault="00924162" w:rsidR="00924162">
            <w:pPr>
              <w:spacing w:after="0"/>
              <w:rPr>
                <w:rFonts w:cs="Times New Roman" w:eastAsia="Times New Roman"/>
                <w:b/>
                <w:bCs/>
                <w:color w:val="000000"/>
                <w:sz w:val="20"/>
                <w:szCs w:val="20"/>
                <w:lang w:eastAsia="hr-HR"/>
              </w:rPr>
            </w:pPr>
            <w:r>
              <w:rPr>
                <w:rFonts w:cs="Times New Roman" w:eastAsia="Times New Roman"/>
                <w:b/>
                <w:bCs/>
                <w:color w:val="000000"/>
                <w:sz w:val="20"/>
                <w:szCs w:val="20"/>
                <w:lang w:eastAsia="hr-HR"/>
              </w:rPr>
              <w:t>VRIJEDNOST OTPLATE</w:t>
            </w:r>
          </w:p>
        </w:tc>
        <w:tc>
          <w:tcPr>
            <w:tcW w:type="dxa" w:w="1404"/>
            <w:tcBorders>
              <w:top w:space="0" w:sz="4" w:color="auto" w:val="single"/>
              <w:left w:val="nil"/>
              <w:bottom w:space="0" w:sz="4" w:color="auto" w:val="single"/>
              <w:right w:space="0" w:sz="4" w:color="auto" w:val="single"/>
            </w:tcBorders>
            <w:shd w:fill="E5E0EC" w:color="auto" w:val="clear"/>
            <w:vAlign w:val="bottom"/>
            <w:hideMark/>
          </w:tcPr>
          <w:p w:rsidRDefault="00924162" w:rsidR="00924162">
            <w:pPr>
              <w:spacing w:after="0"/>
              <w:rPr>
                <w:rFonts w:cs="Times New Roman" w:eastAsia="Times New Roman"/>
                <w:b/>
                <w:bCs/>
                <w:color w:val="000000"/>
                <w:sz w:val="20"/>
                <w:szCs w:val="20"/>
                <w:lang w:eastAsia="hr-HR"/>
              </w:rPr>
            </w:pPr>
            <w:r>
              <w:rPr>
                <w:rFonts w:cs="Times New Roman" w:eastAsia="Times New Roman"/>
                <w:b/>
                <w:bCs/>
                <w:color w:val="000000"/>
                <w:sz w:val="20"/>
                <w:szCs w:val="20"/>
                <w:lang w:eastAsia="hr-HR"/>
              </w:rPr>
              <w:t>MJESEČNA RATA BEZ KAMATA</w:t>
            </w:r>
          </w:p>
        </w:tc>
      </w:tr>
      <w:tr w:rsidTr="00924162" w:rsidR="00924162">
        <w:trPr>
          <w:trHeight w:val="298"/>
        </w:trPr>
        <w:tc>
          <w:tcPr>
            <w:tcW w:type="dxa" w:w="681"/>
            <w:tcBorders>
              <w:top w:val="nil"/>
              <w:left w:space="0" w:sz="4" w:color="auto" w:val="single"/>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w:t>
            </w:r>
          </w:p>
        </w:tc>
        <w:tc>
          <w:tcPr>
            <w:tcW w:type="dxa" w:w="2684"/>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GRAD BJELOVAR</w:t>
            </w:r>
          </w:p>
        </w:tc>
        <w:tc>
          <w:tcPr>
            <w:tcW w:type="dxa" w:w="1538"/>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18970641692</w:t>
            </w:r>
          </w:p>
        </w:tc>
        <w:tc>
          <w:tcPr>
            <w:tcW w:type="dxa" w:w="2752"/>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43 000 Bjelovar, Trg Eugena Kvaternika 2</w:t>
            </w:r>
          </w:p>
        </w:tc>
        <w:tc>
          <w:tcPr>
            <w:tcW w:type="dxa" w:w="1180"/>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637,35</w:t>
            </w:r>
          </w:p>
        </w:tc>
        <w:tc>
          <w:tcPr>
            <w:tcW w:type="dxa" w:w="932"/>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70,00%</w:t>
            </w:r>
          </w:p>
        </w:tc>
        <w:tc>
          <w:tcPr>
            <w:tcW w:type="dxa" w:w="1605"/>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446,15</w:t>
            </w:r>
          </w:p>
        </w:tc>
        <w:tc>
          <w:tcPr>
            <w:tcW w:type="dxa" w:w="1605"/>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191,21</w:t>
            </w:r>
          </w:p>
        </w:tc>
        <w:tc>
          <w:tcPr>
            <w:tcW w:type="dxa" w:w="1404"/>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3,19</w:t>
            </w:r>
          </w:p>
        </w:tc>
      </w:tr>
      <w:tr w:rsidTr="00924162" w:rsidR="00924162">
        <w:trPr>
          <w:trHeight w:val="298"/>
        </w:trPr>
        <w:tc>
          <w:tcPr>
            <w:tcW w:type="dxa" w:w="681"/>
            <w:tcBorders>
              <w:top w:val="nil"/>
              <w:left w:space="0" w:sz="4" w:color="auto" w:val="single"/>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2.</w:t>
            </w:r>
          </w:p>
        </w:tc>
        <w:tc>
          <w:tcPr>
            <w:tcW w:type="dxa" w:w="2684"/>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HEP-Operator distribucijskog sustava d.o.o.</w:t>
            </w:r>
          </w:p>
        </w:tc>
        <w:tc>
          <w:tcPr>
            <w:tcW w:type="dxa" w:w="1538"/>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46830600751</w:t>
            </w:r>
          </w:p>
        </w:tc>
        <w:tc>
          <w:tcPr>
            <w:tcW w:type="dxa" w:w="2752"/>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10 000 Zagreb, Ulica grada Vukovara 37</w:t>
            </w:r>
          </w:p>
        </w:tc>
        <w:tc>
          <w:tcPr>
            <w:tcW w:type="dxa" w:w="1180"/>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1.804,15</w:t>
            </w:r>
          </w:p>
        </w:tc>
        <w:tc>
          <w:tcPr>
            <w:tcW w:type="dxa" w:w="932"/>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70,00%</w:t>
            </w:r>
          </w:p>
        </w:tc>
        <w:tc>
          <w:tcPr>
            <w:tcW w:type="dxa" w:w="1605"/>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1.262,91</w:t>
            </w:r>
          </w:p>
        </w:tc>
        <w:tc>
          <w:tcPr>
            <w:tcW w:type="dxa" w:w="1605"/>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541,25</w:t>
            </w:r>
          </w:p>
        </w:tc>
        <w:tc>
          <w:tcPr>
            <w:tcW w:type="dxa" w:w="1404"/>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9,02</w:t>
            </w:r>
          </w:p>
        </w:tc>
      </w:tr>
      <w:tr w:rsidTr="00924162" w:rsidR="00924162">
        <w:trPr>
          <w:trHeight w:val="298"/>
        </w:trPr>
        <w:tc>
          <w:tcPr>
            <w:tcW w:type="dxa" w:w="681"/>
            <w:tcBorders>
              <w:top w:val="nil"/>
              <w:left w:space="0" w:sz="4" w:color="auto" w:val="single"/>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3.</w:t>
            </w:r>
          </w:p>
        </w:tc>
        <w:tc>
          <w:tcPr>
            <w:tcW w:type="dxa" w:w="2684"/>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HEP-Opskrba d.o.o.</w:t>
            </w:r>
          </w:p>
        </w:tc>
        <w:tc>
          <w:tcPr>
            <w:tcW w:type="dxa" w:w="1538"/>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63073332379</w:t>
            </w:r>
          </w:p>
        </w:tc>
        <w:tc>
          <w:tcPr>
            <w:tcW w:type="dxa" w:w="2752"/>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10 000 Zagreb, Ulica grada Vukovara 37</w:t>
            </w:r>
          </w:p>
        </w:tc>
        <w:tc>
          <w:tcPr>
            <w:tcW w:type="dxa" w:w="1180"/>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845,03</w:t>
            </w:r>
          </w:p>
        </w:tc>
        <w:tc>
          <w:tcPr>
            <w:tcW w:type="dxa" w:w="932"/>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70,00%</w:t>
            </w:r>
          </w:p>
        </w:tc>
        <w:tc>
          <w:tcPr>
            <w:tcW w:type="dxa" w:w="1605"/>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591,52</w:t>
            </w:r>
          </w:p>
        </w:tc>
        <w:tc>
          <w:tcPr>
            <w:tcW w:type="dxa" w:w="1605"/>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253,51</w:t>
            </w:r>
          </w:p>
        </w:tc>
        <w:tc>
          <w:tcPr>
            <w:tcW w:type="dxa" w:w="1404"/>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4,23</w:t>
            </w:r>
          </w:p>
        </w:tc>
      </w:tr>
      <w:tr w:rsidTr="00924162" w:rsidR="00924162">
        <w:trPr>
          <w:trHeight w:val="298"/>
        </w:trPr>
        <w:tc>
          <w:tcPr>
            <w:tcW w:type="dxa" w:w="681"/>
            <w:tcBorders>
              <w:top w:val="nil"/>
              <w:left w:space="0" w:sz="4" w:color="auto" w:val="single"/>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w:t>
            </w:r>
          </w:p>
        </w:tc>
        <w:tc>
          <w:tcPr>
            <w:tcW w:type="dxa" w:w="2684"/>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KOMUNALAC d.o.o.</w:t>
            </w:r>
          </w:p>
        </w:tc>
        <w:tc>
          <w:tcPr>
            <w:tcW w:type="dxa" w:w="1538"/>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27962400486</w:t>
            </w:r>
          </w:p>
        </w:tc>
        <w:tc>
          <w:tcPr>
            <w:tcW w:type="dxa" w:w="2752"/>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43 000 Bjelovar, Ferde Livadića 14a</w:t>
            </w:r>
          </w:p>
        </w:tc>
        <w:tc>
          <w:tcPr>
            <w:tcW w:type="dxa" w:w="1180"/>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1.514,61</w:t>
            </w:r>
          </w:p>
        </w:tc>
        <w:tc>
          <w:tcPr>
            <w:tcW w:type="dxa" w:w="932"/>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70,00%</w:t>
            </w:r>
          </w:p>
        </w:tc>
        <w:tc>
          <w:tcPr>
            <w:tcW w:type="dxa" w:w="1605"/>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1.060,23</w:t>
            </w:r>
          </w:p>
        </w:tc>
        <w:tc>
          <w:tcPr>
            <w:tcW w:type="dxa" w:w="1605"/>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454,38</w:t>
            </w:r>
          </w:p>
        </w:tc>
        <w:tc>
          <w:tcPr>
            <w:tcW w:type="dxa" w:w="1404"/>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7,57</w:t>
            </w:r>
          </w:p>
        </w:tc>
      </w:tr>
      <w:tr w:rsidTr="00924162" w:rsidR="00924162">
        <w:trPr>
          <w:trHeight w:val="298"/>
        </w:trPr>
        <w:tc>
          <w:tcPr>
            <w:tcW w:type="dxa" w:w="681"/>
            <w:tcBorders>
              <w:top w:val="nil"/>
              <w:left w:space="0" w:sz="4" w:color="auto" w:val="single"/>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5.</w:t>
            </w:r>
          </w:p>
        </w:tc>
        <w:tc>
          <w:tcPr>
            <w:tcW w:type="dxa" w:w="2684"/>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MINISTARSTVO FINANCIJA - POREZNA UPRAVA</w:t>
            </w:r>
          </w:p>
        </w:tc>
        <w:tc>
          <w:tcPr>
            <w:tcW w:type="dxa" w:w="1538"/>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18683136487</w:t>
            </w:r>
          </w:p>
        </w:tc>
        <w:tc>
          <w:tcPr>
            <w:tcW w:type="dxa" w:w="2752"/>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43 000 Bjelovar, dr. A. Starčevića 8</w:t>
            </w:r>
          </w:p>
        </w:tc>
        <w:tc>
          <w:tcPr>
            <w:tcW w:type="dxa" w:w="1180"/>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19.300,00</w:t>
            </w:r>
          </w:p>
        </w:tc>
        <w:tc>
          <w:tcPr>
            <w:tcW w:type="dxa" w:w="932"/>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70,00%</w:t>
            </w:r>
          </w:p>
        </w:tc>
        <w:tc>
          <w:tcPr>
            <w:tcW w:type="dxa" w:w="1605"/>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13.510,00</w:t>
            </w:r>
          </w:p>
        </w:tc>
        <w:tc>
          <w:tcPr>
            <w:tcW w:type="dxa" w:w="1605"/>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5.790,00</w:t>
            </w:r>
          </w:p>
        </w:tc>
        <w:tc>
          <w:tcPr>
            <w:tcW w:type="dxa" w:w="1404"/>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96,50</w:t>
            </w:r>
          </w:p>
        </w:tc>
      </w:tr>
      <w:tr w:rsidTr="00924162" w:rsidR="00924162">
        <w:trPr>
          <w:trHeight w:val="298"/>
        </w:trPr>
        <w:tc>
          <w:tcPr>
            <w:tcW w:type="dxa" w:w="681"/>
            <w:tcBorders>
              <w:top w:val="nil"/>
              <w:left w:space="0" w:sz="4" w:color="auto" w:val="single"/>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6.</w:t>
            </w:r>
          </w:p>
        </w:tc>
        <w:tc>
          <w:tcPr>
            <w:tcW w:type="dxa" w:w="2684"/>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OPĆINA VELIKA PISANICA</w:t>
            </w:r>
          </w:p>
        </w:tc>
        <w:tc>
          <w:tcPr>
            <w:tcW w:type="dxa" w:w="1538"/>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18872765530</w:t>
            </w:r>
          </w:p>
        </w:tc>
        <w:tc>
          <w:tcPr>
            <w:tcW w:type="dxa" w:w="2752"/>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43 271 Velika Pisanica, Trg hrvatskih branitelja 3</w:t>
            </w:r>
          </w:p>
        </w:tc>
        <w:tc>
          <w:tcPr>
            <w:tcW w:type="dxa" w:w="1180"/>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7.991,00</w:t>
            </w:r>
          </w:p>
        </w:tc>
        <w:tc>
          <w:tcPr>
            <w:tcW w:type="dxa" w:w="932"/>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70,00%</w:t>
            </w:r>
          </w:p>
        </w:tc>
        <w:tc>
          <w:tcPr>
            <w:tcW w:type="dxa" w:w="1605"/>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5.593,70</w:t>
            </w:r>
          </w:p>
        </w:tc>
        <w:tc>
          <w:tcPr>
            <w:tcW w:type="dxa" w:w="1605"/>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2.397,30</w:t>
            </w:r>
          </w:p>
        </w:tc>
        <w:tc>
          <w:tcPr>
            <w:tcW w:type="dxa" w:w="1404"/>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39,96</w:t>
            </w:r>
          </w:p>
        </w:tc>
      </w:tr>
      <w:tr w:rsidTr="00924162" w:rsidR="00924162">
        <w:trPr>
          <w:trHeight w:val="298"/>
        </w:trPr>
        <w:tc>
          <w:tcPr>
            <w:tcW w:type="dxa" w:w="681"/>
            <w:tcBorders>
              <w:top w:val="nil"/>
              <w:left w:space="0" w:sz="4" w:color="auto" w:val="single"/>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lastRenderedPageBreak/>
              <w:t>7.</w:t>
            </w:r>
          </w:p>
        </w:tc>
        <w:tc>
          <w:tcPr>
            <w:tcW w:type="dxa" w:w="2684"/>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VODNE USLUGE d.o.o.</w:t>
            </w:r>
          </w:p>
        </w:tc>
        <w:tc>
          <w:tcPr>
            <w:tcW w:type="dxa" w:w="1538"/>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43307218011</w:t>
            </w:r>
          </w:p>
        </w:tc>
        <w:tc>
          <w:tcPr>
            <w:tcW w:type="dxa" w:w="2752"/>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43 000 Bjelovar, Ferde Livadića 14a</w:t>
            </w:r>
          </w:p>
        </w:tc>
        <w:tc>
          <w:tcPr>
            <w:tcW w:type="dxa" w:w="1180"/>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499,34</w:t>
            </w:r>
          </w:p>
        </w:tc>
        <w:tc>
          <w:tcPr>
            <w:tcW w:type="dxa" w:w="932"/>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70,00%</w:t>
            </w:r>
          </w:p>
        </w:tc>
        <w:tc>
          <w:tcPr>
            <w:tcW w:type="dxa" w:w="1605"/>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349,54</w:t>
            </w:r>
          </w:p>
        </w:tc>
        <w:tc>
          <w:tcPr>
            <w:tcW w:type="dxa" w:w="1605"/>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149,80</w:t>
            </w:r>
          </w:p>
        </w:tc>
        <w:tc>
          <w:tcPr>
            <w:tcW w:type="dxa" w:w="1404"/>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2,50</w:t>
            </w:r>
          </w:p>
        </w:tc>
      </w:tr>
      <w:tr w:rsidTr="00924162" w:rsidR="00924162">
        <w:trPr>
          <w:trHeight w:val="298"/>
        </w:trPr>
        <w:tc>
          <w:tcPr>
            <w:tcW w:type="dxa" w:w="681"/>
            <w:tcBorders>
              <w:top w:val="nil"/>
              <w:left w:space="0" w:sz="4" w:color="auto" w:val="single"/>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w:t>
            </w:r>
          </w:p>
        </w:tc>
        <w:tc>
          <w:tcPr>
            <w:tcW w:type="dxa" w:w="2684"/>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w:t>
            </w:r>
          </w:p>
        </w:tc>
        <w:tc>
          <w:tcPr>
            <w:tcW w:type="dxa" w:w="1538"/>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w:t>
            </w:r>
          </w:p>
        </w:tc>
        <w:tc>
          <w:tcPr>
            <w:tcW w:type="dxa" w:w="2752"/>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w:t>
            </w:r>
          </w:p>
        </w:tc>
        <w:tc>
          <w:tcPr>
            <w:tcW w:type="dxa" w:w="1180"/>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32.591,48</w:t>
            </w:r>
          </w:p>
        </w:tc>
        <w:tc>
          <w:tcPr>
            <w:tcW w:type="dxa" w:w="932"/>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w:t>
            </w:r>
          </w:p>
        </w:tc>
        <w:tc>
          <w:tcPr>
            <w:tcW w:type="dxa" w:w="1605"/>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w:t>
            </w:r>
          </w:p>
        </w:tc>
        <w:tc>
          <w:tcPr>
            <w:tcW w:type="dxa" w:w="1605"/>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w:t>
            </w:r>
          </w:p>
        </w:tc>
        <w:tc>
          <w:tcPr>
            <w:tcW w:type="dxa" w:w="1404"/>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w:t>
            </w:r>
          </w:p>
        </w:tc>
      </w:tr>
    </w:tbl>
    <w:p w:rsidRDefault="00924162" w:rsidP="00924162" w:rsidR="00924162">
      <w:pPr>
        <w:spacing w:lineRule="auto" w:line="360"/>
        <w:rPr>
          <w:rFonts w:cs="Times New Roman"/>
          <w:b/>
          <w:i/>
          <w:u w:val="single"/>
        </w:rPr>
      </w:pPr>
      <w:r>
        <w:rPr>
          <w:rFonts w:cs="Times New Roman"/>
          <w:b/>
          <w:i/>
          <w:u w:val="single"/>
        </w:rPr>
        <w:t>Za drugu grupu vjerovnika:</w:t>
      </w:r>
    </w:p>
    <w:p w:rsidRDefault="00924162" w:rsidP="00924162" w:rsidR="00924162">
      <w:pPr>
        <w:spacing w:lineRule="auto" w:line="360"/>
        <w:jc w:val="both"/>
        <w:rPr>
          <w:rFonts w:cs="Times New Roman"/>
        </w:rPr>
      </w:pPr>
      <w:r>
        <w:rPr>
          <w:rFonts w:cs="Times New Roman"/>
        </w:rPr>
        <w:t xml:space="preserve">Dug prema financijskim institucijama na dan 30.06.2016.. godine iznosi </w:t>
      </w:r>
      <w:r>
        <w:rPr>
          <w:rFonts w:cs="Times New Roman" w:eastAsia="Times New Roman"/>
          <w:color w:val="000000"/>
          <w:lang w:eastAsia="hr-HR"/>
        </w:rPr>
        <w:t xml:space="preserve">262,22 </w:t>
      </w:r>
      <w:r>
        <w:rPr>
          <w:rFonts w:cs="Times New Roman"/>
        </w:rPr>
        <w:t xml:space="preserve">kn. Predviđen je otpis 70% ukupno utvrđene tražbine, te nakon dvije godine počeka, obročna otplata 30% ukupno utvrđene tražbine u 60 jednakih mjesečnih obroka (anuiteta) uz propisanu kamatu od 4,5% godišnje, a sve počevši od dana pravomoćnosti Rješenja o sklopljenoj </w:t>
      </w:r>
      <w:proofErr w:type="spellStart"/>
      <w:r>
        <w:rPr>
          <w:rFonts w:cs="Times New Roman"/>
        </w:rPr>
        <w:t>predstečajnoj</w:t>
      </w:r>
      <w:proofErr w:type="spellEnd"/>
      <w:r>
        <w:rPr>
          <w:rFonts w:cs="Times New Roman"/>
        </w:rPr>
        <w:t xml:space="preserve"> nagodbi pred Trgovačkim sudom. </w:t>
      </w:r>
    </w:p>
    <w:tbl>
      <w:tblPr>
        <w:tblW w:type="dxa" w:w="14604"/>
        <w:tblInd w:type="dxa" w:w="93"/>
        <w:tblLook w:val="04A0" w:noVBand="1" w:noHBand="0" w:lastColumn="0" w:firstColumn="1" w:lastRow="0" w:firstRow="1"/>
      </w:tblPr>
      <w:tblGrid>
        <w:gridCol w:w="680"/>
        <w:gridCol w:w="3572"/>
        <w:gridCol w:w="1555"/>
        <w:gridCol w:w="2835"/>
        <w:gridCol w:w="885"/>
        <w:gridCol w:w="935"/>
        <w:gridCol w:w="1506"/>
        <w:gridCol w:w="1506"/>
        <w:gridCol w:w="1317"/>
      </w:tblGrid>
      <w:tr w:rsidTr="00924162" w:rsidR="00924162">
        <w:trPr>
          <w:trHeight w:val="1035"/>
        </w:trPr>
        <w:tc>
          <w:tcPr>
            <w:tcW w:type="dxa" w:w="680"/>
            <w:tcBorders>
              <w:top w:space="0" w:sz="4" w:color="auto" w:val="single"/>
              <w:left w:space="0" w:sz="4" w:color="auto" w:val="single"/>
              <w:bottom w:space="0" w:sz="4" w:color="auto" w:val="single"/>
              <w:right w:space="0" w:sz="4" w:color="auto" w:val="single"/>
            </w:tcBorders>
            <w:shd w:fill="E5E0EC" w:color="auto" w:val="clear"/>
            <w:noWrap/>
            <w:vAlign w:val="bottom"/>
            <w:hideMark/>
          </w:tcPr>
          <w:p w:rsidRDefault="00924162" w:rsidR="00924162">
            <w:pPr>
              <w:spacing w:after="0"/>
              <w:jc w:val="center"/>
              <w:rPr>
                <w:rFonts w:cs="Times New Roman" w:eastAsia="Times New Roman"/>
                <w:b/>
                <w:bCs/>
                <w:color w:val="000000"/>
                <w:sz w:val="20"/>
                <w:szCs w:val="20"/>
                <w:lang w:eastAsia="hr-HR"/>
              </w:rPr>
            </w:pPr>
            <w:r>
              <w:rPr>
                <w:rFonts w:cs="Times New Roman" w:eastAsia="Times New Roman"/>
                <w:b/>
                <w:bCs/>
                <w:color w:val="000000"/>
                <w:sz w:val="20"/>
                <w:szCs w:val="20"/>
                <w:lang w:eastAsia="hr-HR"/>
              </w:rPr>
              <w:t>RBR</w:t>
            </w:r>
          </w:p>
        </w:tc>
        <w:tc>
          <w:tcPr>
            <w:tcW w:type="dxa" w:w="3572"/>
            <w:tcBorders>
              <w:top w:space="0" w:sz="4" w:color="auto" w:val="single"/>
              <w:left w:val="nil"/>
              <w:bottom w:space="0" w:sz="4" w:color="auto" w:val="single"/>
              <w:right w:space="0" w:sz="4" w:color="auto" w:val="single"/>
            </w:tcBorders>
            <w:shd w:fill="E5E0EC" w:color="auto" w:val="clear"/>
            <w:vAlign w:val="bottom"/>
            <w:hideMark/>
          </w:tcPr>
          <w:p w:rsidRDefault="00924162" w:rsidR="00924162">
            <w:pPr>
              <w:spacing w:after="0"/>
              <w:jc w:val="center"/>
              <w:rPr>
                <w:rFonts w:cs="Times New Roman" w:eastAsia="Times New Roman"/>
                <w:b/>
                <w:bCs/>
                <w:color w:val="000000"/>
                <w:sz w:val="20"/>
                <w:szCs w:val="20"/>
                <w:lang w:eastAsia="hr-HR"/>
              </w:rPr>
            </w:pPr>
            <w:r>
              <w:rPr>
                <w:rFonts w:cs="Times New Roman" w:eastAsia="Times New Roman"/>
                <w:b/>
                <w:bCs/>
                <w:color w:val="000000"/>
                <w:sz w:val="20"/>
                <w:szCs w:val="20"/>
                <w:lang w:eastAsia="hr-HR"/>
              </w:rPr>
              <w:t>NAZIV VJEROVNIKA</w:t>
            </w:r>
          </w:p>
        </w:tc>
        <w:tc>
          <w:tcPr>
            <w:tcW w:type="dxa" w:w="1474"/>
            <w:tcBorders>
              <w:top w:space="0" w:sz="4" w:color="auto" w:val="single"/>
              <w:left w:val="nil"/>
              <w:bottom w:space="0" w:sz="4" w:color="auto" w:val="single"/>
              <w:right w:space="0" w:sz="4" w:color="auto" w:val="single"/>
            </w:tcBorders>
            <w:shd w:fill="E5E0EC" w:color="auto" w:val="clear"/>
            <w:vAlign w:val="bottom"/>
            <w:hideMark/>
          </w:tcPr>
          <w:p w:rsidRDefault="00924162" w:rsidR="00924162">
            <w:pPr>
              <w:spacing w:after="0"/>
              <w:jc w:val="center"/>
              <w:rPr>
                <w:rFonts w:cs="Times New Roman" w:eastAsia="Times New Roman"/>
                <w:b/>
                <w:bCs/>
                <w:color w:val="000000"/>
                <w:sz w:val="20"/>
                <w:szCs w:val="20"/>
                <w:lang w:eastAsia="hr-HR"/>
              </w:rPr>
            </w:pPr>
            <w:r>
              <w:rPr>
                <w:rFonts w:cs="Times New Roman" w:eastAsia="Times New Roman"/>
                <w:b/>
                <w:bCs/>
                <w:color w:val="000000"/>
                <w:sz w:val="20"/>
                <w:szCs w:val="20"/>
                <w:lang w:eastAsia="hr-HR"/>
              </w:rPr>
              <w:t>OIB</w:t>
            </w:r>
          </w:p>
        </w:tc>
        <w:tc>
          <w:tcPr>
            <w:tcW w:type="dxa" w:w="2835"/>
            <w:tcBorders>
              <w:top w:space="0" w:sz="4" w:color="auto" w:val="single"/>
              <w:left w:val="nil"/>
              <w:bottom w:space="0" w:sz="4" w:color="auto" w:val="single"/>
              <w:right w:space="0" w:sz="4" w:color="auto" w:val="single"/>
            </w:tcBorders>
            <w:shd w:fill="E5E0EC" w:color="auto" w:val="clear"/>
            <w:vAlign w:val="bottom"/>
            <w:hideMark/>
          </w:tcPr>
          <w:p w:rsidRDefault="00924162" w:rsidR="00924162">
            <w:pPr>
              <w:spacing w:after="0"/>
              <w:jc w:val="center"/>
              <w:rPr>
                <w:rFonts w:cs="Times New Roman" w:eastAsia="Times New Roman"/>
                <w:b/>
                <w:bCs/>
                <w:color w:val="000000"/>
                <w:sz w:val="20"/>
                <w:szCs w:val="20"/>
                <w:lang w:eastAsia="hr-HR"/>
              </w:rPr>
            </w:pPr>
            <w:r>
              <w:rPr>
                <w:rFonts w:cs="Times New Roman" w:eastAsia="Times New Roman"/>
                <w:b/>
                <w:bCs/>
                <w:color w:val="000000"/>
                <w:sz w:val="20"/>
                <w:szCs w:val="20"/>
                <w:lang w:eastAsia="hr-HR"/>
              </w:rPr>
              <w:t>ADRESA</w:t>
            </w:r>
          </w:p>
        </w:tc>
        <w:tc>
          <w:tcPr>
            <w:tcW w:type="dxa" w:w="839"/>
            <w:tcBorders>
              <w:top w:space="0" w:sz="4" w:color="auto" w:val="single"/>
              <w:left w:val="nil"/>
              <w:bottom w:space="0" w:sz="4" w:color="auto" w:val="single"/>
              <w:right w:space="0" w:sz="4" w:color="auto" w:val="single"/>
            </w:tcBorders>
            <w:shd w:fill="E5E0EC" w:color="auto" w:val="clear"/>
            <w:vAlign w:val="bottom"/>
            <w:hideMark/>
          </w:tcPr>
          <w:p w:rsidRDefault="00924162" w:rsidR="00924162">
            <w:pPr>
              <w:spacing w:after="0"/>
              <w:jc w:val="center"/>
              <w:rPr>
                <w:rFonts w:cs="Times New Roman" w:eastAsia="Times New Roman"/>
                <w:b/>
                <w:bCs/>
                <w:color w:val="000000"/>
                <w:sz w:val="20"/>
                <w:szCs w:val="20"/>
                <w:lang w:eastAsia="hr-HR"/>
              </w:rPr>
            </w:pPr>
            <w:r>
              <w:rPr>
                <w:rFonts w:cs="Times New Roman" w:eastAsia="Times New Roman"/>
                <w:b/>
                <w:bCs/>
                <w:color w:val="000000"/>
                <w:sz w:val="20"/>
                <w:szCs w:val="20"/>
                <w:lang w:eastAsia="hr-HR"/>
              </w:rPr>
              <w:t>IZNOS</w:t>
            </w:r>
          </w:p>
        </w:tc>
        <w:tc>
          <w:tcPr>
            <w:tcW w:type="dxa" w:w="875"/>
            <w:tcBorders>
              <w:top w:space="0" w:sz="4" w:color="auto" w:val="single"/>
              <w:left w:val="nil"/>
              <w:bottom w:space="0" w:sz="4" w:color="auto" w:val="single"/>
              <w:right w:space="0" w:sz="4" w:color="auto" w:val="single"/>
            </w:tcBorders>
            <w:shd w:fill="E5E0EC" w:color="auto" w:val="clear"/>
            <w:vAlign w:val="bottom"/>
            <w:hideMark/>
          </w:tcPr>
          <w:p w:rsidRDefault="00924162" w:rsidR="00924162">
            <w:pPr>
              <w:spacing w:after="0"/>
              <w:jc w:val="center"/>
              <w:rPr>
                <w:rFonts w:cs="Times New Roman" w:eastAsia="Times New Roman"/>
                <w:b/>
                <w:bCs/>
                <w:color w:val="000000"/>
                <w:sz w:val="20"/>
                <w:szCs w:val="20"/>
                <w:lang w:eastAsia="hr-HR"/>
              </w:rPr>
            </w:pPr>
            <w:r>
              <w:rPr>
                <w:rFonts w:cs="Times New Roman" w:eastAsia="Times New Roman"/>
                <w:b/>
                <w:bCs/>
                <w:color w:val="000000"/>
                <w:sz w:val="20"/>
                <w:szCs w:val="20"/>
                <w:lang w:eastAsia="hr-HR"/>
              </w:rPr>
              <w:t>OTPIS</w:t>
            </w:r>
          </w:p>
        </w:tc>
        <w:tc>
          <w:tcPr>
            <w:tcW w:type="dxa" w:w="1506"/>
            <w:tcBorders>
              <w:top w:space="0" w:sz="4" w:color="auto" w:val="single"/>
              <w:left w:val="nil"/>
              <w:bottom w:space="0" w:sz="4" w:color="auto" w:val="single"/>
              <w:right w:space="0" w:sz="4" w:color="auto" w:val="single"/>
            </w:tcBorders>
            <w:shd w:fill="E5E0EC" w:color="auto" w:val="clear"/>
            <w:vAlign w:val="bottom"/>
            <w:hideMark/>
          </w:tcPr>
          <w:p w:rsidRDefault="00924162" w:rsidR="00924162">
            <w:pPr>
              <w:spacing w:after="0"/>
              <w:rPr>
                <w:rFonts w:cs="Times New Roman" w:eastAsia="Times New Roman"/>
                <w:b/>
                <w:bCs/>
                <w:color w:val="000000"/>
                <w:sz w:val="20"/>
                <w:szCs w:val="20"/>
                <w:lang w:eastAsia="hr-HR"/>
              </w:rPr>
            </w:pPr>
            <w:r>
              <w:rPr>
                <w:rFonts w:cs="Times New Roman" w:eastAsia="Times New Roman"/>
                <w:b/>
                <w:bCs/>
                <w:color w:val="000000"/>
                <w:sz w:val="20"/>
                <w:szCs w:val="20"/>
                <w:lang w:eastAsia="hr-HR"/>
              </w:rPr>
              <w:t>OTPISANA VRIJEDNOST</w:t>
            </w:r>
          </w:p>
        </w:tc>
        <w:tc>
          <w:tcPr>
            <w:tcW w:type="dxa" w:w="1506"/>
            <w:tcBorders>
              <w:top w:space="0" w:sz="4" w:color="auto" w:val="single"/>
              <w:left w:val="nil"/>
              <w:bottom w:space="0" w:sz="4" w:color="auto" w:val="single"/>
              <w:right w:space="0" w:sz="4" w:color="auto" w:val="single"/>
            </w:tcBorders>
            <w:shd w:fill="E5E0EC" w:color="auto" w:val="clear"/>
            <w:vAlign w:val="bottom"/>
            <w:hideMark/>
          </w:tcPr>
          <w:p w:rsidRDefault="00924162" w:rsidR="00924162">
            <w:pPr>
              <w:spacing w:after="0"/>
              <w:rPr>
                <w:rFonts w:cs="Times New Roman" w:eastAsia="Times New Roman"/>
                <w:b/>
                <w:bCs/>
                <w:color w:val="000000"/>
                <w:sz w:val="20"/>
                <w:szCs w:val="20"/>
                <w:lang w:eastAsia="hr-HR"/>
              </w:rPr>
            </w:pPr>
            <w:r>
              <w:rPr>
                <w:rFonts w:cs="Times New Roman" w:eastAsia="Times New Roman"/>
                <w:b/>
                <w:bCs/>
                <w:color w:val="000000"/>
                <w:sz w:val="20"/>
                <w:szCs w:val="20"/>
                <w:lang w:eastAsia="hr-HR"/>
              </w:rPr>
              <w:t>VRIJEDNOST OTPLATE</w:t>
            </w:r>
          </w:p>
        </w:tc>
        <w:tc>
          <w:tcPr>
            <w:tcW w:type="dxa" w:w="1317"/>
            <w:tcBorders>
              <w:top w:space="0" w:sz="4" w:color="auto" w:val="single"/>
              <w:left w:val="nil"/>
              <w:bottom w:space="0" w:sz="4" w:color="auto" w:val="single"/>
              <w:right w:space="0" w:sz="4" w:color="auto" w:val="single"/>
            </w:tcBorders>
            <w:shd w:fill="E5E0EC" w:color="auto" w:val="clear"/>
            <w:vAlign w:val="bottom"/>
            <w:hideMark/>
          </w:tcPr>
          <w:p w:rsidRDefault="00924162" w:rsidR="00924162">
            <w:pPr>
              <w:spacing w:after="0"/>
              <w:rPr>
                <w:rFonts w:cs="Times New Roman" w:eastAsia="Times New Roman"/>
                <w:b/>
                <w:bCs/>
                <w:color w:val="000000"/>
                <w:sz w:val="20"/>
                <w:szCs w:val="20"/>
                <w:lang w:eastAsia="hr-HR"/>
              </w:rPr>
            </w:pPr>
            <w:r>
              <w:rPr>
                <w:rFonts w:cs="Times New Roman" w:eastAsia="Times New Roman"/>
                <w:b/>
                <w:bCs/>
                <w:color w:val="000000"/>
                <w:sz w:val="20"/>
                <w:szCs w:val="20"/>
                <w:lang w:eastAsia="hr-HR"/>
              </w:rPr>
              <w:t>MJESEČNA RATA BEZ KAMATA</w:t>
            </w:r>
          </w:p>
        </w:tc>
      </w:tr>
      <w:tr w:rsidTr="00924162" w:rsidR="00924162">
        <w:trPr>
          <w:trHeight w:val="300"/>
        </w:trPr>
        <w:tc>
          <w:tcPr>
            <w:tcW w:type="dxa" w:w="680"/>
            <w:tcBorders>
              <w:top w:val="nil"/>
              <w:left w:space="0" w:sz="4" w:color="auto" w:val="single"/>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w:t>
            </w:r>
          </w:p>
        </w:tc>
        <w:tc>
          <w:tcPr>
            <w:tcW w:type="dxa" w:w="3572"/>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ERSTE&amp;STEIERMÄRKISCHE BANK d. d.</w:t>
            </w:r>
          </w:p>
        </w:tc>
        <w:tc>
          <w:tcPr>
            <w:tcW w:type="dxa" w:w="1474"/>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23057039320</w:t>
            </w:r>
          </w:p>
        </w:tc>
        <w:tc>
          <w:tcPr>
            <w:tcW w:type="dxa" w:w="2835"/>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51 000 Rijeka, Jadranski trg 3</w:t>
            </w:r>
          </w:p>
        </w:tc>
        <w:tc>
          <w:tcPr>
            <w:tcW w:type="dxa" w:w="839"/>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262,22</w:t>
            </w:r>
          </w:p>
        </w:tc>
        <w:tc>
          <w:tcPr>
            <w:tcW w:type="dxa" w:w="875"/>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70,00%</w:t>
            </w:r>
          </w:p>
        </w:tc>
        <w:tc>
          <w:tcPr>
            <w:tcW w:type="dxa" w:w="150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183,55</w:t>
            </w:r>
          </w:p>
        </w:tc>
        <w:tc>
          <w:tcPr>
            <w:tcW w:type="dxa" w:w="150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78,67</w:t>
            </w:r>
          </w:p>
        </w:tc>
        <w:tc>
          <w:tcPr>
            <w:tcW w:type="dxa" w:w="1317"/>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1,31</w:t>
            </w:r>
          </w:p>
        </w:tc>
      </w:tr>
      <w:tr w:rsidTr="00924162" w:rsidR="00924162">
        <w:trPr>
          <w:trHeight w:val="300"/>
        </w:trPr>
        <w:tc>
          <w:tcPr>
            <w:tcW w:type="dxa" w:w="680"/>
            <w:tcBorders>
              <w:top w:val="nil"/>
              <w:left w:space="0" w:sz="4" w:color="auto" w:val="single"/>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w:t>
            </w:r>
          </w:p>
        </w:tc>
        <w:tc>
          <w:tcPr>
            <w:tcW w:type="dxa" w:w="3572"/>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w:t>
            </w:r>
          </w:p>
        </w:tc>
        <w:tc>
          <w:tcPr>
            <w:tcW w:type="dxa" w:w="1474"/>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w:t>
            </w:r>
          </w:p>
        </w:tc>
        <w:tc>
          <w:tcPr>
            <w:tcW w:type="dxa" w:w="2835"/>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w:t>
            </w:r>
          </w:p>
        </w:tc>
        <w:tc>
          <w:tcPr>
            <w:tcW w:type="dxa" w:w="839"/>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262,22</w:t>
            </w:r>
          </w:p>
        </w:tc>
        <w:tc>
          <w:tcPr>
            <w:tcW w:type="dxa" w:w="875"/>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w:t>
            </w:r>
          </w:p>
        </w:tc>
        <w:tc>
          <w:tcPr>
            <w:tcW w:type="dxa" w:w="1506"/>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w:t>
            </w:r>
          </w:p>
        </w:tc>
        <w:tc>
          <w:tcPr>
            <w:tcW w:type="dxa" w:w="1506"/>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w:t>
            </w:r>
          </w:p>
        </w:tc>
        <w:tc>
          <w:tcPr>
            <w:tcW w:type="dxa" w:w="1317"/>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w:t>
            </w:r>
          </w:p>
        </w:tc>
      </w:tr>
    </w:tbl>
    <w:p w:rsidRDefault="00924162" w:rsidP="00924162" w:rsidR="00924162">
      <w:pPr>
        <w:spacing w:lineRule="auto" w:line="360"/>
        <w:jc w:val="both"/>
        <w:rPr>
          <w:rFonts w:cs="Times New Roman"/>
        </w:rPr>
      </w:pPr>
    </w:p>
    <w:p w:rsidRDefault="00924162" w:rsidP="00924162" w:rsidR="00924162">
      <w:pPr>
        <w:spacing w:lineRule="auto" w:line="360"/>
        <w:rPr>
          <w:rFonts w:cs="Times New Roman"/>
        </w:rPr>
      </w:pPr>
    </w:p>
    <w:p w:rsidRDefault="00924162" w:rsidP="00924162" w:rsidR="00924162">
      <w:pPr>
        <w:spacing w:lineRule="auto" w:line="360"/>
        <w:rPr>
          <w:rFonts w:cs="Times New Roman"/>
        </w:rPr>
      </w:pPr>
    </w:p>
    <w:p w:rsidRDefault="00924162" w:rsidP="00924162" w:rsidR="00924162">
      <w:pPr>
        <w:spacing w:lineRule="auto" w:line="360"/>
        <w:rPr>
          <w:rFonts w:cs="Times New Roman"/>
        </w:rPr>
      </w:pPr>
    </w:p>
    <w:p w:rsidRDefault="00924162" w:rsidP="00924162" w:rsidR="00924162">
      <w:pPr>
        <w:spacing w:lineRule="auto" w:line="360"/>
        <w:rPr>
          <w:rFonts w:cs="Times New Roman"/>
        </w:rPr>
      </w:pPr>
    </w:p>
    <w:p w:rsidRDefault="00924162" w:rsidP="00924162" w:rsidR="00924162">
      <w:pPr>
        <w:spacing w:lineRule="auto" w:line="360"/>
        <w:rPr>
          <w:rFonts w:cs="Times New Roman"/>
        </w:rPr>
      </w:pPr>
    </w:p>
    <w:p w:rsidRDefault="00924162" w:rsidP="00924162" w:rsidR="00924162">
      <w:pPr>
        <w:spacing w:lineRule="auto" w:line="360"/>
        <w:rPr>
          <w:rFonts w:cs="Times New Roman"/>
        </w:rPr>
      </w:pPr>
    </w:p>
    <w:p w:rsidRDefault="00924162" w:rsidP="00924162" w:rsidR="00924162">
      <w:pPr>
        <w:spacing w:lineRule="auto" w:line="360"/>
        <w:rPr>
          <w:rFonts w:cs="Times New Roman"/>
        </w:rPr>
      </w:pPr>
    </w:p>
    <w:p w:rsidRDefault="00924162" w:rsidP="00924162" w:rsidR="00924162">
      <w:pPr>
        <w:spacing w:lineRule="auto" w:line="360"/>
        <w:rPr>
          <w:rFonts w:cs="Times New Roman"/>
          <w:b/>
          <w:i/>
          <w:u w:val="single"/>
        </w:rPr>
      </w:pPr>
    </w:p>
    <w:p w:rsidRDefault="00924162" w:rsidP="00924162" w:rsidR="00924162">
      <w:pPr>
        <w:spacing w:lineRule="auto" w:line="360"/>
        <w:rPr>
          <w:rFonts w:cs="Times New Roman"/>
          <w:b/>
          <w:i/>
          <w:u w:val="single"/>
        </w:rPr>
      </w:pPr>
      <w:r>
        <w:rPr>
          <w:rFonts w:cs="Times New Roman"/>
          <w:b/>
          <w:i/>
          <w:u w:val="single"/>
        </w:rPr>
        <w:t xml:space="preserve">Za treću grupu vjerovnika: </w:t>
      </w:r>
    </w:p>
    <w:p w:rsidRDefault="00924162" w:rsidP="00924162" w:rsidR="00924162">
      <w:pPr>
        <w:spacing w:lineRule="auto" w:line="360"/>
        <w:rPr>
          <w:rFonts w:cs="Times New Roman"/>
          <w:b/>
          <w:i/>
          <w:u w:val="single"/>
        </w:rPr>
      </w:pPr>
      <w:r>
        <w:rPr>
          <w:rFonts w:cs="Times New Roman"/>
          <w:b/>
          <w:i/>
          <w:u w:val="single"/>
        </w:rPr>
        <w:t>1.  Obveze prema dobavljačima i ostalim vjerovnicima</w:t>
      </w:r>
      <w:r>
        <w:rPr>
          <w:rFonts w:cs="Times New Roman"/>
          <w:i/>
        </w:rPr>
        <w:t xml:space="preserve"> : </w:t>
      </w:r>
    </w:p>
    <w:p w:rsidRDefault="00924162" w:rsidP="00924162" w:rsidR="00924162">
      <w:pPr>
        <w:pStyle w:val="Standard"/>
        <w:autoSpaceDE w:val="false"/>
        <w:spacing w:lineRule="auto" w:line="360" w:after="200"/>
        <w:jc w:val="both"/>
        <w:rPr>
          <w:rFonts w:cs="Times New Roman"/>
        </w:rPr>
      </w:pPr>
      <w:r>
        <w:rPr>
          <w:rFonts w:cs="Times New Roman"/>
        </w:rPr>
        <w:t xml:space="preserve">Dug prema dobavljačima i ostalim vjerovnicima na dan 30.06.2016. godine iznosi 1.563.400,20 </w:t>
      </w:r>
      <w:r>
        <w:rPr>
          <w:rFonts w:cs="Times New Roman"/>
          <w:color w:val="000000"/>
        </w:rPr>
        <w:t>kn</w:t>
      </w:r>
      <w:r>
        <w:rPr>
          <w:rFonts w:cs="Times New Roman"/>
        </w:rPr>
        <w:t xml:space="preserve">. Predviđen je otpis 70% ukupno utvrđene tražbine, te nakon dvije godine počeka, obročna otplata 30% ukupno utvrđene tražbine u 60 jednakih mjesečnih obroka (anuiteta) beskamatno, a sve počevši od dana pravomoćnosti Rješenja o sklopljenoj </w:t>
      </w:r>
      <w:proofErr w:type="spellStart"/>
      <w:r>
        <w:rPr>
          <w:rFonts w:cs="Times New Roman"/>
        </w:rPr>
        <w:t>predstečajnoj</w:t>
      </w:r>
      <w:proofErr w:type="spellEnd"/>
      <w:r>
        <w:rPr>
          <w:rFonts w:cs="Times New Roman"/>
        </w:rPr>
        <w:t xml:space="preserve"> nagodbi pred Trgovačkim sudom.</w:t>
      </w:r>
    </w:p>
    <w:tbl>
      <w:tblPr>
        <w:tblW w:type="dxa" w:w="14568"/>
        <w:tblInd w:type="dxa" w:w="93"/>
        <w:tblLook w:val="04A0" w:noVBand="1" w:noHBand="0" w:lastColumn="0" w:firstColumn="1" w:lastRow="0" w:firstRow="1"/>
      </w:tblPr>
      <w:tblGrid>
        <w:gridCol w:w="639"/>
        <w:gridCol w:w="3175"/>
        <w:gridCol w:w="1555"/>
        <w:gridCol w:w="2721"/>
        <w:gridCol w:w="1492"/>
        <w:gridCol w:w="935"/>
        <w:gridCol w:w="1506"/>
        <w:gridCol w:w="1506"/>
        <w:gridCol w:w="1317"/>
      </w:tblGrid>
      <w:tr w:rsidTr="00924162" w:rsidR="00924162">
        <w:trPr>
          <w:trHeight w:val="1035"/>
        </w:trPr>
        <w:tc>
          <w:tcPr>
            <w:tcW w:type="dxa" w:w="639"/>
            <w:tcBorders>
              <w:top w:space="0" w:sz="4" w:color="auto" w:val="single"/>
              <w:left w:space="0" w:sz="4" w:color="auto" w:val="single"/>
              <w:bottom w:space="0" w:sz="4" w:color="auto" w:val="single"/>
              <w:right w:space="0" w:sz="4" w:color="auto" w:val="single"/>
            </w:tcBorders>
            <w:shd w:fill="E5E0EC" w:color="auto" w:val="clear"/>
            <w:noWrap/>
            <w:vAlign w:val="bottom"/>
            <w:hideMark/>
          </w:tcPr>
          <w:p w:rsidRDefault="00924162" w:rsidR="00924162">
            <w:pPr>
              <w:spacing w:after="0"/>
              <w:jc w:val="center"/>
              <w:rPr>
                <w:rFonts w:cs="Times New Roman" w:eastAsia="Times New Roman"/>
                <w:b/>
                <w:bCs/>
                <w:color w:val="000000"/>
                <w:sz w:val="20"/>
                <w:szCs w:val="20"/>
                <w:lang w:eastAsia="hr-HR"/>
              </w:rPr>
            </w:pPr>
            <w:r>
              <w:rPr>
                <w:rFonts w:cs="Times New Roman" w:eastAsia="Times New Roman"/>
                <w:b/>
                <w:bCs/>
                <w:color w:val="000000"/>
                <w:sz w:val="20"/>
                <w:szCs w:val="20"/>
                <w:lang w:eastAsia="hr-HR"/>
              </w:rPr>
              <w:t>RBR</w:t>
            </w:r>
          </w:p>
        </w:tc>
        <w:tc>
          <w:tcPr>
            <w:tcW w:type="dxa" w:w="3175"/>
            <w:tcBorders>
              <w:top w:space="0" w:sz="4" w:color="auto" w:val="single"/>
              <w:left w:val="nil"/>
              <w:bottom w:space="0" w:sz="4" w:color="auto" w:val="single"/>
              <w:right w:space="0" w:sz="4" w:color="auto" w:val="single"/>
            </w:tcBorders>
            <w:shd w:fill="E5E0EC" w:color="auto" w:val="clear"/>
            <w:vAlign w:val="bottom"/>
            <w:hideMark/>
          </w:tcPr>
          <w:p w:rsidRDefault="00924162" w:rsidR="00924162">
            <w:pPr>
              <w:spacing w:after="0"/>
              <w:jc w:val="center"/>
              <w:rPr>
                <w:rFonts w:cs="Times New Roman" w:eastAsia="Times New Roman"/>
                <w:b/>
                <w:bCs/>
                <w:color w:val="000000"/>
                <w:sz w:val="20"/>
                <w:szCs w:val="20"/>
                <w:lang w:eastAsia="hr-HR"/>
              </w:rPr>
            </w:pPr>
            <w:r>
              <w:rPr>
                <w:rFonts w:cs="Times New Roman" w:eastAsia="Times New Roman"/>
                <w:b/>
                <w:bCs/>
                <w:color w:val="000000"/>
                <w:sz w:val="20"/>
                <w:szCs w:val="20"/>
                <w:lang w:eastAsia="hr-HR"/>
              </w:rPr>
              <w:t>NAZIV VJEROVNIKA</w:t>
            </w:r>
          </w:p>
        </w:tc>
        <w:tc>
          <w:tcPr>
            <w:tcW w:type="dxa" w:w="1443"/>
            <w:tcBorders>
              <w:top w:space="0" w:sz="4" w:color="auto" w:val="single"/>
              <w:left w:val="nil"/>
              <w:bottom w:space="0" w:sz="4" w:color="auto" w:val="single"/>
              <w:right w:space="0" w:sz="4" w:color="auto" w:val="single"/>
            </w:tcBorders>
            <w:shd w:fill="E5E0EC" w:color="auto" w:val="clear"/>
            <w:vAlign w:val="bottom"/>
            <w:hideMark/>
          </w:tcPr>
          <w:p w:rsidRDefault="00924162" w:rsidR="00924162">
            <w:pPr>
              <w:spacing w:after="0"/>
              <w:jc w:val="center"/>
              <w:rPr>
                <w:rFonts w:cs="Times New Roman" w:eastAsia="Times New Roman"/>
                <w:b/>
                <w:bCs/>
                <w:color w:val="000000"/>
                <w:sz w:val="20"/>
                <w:szCs w:val="20"/>
                <w:lang w:eastAsia="hr-HR"/>
              </w:rPr>
            </w:pPr>
            <w:r>
              <w:rPr>
                <w:rFonts w:cs="Times New Roman" w:eastAsia="Times New Roman"/>
                <w:b/>
                <w:bCs/>
                <w:color w:val="000000"/>
                <w:sz w:val="20"/>
                <w:szCs w:val="20"/>
                <w:lang w:eastAsia="hr-HR"/>
              </w:rPr>
              <w:t>OIB</w:t>
            </w:r>
          </w:p>
        </w:tc>
        <w:tc>
          <w:tcPr>
            <w:tcW w:type="dxa" w:w="2721"/>
            <w:tcBorders>
              <w:top w:space="0" w:sz="4" w:color="auto" w:val="single"/>
              <w:left w:val="nil"/>
              <w:bottom w:space="0" w:sz="4" w:color="auto" w:val="single"/>
              <w:right w:space="0" w:sz="4" w:color="auto" w:val="single"/>
            </w:tcBorders>
            <w:shd w:fill="E5E0EC" w:color="auto" w:val="clear"/>
            <w:vAlign w:val="bottom"/>
            <w:hideMark/>
          </w:tcPr>
          <w:p w:rsidRDefault="00924162" w:rsidR="00924162">
            <w:pPr>
              <w:spacing w:after="0"/>
              <w:jc w:val="center"/>
              <w:rPr>
                <w:rFonts w:cs="Times New Roman" w:eastAsia="Times New Roman"/>
                <w:b/>
                <w:bCs/>
                <w:color w:val="000000"/>
                <w:sz w:val="20"/>
                <w:szCs w:val="20"/>
                <w:lang w:eastAsia="hr-HR"/>
              </w:rPr>
            </w:pPr>
            <w:r>
              <w:rPr>
                <w:rFonts w:cs="Times New Roman" w:eastAsia="Times New Roman"/>
                <w:b/>
                <w:bCs/>
                <w:color w:val="000000"/>
                <w:sz w:val="20"/>
                <w:szCs w:val="20"/>
                <w:lang w:eastAsia="hr-HR"/>
              </w:rPr>
              <w:t>ADRESA</w:t>
            </w:r>
          </w:p>
        </w:tc>
        <w:tc>
          <w:tcPr>
            <w:tcW w:type="dxa" w:w="1386"/>
            <w:tcBorders>
              <w:top w:space="0" w:sz="4" w:color="auto" w:val="single"/>
              <w:left w:val="nil"/>
              <w:bottom w:space="0" w:sz="4" w:color="auto" w:val="single"/>
              <w:right w:space="0" w:sz="4" w:color="auto" w:val="single"/>
            </w:tcBorders>
            <w:shd w:fill="E5E0EC" w:color="auto" w:val="clear"/>
            <w:vAlign w:val="bottom"/>
            <w:hideMark/>
          </w:tcPr>
          <w:p w:rsidRDefault="00924162" w:rsidR="00924162">
            <w:pPr>
              <w:spacing w:after="0"/>
              <w:jc w:val="center"/>
              <w:rPr>
                <w:rFonts w:cs="Times New Roman" w:eastAsia="Times New Roman"/>
                <w:b/>
                <w:bCs/>
                <w:color w:val="000000"/>
                <w:sz w:val="20"/>
                <w:szCs w:val="20"/>
                <w:lang w:eastAsia="hr-HR"/>
              </w:rPr>
            </w:pPr>
            <w:r>
              <w:rPr>
                <w:rFonts w:cs="Times New Roman" w:eastAsia="Times New Roman"/>
                <w:b/>
                <w:bCs/>
                <w:color w:val="000000"/>
                <w:sz w:val="20"/>
                <w:szCs w:val="20"/>
                <w:lang w:eastAsia="hr-HR"/>
              </w:rPr>
              <w:t>IZNOS</w:t>
            </w:r>
          </w:p>
        </w:tc>
        <w:tc>
          <w:tcPr>
            <w:tcW w:type="dxa" w:w="875"/>
            <w:tcBorders>
              <w:top w:space="0" w:sz="4" w:color="auto" w:val="single"/>
              <w:left w:val="nil"/>
              <w:bottom w:space="0" w:sz="4" w:color="auto" w:val="single"/>
              <w:right w:space="0" w:sz="4" w:color="auto" w:val="single"/>
            </w:tcBorders>
            <w:shd w:fill="E5E0EC" w:color="auto" w:val="clear"/>
            <w:vAlign w:val="bottom"/>
            <w:hideMark/>
          </w:tcPr>
          <w:p w:rsidRDefault="00924162" w:rsidR="00924162">
            <w:pPr>
              <w:spacing w:after="0"/>
              <w:jc w:val="center"/>
              <w:rPr>
                <w:rFonts w:cs="Times New Roman" w:eastAsia="Times New Roman"/>
                <w:b/>
                <w:bCs/>
                <w:color w:val="000000"/>
                <w:sz w:val="20"/>
                <w:szCs w:val="20"/>
                <w:lang w:eastAsia="hr-HR"/>
              </w:rPr>
            </w:pPr>
            <w:r>
              <w:rPr>
                <w:rFonts w:cs="Times New Roman" w:eastAsia="Times New Roman"/>
                <w:b/>
                <w:bCs/>
                <w:color w:val="000000"/>
                <w:sz w:val="20"/>
                <w:szCs w:val="20"/>
                <w:lang w:eastAsia="hr-HR"/>
              </w:rPr>
              <w:t>OTPIS</w:t>
            </w:r>
          </w:p>
        </w:tc>
        <w:tc>
          <w:tcPr>
            <w:tcW w:type="dxa" w:w="1506"/>
            <w:tcBorders>
              <w:top w:space="0" w:sz="4" w:color="auto" w:val="single"/>
              <w:left w:val="nil"/>
              <w:bottom w:space="0" w:sz="4" w:color="auto" w:val="single"/>
              <w:right w:space="0" w:sz="4" w:color="auto" w:val="single"/>
            </w:tcBorders>
            <w:shd w:fill="E5E0EC" w:color="auto" w:val="clear"/>
            <w:vAlign w:val="bottom"/>
            <w:hideMark/>
          </w:tcPr>
          <w:p w:rsidRDefault="00924162" w:rsidR="00924162">
            <w:pPr>
              <w:spacing w:after="0"/>
              <w:rPr>
                <w:rFonts w:cs="Times New Roman" w:eastAsia="Times New Roman"/>
                <w:b/>
                <w:bCs/>
                <w:color w:val="000000"/>
                <w:sz w:val="20"/>
                <w:szCs w:val="20"/>
                <w:lang w:eastAsia="hr-HR"/>
              </w:rPr>
            </w:pPr>
            <w:r>
              <w:rPr>
                <w:rFonts w:cs="Times New Roman" w:eastAsia="Times New Roman"/>
                <w:b/>
                <w:bCs/>
                <w:color w:val="000000"/>
                <w:sz w:val="20"/>
                <w:szCs w:val="20"/>
                <w:lang w:eastAsia="hr-HR"/>
              </w:rPr>
              <w:t>OTPISANA VRIJEDNOST</w:t>
            </w:r>
          </w:p>
        </w:tc>
        <w:tc>
          <w:tcPr>
            <w:tcW w:type="dxa" w:w="1506"/>
            <w:tcBorders>
              <w:top w:space="0" w:sz="4" w:color="auto" w:val="single"/>
              <w:left w:val="nil"/>
              <w:bottom w:space="0" w:sz="4" w:color="auto" w:val="single"/>
              <w:right w:space="0" w:sz="4" w:color="auto" w:val="single"/>
            </w:tcBorders>
            <w:shd w:fill="E5E0EC" w:color="auto" w:val="clear"/>
            <w:vAlign w:val="bottom"/>
            <w:hideMark/>
          </w:tcPr>
          <w:p w:rsidRDefault="00924162" w:rsidR="00924162">
            <w:pPr>
              <w:spacing w:after="0"/>
              <w:rPr>
                <w:rFonts w:cs="Times New Roman" w:eastAsia="Times New Roman"/>
                <w:b/>
                <w:bCs/>
                <w:color w:val="000000"/>
                <w:sz w:val="20"/>
                <w:szCs w:val="20"/>
                <w:lang w:eastAsia="hr-HR"/>
              </w:rPr>
            </w:pPr>
            <w:r>
              <w:rPr>
                <w:rFonts w:cs="Times New Roman" w:eastAsia="Times New Roman"/>
                <w:b/>
                <w:bCs/>
                <w:color w:val="000000"/>
                <w:sz w:val="20"/>
                <w:szCs w:val="20"/>
                <w:lang w:eastAsia="hr-HR"/>
              </w:rPr>
              <w:t>VRIJEDNOST OTPLATE</w:t>
            </w:r>
          </w:p>
        </w:tc>
        <w:tc>
          <w:tcPr>
            <w:tcW w:type="dxa" w:w="1317"/>
            <w:tcBorders>
              <w:top w:space="0" w:sz="4" w:color="auto" w:val="single"/>
              <w:left w:val="nil"/>
              <w:bottom w:space="0" w:sz="4" w:color="auto" w:val="single"/>
              <w:right w:space="0" w:sz="4" w:color="auto" w:val="single"/>
            </w:tcBorders>
            <w:shd w:fill="E5E0EC" w:color="auto" w:val="clear"/>
            <w:vAlign w:val="bottom"/>
            <w:hideMark/>
          </w:tcPr>
          <w:p w:rsidRDefault="00924162" w:rsidR="00924162">
            <w:pPr>
              <w:spacing w:after="0"/>
              <w:rPr>
                <w:rFonts w:cs="Times New Roman" w:eastAsia="Times New Roman"/>
                <w:b/>
                <w:bCs/>
                <w:color w:val="000000"/>
                <w:sz w:val="20"/>
                <w:szCs w:val="20"/>
                <w:lang w:eastAsia="hr-HR"/>
              </w:rPr>
            </w:pPr>
            <w:r>
              <w:rPr>
                <w:rFonts w:cs="Times New Roman" w:eastAsia="Times New Roman"/>
                <w:b/>
                <w:bCs/>
                <w:color w:val="000000"/>
                <w:sz w:val="20"/>
                <w:szCs w:val="20"/>
                <w:lang w:eastAsia="hr-HR"/>
              </w:rPr>
              <w:t>MJESEČNA RATA BEZ KAMATA</w:t>
            </w:r>
          </w:p>
        </w:tc>
      </w:tr>
      <w:tr w:rsidTr="00924162" w:rsidR="00924162">
        <w:trPr>
          <w:trHeight w:val="300"/>
        </w:trPr>
        <w:tc>
          <w:tcPr>
            <w:tcW w:type="dxa" w:w="639"/>
            <w:tcBorders>
              <w:top w:val="nil"/>
              <w:left w:space="0" w:sz="4" w:color="auto" w:val="single"/>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w:t>
            </w:r>
          </w:p>
        </w:tc>
        <w:tc>
          <w:tcPr>
            <w:tcW w:type="dxa" w:w="3175"/>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AGROPROJEKT d.o.o.</w:t>
            </w:r>
          </w:p>
        </w:tc>
        <w:tc>
          <w:tcPr>
            <w:tcW w:type="dxa" w:w="1443"/>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31999338764</w:t>
            </w:r>
          </w:p>
        </w:tc>
        <w:tc>
          <w:tcPr>
            <w:tcW w:type="dxa" w:w="2721"/>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47 000 Karlovac, Banija 130</w:t>
            </w:r>
          </w:p>
        </w:tc>
        <w:tc>
          <w:tcPr>
            <w:tcW w:type="dxa" w:w="138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22.750,00</w:t>
            </w:r>
          </w:p>
        </w:tc>
        <w:tc>
          <w:tcPr>
            <w:tcW w:type="dxa" w:w="875"/>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70,00%</w:t>
            </w:r>
          </w:p>
        </w:tc>
        <w:tc>
          <w:tcPr>
            <w:tcW w:type="dxa" w:w="150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15.925,00</w:t>
            </w:r>
          </w:p>
        </w:tc>
        <w:tc>
          <w:tcPr>
            <w:tcW w:type="dxa" w:w="150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6.825,00</w:t>
            </w:r>
          </w:p>
        </w:tc>
        <w:tc>
          <w:tcPr>
            <w:tcW w:type="dxa" w:w="1317"/>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113,75</w:t>
            </w:r>
          </w:p>
        </w:tc>
      </w:tr>
      <w:tr w:rsidTr="00924162" w:rsidR="00924162">
        <w:trPr>
          <w:trHeight w:val="300"/>
        </w:trPr>
        <w:tc>
          <w:tcPr>
            <w:tcW w:type="dxa" w:w="639"/>
            <w:tcBorders>
              <w:top w:val="nil"/>
              <w:left w:space="0" w:sz="4" w:color="auto" w:val="single"/>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2.</w:t>
            </w:r>
          </w:p>
        </w:tc>
        <w:tc>
          <w:tcPr>
            <w:tcW w:type="dxa" w:w="3175"/>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DIMNJAČARSKI OBRT, VL. ZDRAVKO JANKOVIĆ,</w:t>
            </w:r>
          </w:p>
        </w:tc>
        <w:tc>
          <w:tcPr>
            <w:tcW w:type="dxa" w:w="1443"/>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39891406813</w:t>
            </w:r>
          </w:p>
        </w:tc>
        <w:tc>
          <w:tcPr>
            <w:tcW w:type="dxa" w:w="2721"/>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43 000 Ciglena, Ciglena 185a</w:t>
            </w:r>
          </w:p>
        </w:tc>
        <w:tc>
          <w:tcPr>
            <w:tcW w:type="dxa" w:w="138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122,00</w:t>
            </w:r>
          </w:p>
        </w:tc>
        <w:tc>
          <w:tcPr>
            <w:tcW w:type="dxa" w:w="875"/>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70,00%</w:t>
            </w:r>
          </w:p>
        </w:tc>
        <w:tc>
          <w:tcPr>
            <w:tcW w:type="dxa" w:w="150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85,40</w:t>
            </w:r>
          </w:p>
        </w:tc>
        <w:tc>
          <w:tcPr>
            <w:tcW w:type="dxa" w:w="150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36,60</w:t>
            </w:r>
          </w:p>
        </w:tc>
        <w:tc>
          <w:tcPr>
            <w:tcW w:type="dxa" w:w="1317"/>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0,61</w:t>
            </w:r>
          </w:p>
        </w:tc>
      </w:tr>
      <w:tr w:rsidTr="00924162" w:rsidR="00924162">
        <w:trPr>
          <w:trHeight w:val="300"/>
        </w:trPr>
        <w:tc>
          <w:tcPr>
            <w:tcW w:type="dxa" w:w="639"/>
            <w:tcBorders>
              <w:top w:val="nil"/>
              <w:left w:space="0" w:sz="4" w:color="auto" w:val="single"/>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3.</w:t>
            </w:r>
          </w:p>
        </w:tc>
        <w:tc>
          <w:tcPr>
            <w:tcW w:type="dxa" w:w="3175"/>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HIDROREGULACIJA d.d.</w:t>
            </w:r>
          </w:p>
        </w:tc>
        <w:tc>
          <w:tcPr>
            <w:tcW w:type="dxa" w:w="1443"/>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54088531631</w:t>
            </w:r>
          </w:p>
        </w:tc>
        <w:tc>
          <w:tcPr>
            <w:tcW w:type="dxa" w:w="2721"/>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43 000 Bjelovar, Vatroslava Lisinskog 4</w:t>
            </w:r>
          </w:p>
        </w:tc>
        <w:tc>
          <w:tcPr>
            <w:tcW w:type="dxa" w:w="138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113,93</w:t>
            </w:r>
          </w:p>
        </w:tc>
        <w:tc>
          <w:tcPr>
            <w:tcW w:type="dxa" w:w="875"/>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70,00%</w:t>
            </w:r>
          </w:p>
        </w:tc>
        <w:tc>
          <w:tcPr>
            <w:tcW w:type="dxa" w:w="150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79,75</w:t>
            </w:r>
          </w:p>
        </w:tc>
        <w:tc>
          <w:tcPr>
            <w:tcW w:type="dxa" w:w="150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34,18</w:t>
            </w:r>
          </w:p>
        </w:tc>
        <w:tc>
          <w:tcPr>
            <w:tcW w:type="dxa" w:w="1317"/>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0,57</w:t>
            </w:r>
          </w:p>
        </w:tc>
      </w:tr>
      <w:tr w:rsidTr="00924162" w:rsidR="00924162">
        <w:trPr>
          <w:trHeight w:val="300"/>
        </w:trPr>
        <w:tc>
          <w:tcPr>
            <w:tcW w:type="dxa" w:w="639"/>
            <w:tcBorders>
              <w:top w:val="nil"/>
              <w:left w:space="0" w:sz="4" w:color="auto" w:val="single"/>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w:t>
            </w:r>
          </w:p>
        </w:tc>
        <w:tc>
          <w:tcPr>
            <w:tcW w:type="dxa" w:w="3175"/>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JAVNI BILJEŽNIK MARIJA KUSTIĆ</w:t>
            </w:r>
          </w:p>
        </w:tc>
        <w:tc>
          <w:tcPr>
            <w:tcW w:type="dxa" w:w="1443"/>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26027300253</w:t>
            </w:r>
          </w:p>
        </w:tc>
        <w:tc>
          <w:tcPr>
            <w:tcW w:type="dxa" w:w="2721"/>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43 000 Bjelovar, Dr. Ante Starčevića 5b</w:t>
            </w:r>
          </w:p>
        </w:tc>
        <w:tc>
          <w:tcPr>
            <w:tcW w:type="dxa" w:w="138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597,50</w:t>
            </w:r>
          </w:p>
        </w:tc>
        <w:tc>
          <w:tcPr>
            <w:tcW w:type="dxa" w:w="875"/>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70,00%</w:t>
            </w:r>
          </w:p>
        </w:tc>
        <w:tc>
          <w:tcPr>
            <w:tcW w:type="dxa" w:w="150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418,25</w:t>
            </w:r>
          </w:p>
        </w:tc>
        <w:tc>
          <w:tcPr>
            <w:tcW w:type="dxa" w:w="150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179,25</w:t>
            </w:r>
          </w:p>
        </w:tc>
        <w:tc>
          <w:tcPr>
            <w:tcW w:type="dxa" w:w="1317"/>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2,99</w:t>
            </w:r>
          </w:p>
        </w:tc>
      </w:tr>
      <w:tr w:rsidTr="00924162" w:rsidR="00924162">
        <w:trPr>
          <w:trHeight w:val="300"/>
        </w:trPr>
        <w:tc>
          <w:tcPr>
            <w:tcW w:type="dxa" w:w="639"/>
            <w:tcBorders>
              <w:top w:val="nil"/>
              <w:left w:space="0" w:sz="4" w:color="auto" w:val="single"/>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5.</w:t>
            </w:r>
          </w:p>
        </w:tc>
        <w:tc>
          <w:tcPr>
            <w:tcW w:type="dxa" w:w="3175"/>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JAVNI BILJEŽNIK MARTINA DUJMOVIĆ</w:t>
            </w:r>
          </w:p>
        </w:tc>
        <w:tc>
          <w:tcPr>
            <w:tcW w:type="dxa" w:w="1443"/>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36676911716</w:t>
            </w:r>
          </w:p>
        </w:tc>
        <w:tc>
          <w:tcPr>
            <w:tcW w:type="dxa" w:w="2721"/>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43 000 Bjelovar, Petra Preradovića 8/1</w:t>
            </w:r>
          </w:p>
        </w:tc>
        <w:tc>
          <w:tcPr>
            <w:tcW w:type="dxa" w:w="138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355,00</w:t>
            </w:r>
          </w:p>
        </w:tc>
        <w:tc>
          <w:tcPr>
            <w:tcW w:type="dxa" w:w="875"/>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70,00%</w:t>
            </w:r>
          </w:p>
        </w:tc>
        <w:tc>
          <w:tcPr>
            <w:tcW w:type="dxa" w:w="150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248,50</w:t>
            </w:r>
          </w:p>
        </w:tc>
        <w:tc>
          <w:tcPr>
            <w:tcW w:type="dxa" w:w="150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106,50</w:t>
            </w:r>
          </w:p>
        </w:tc>
        <w:tc>
          <w:tcPr>
            <w:tcW w:type="dxa" w:w="1317"/>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1,78</w:t>
            </w:r>
          </w:p>
        </w:tc>
      </w:tr>
      <w:tr w:rsidTr="00924162" w:rsidR="00924162">
        <w:trPr>
          <w:trHeight w:val="300"/>
        </w:trPr>
        <w:tc>
          <w:tcPr>
            <w:tcW w:type="dxa" w:w="639"/>
            <w:tcBorders>
              <w:top w:val="nil"/>
              <w:left w:space="0" w:sz="4" w:color="auto" w:val="single"/>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6.</w:t>
            </w:r>
          </w:p>
        </w:tc>
        <w:tc>
          <w:tcPr>
            <w:tcW w:type="dxa" w:w="3175"/>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xml:space="preserve">MAJCAN VETERINARSKA </w:t>
            </w:r>
            <w:r>
              <w:rPr>
                <w:rFonts w:cs="Times New Roman" w:eastAsia="Times New Roman" w:hAnsi="Calibri" w:ascii="Calibri"/>
                <w:color w:val="000000"/>
                <w:lang w:eastAsia="hr-HR"/>
              </w:rPr>
              <w:lastRenderedPageBreak/>
              <w:t>AMBULANTA d.o.o.</w:t>
            </w:r>
          </w:p>
        </w:tc>
        <w:tc>
          <w:tcPr>
            <w:tcW w:type="dxa" w:w="1443"/>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lastRenderedPageBreak/>
              <w:t>56492483135</w:t>
            </w:r>
          </w:p>
        </w:tc>
        <w:tc>
          <w:tcPr>
            <w:tcW w:type="dxa" w:w="2721"/>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xml:space="preserve">43 000 Bjelovar, Krste </w:t>
            </w:r>
            <w:r>
              <w:rPr>
                <w:rFonts w:cs="Times New Roman" w:eastAsia="Times New Roman" w:hAnsi="Calibri" w:ascii="Calibri"/>
                <w:color w:val="000000"/>
                <w:lang w:eastAsia="hr-HR"/>
              </w:rPr>
              <w:lastRenderedPageBreak/>
              <w:t>Frankopana 38</w:t>
            </w:r>
          </w:p>
        </w:tc>
        <w:tc>
          <w:tcPr>
            <w:tcW w:type="dxa" w:w="138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lastRenderedPageBreak/>
              <w:t>690,30</w:t>
            </w:r>
          </w:p>
        </w:tc>
        <w:tc>
          <w:tcPr>
            <w:tcW w:type="dxa" w:w="875"/>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70,00%</w:t>
            </w:r>
          </w:p>
        </w:tc>
        <w:tc>
          <w:tcPr>
            <w:tcW w:type="dxa" w:w="150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483,21</w:t>
            </w:r>
          </w:p>
        </w:tc>
        <w:tc>
          <w:tcPr>
            <w:tcW w:type="dxa" w:w="150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207,09</w:t>
            </w:r>
          </w:p>
        </w:tc>
        <w:tc>
          <w:tcPr>
            <w:tcW w:type="dxa" w:w="1317"/>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3,45</w:t>
            </w:r>
          </w:p>
        </w:tc>
      </w:tr>
      <w:tr w:rsidTr="00924162" w:rsidR="00924162">
        <w:trPr>
          <w:trHeight w:val="300"/>
        </w:trPr>
        <w:tc>
          <w:tcPr>
            <w:tcW w:type="dxa" w:w="639"/>
            <w:tcBorders>
              <w:top w:val="nil"/>
              <w:left w:space="0" w:sz="4" w:color="auto" w:val="single"/>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lastRenderedPageBreak/>
              <w:t>7.</w:t>
            </w:r>
          </w:p>
        </w:tc>
        <w:tc>
          <w:tcPr>
            <w:tcW w:type="dxa" w:w="3175"/>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QUALIA POSLOVNA RJEŠENJA d.o.o.</w:t>
            </w:r>
          </w:p>
        </w:tc>
        <w:tc>
          <w:tcPr>
            <w:tcW w:type="dxa" w:w="1443"/>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39031322823</w:t>
            </w:r>
          </w:p>
        </w:tc>
        <w:tc>
          <w:tcPr>
            <w:tcW w:type="dxa" w:w="2721"/>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10 000 Zagreb, Lastovska 23</w:t>
            </w:r>
          </w:p>
        </w:tc>
        <w:tc>
          <w:tcPr>
            <w:tcW w:type="dxa" w:w="138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12.156,50</w:t>
            </w:r>
          </w:p>
        </w:tc>
        <w:tc>
          <w:tcPr>
            <w:tcW w:type="dxa" w:w="875"/>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70,00%</w:t>
            </w:r>
          </w:p>
        </w:tc>
        <w:tc>
          <w:tcPr>
            <w:tcW w:type="dxa" w:w="150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8.509,55</w:t>
            </w:r>
          </w:p>
        </w:tc>
        <w:tc>
          <w:tcPr>
            <w:tcW w:type="dxa" w:w="150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3.646,95</w:t>
            </w:r>
          </w:p>
        </w:tc>
        <w:tc>
          <w:tcPr>
            <w:tcW w:type="dxa" w:w="1317"/>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60,78</w:t>
            </w:r>
          </w:p>
        </w:tc>
      </w:tr>
      <w:tr w:rsidTr="00924162" w:rsidR="00924162">
        <w:trPr>
          <w:trHeight w:val="300"/>
        </w:trPr>
        <w:tc>
          <w:tcPr>
            <w:tcW w:type="dxa" w:w="639"/>
            <w:tcBorders>
              <w:top w:val="nil"/>
              <w:left w:space="0" w:sz="4" w:color="auto" w:val="single"/>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8.</w:t>
            </w:r>
          </w:p>
        </w:tc>
        <w:tc>
          <w:tcPr>
            <w:tcW w:type="dxa" w:w="3175"/>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proofErr w:type="spellStart"/>
            <w:r>
              <w:rPr>
                <w:rFonts w:cs="Times New Roman" w:eastAsia="Times New Roman" w:hAnsi="Calibri" w:ascii="Calibri"/>
                <w:color w:val="000000"/>
                <w:lang w:eastAsia="hr-HR"/>
              </w:rPr>
              <w:t>Syngenta</w:t>
            </w:r>
            <w:proofErr w:type="spellEnd"/>
            <w:r>
              <w:rPr>
                <w:rFonts w:cs="Times New Roman" w:eastAsia="Times New Roman" w:hAnsi="Calibri" w:ascii="Calibri"/>
                <w:color w:val="000000"/>
                <w:lang w:eastAsia="hr-HR"/>
              </w:rPr>
              <w:t xml:space="preserve"> </w:t>
            </w:r>
            <w:proofErr w:type="spellStart"/>
            <w:r>
              <w:rPr>
                <w:rFonts w:cs="Times New Roman" w:eastAsia="Times New Roman" w:hAnsi="Calibri" w:ascii="Calibri"/>
                <w:color w:val="000000"/>
                <w:lang w:eastAsia="hr-HR"/>
              </w:rPr>
              <w:t>Agro</w:t>
            </w:r>
            <w:proofErr w:type="spellEnd"/>
            <w:r>
              <w:rPr>
                <w:rFonts w:cs="Times New Roman" w:eastAsia="Times New Roman" w:hAnsi="Calibri" w:ascii="Calibri"/>
                <w:color w:val="000000"/>
                <w:lang w:eastAsia="hr-HR"/>
              </w:rPr>
              <w:t xml:space="preserve"> d.o.o.</w:t>
            </w:r>
          </w:p>
        </w:tc>
        <w:tc>
          <w:tcPr>
            <w:tcW w:type="dxa" w:w="1443"/>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20226779781</w:t>
            </w:r>
          </w:p>
        </w:tc>
        <w:tc>
          <w:tcPr>
            <w:tcW w:type="dxa" w:w="2721"/>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10 000 Zagreb, Samoborska cesta 147</w:t>
            </w:r>
          </w:p>
        </w:tc>
        <w:tc>
          <w:tcPr>
            <w:tcW w:type="dxa" w:w="138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96.822,00</w:t>
            </w:r>
          </w:p>
        </w:tc>
        <w:tc>
          <w:tcPr>
            <w:tcW w:type="dxa" w:w="875"/>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70,00%</w:t>
            </w:r>
          </w:p>
        </w:tc>
        <w:tc>
          <w:tcPr>
            <w:tcW w:type="dxa" w:w="150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67.775,40</w:t>
            </w:r>
          </w:p>
        </w:tc>
        <w:tc>
          <w:tcPr>
            <w:tcW w:type="dxa" w:w="150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29.046,60</w:t>
            </w:r>
          </w:p>
        </w:tc>
        <w:tc>
          <w:tcPr>
            <w:tcW w:type="dxa" w:w="1317"/>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484,11</w:t>
            </w:r>
          </w:p>
        </w:tc>
      </w:tr>
      <w:tr w:rsidTr="00924162" w:rsidR="00924162">
        <w:trPr>
          <w:trHeight w:val="300"/>
        </w:trPr>
        <w:tc>
          <w:tcPr>
            <w:tcW w:type="dxa" w:w="639"/>
            <w:tcBorders>
              <w:top w:val="nil"/>
              <w:left w:space="0" w:sz="4" w:color="auto" w:val="single"/>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9.</w:t>
            </w:r>
          </w:p>
        </w:tc>
        <w:tc>
          <w:tcPr>
            <w:tcW w:type="dxa" w:w="3175"/>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proofErr w:type="spellStart"/>
            <w:r>
              <w:rPr>
                <w:rFonts w:cs="Times New Roman" w:eastAsia="Times New Roman" w:hAnsi="Calibri" w:ascii="Calibri"/>
                <w:color w:val="000000"/>
                <w:lang w:eastAsia="hr-HR"/>
              </w:rPr>
              <w:t>Timac</w:t>
            </w:r>
            <w:proofErr w:type="spellEnd"/>
            <w:r>
              <w:rPr>
                <w:rFonts w:cs="Times New Roman" w:eastAsia="Times New Roman" w:hAnsi="Calibri" w:ascii="Calibri"/>
                <w:color w:val="000000"/>
                <w:lang w:eastAsia="hr-HR"/>
              </w:rPr>
              <w:t xml:space="preserve"> </w:t>
            </w:r>
            <w:proofErr w:type="spellStart"/>
            <w:r>
              <w:rPr>
                <w:rFonts w:cs="Times New Roman" w:eastAsia="Times New Roman" w:hAnsi="Calibri" w:ascii="Calibri"/>
                <w:color w:val="000000"/>
                <w:lang w:eastAsia="hr-HR"/>
              </w:rPr>
              <w:t>Agro</w:t>
            </w:r>
            <w:proofErr w:type="spellEnd"/>
            <w:r>
              <w:rPr>
                <w:rFonts w:cs="Times New Roman" w:eastAsia="Times New Roman" w:hAnsi="Calibri" w:ascii="Calibri"/>
                <w:color w:val="000000"/>
                <w:lang w:eastAsia="hr-HR"/>
              </w:rPr>
              <w:t xml:space="preserve"> d.o.o.</w:t>
            </w:r>
          </w:p>
        </w:tc>
        <w:tc>
          <w:tcPr>
            <w:tcW w:type="dxa" w:w="1443"/>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18901646767</w:t>
            </w:r>
          </w:p>
        </w:tc>
        <w:tc>
          <w:tcPr>
            <w:tcW w:type="dxa" w:w="2721"/>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10 000 Zagreb, Rapska 46</w:t>
            </w:r>
          </w:p>
        </w:tc>
        <w:tc>
          <w:tcPr>
            <w:tcW w:type="dxa" w:w="138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751.317,90</w:t>
            </w:r>
          </w:p>
        </w:tc>
        <w:tc>
          <w:tcPr>
            <w:tcW w:type="dxa" w:w="875"/>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70,00%</w:t>
            </w:r>
          </w:p>
        </w:tc>
        <w:tc>
          <w:tcPr>
            <w:tcW w:type="dxa" w:w="150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525.922,53</w:t>
            </w:r>
          </w:p>
        </w:tc>
        <w:tc>
          <w:tcPr>
            <w:tcW w:type="dxa" w:w="150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225.395,37</w:t>
            </w:r>
          </w:p>
        </w:tc>
        <w:tc>
          <w:tcPr>
            <w:tcW w:type="dxa" w:w="1317"/>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3.756,59</w:t>
            </w:r>
          </w:p>
        </w:tc>
      </w:tr>
      <w:tr w:rsidTr="00924162" w:rsidR="00924162">
        <w:trPr>
          <w:trHeight w:val="300"/>
        </w:trPr>
        <w:tc>
          <w:tcPr>
            <w:tcW w:type="dxa" w:w="639"/>
            <w:tcBorders>
              <w:top w:val="nil"/>
              <w:left w:space="0" w:sz="4" w:color="auto" w:val="single"/>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10.</w:t>
            </w:r>
          </w:p>
        </w:tc>
        <w:tc>
          <w:tcPr>
            <w:tcW w:type="dxa" w:w="3175"/>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TINAL d. o. o.</w:t>
            </w:r>
          </w:p>
        </w:tc>
        <w:tc>
          <w:tcPr>
            <w:tcW w:type="dxa" w:w="1443"/>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99404444555</w:t>
            </w:r>
          </w:p>
        </w:tc>
        <w:tc>
          <w:tcPr>
            <w:tcW w:type="dxa" w:w="2721"/>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52 000 Pazin, Hrvatskog narodnog preporoda 1</w:t>
            </w:r>
          </w:p>
        </w:tc>
        <w:tc>
          <w:tcPr>
            <w:tcW w:type="dxa" w:w="138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3.013,22</w:t>
            </w:r>
          </w:p>
        </w:tc>
        <w:tc>
          <w:tcPr>
            <w:tcW w:type="dxa" w:w="875"/>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70,00%</w:t>
            </w:r>
          </w:p>
        </w:tc>
        <w:tc>
          <w:tcPr>
            <w:tcW w:type="dxa" w:w="150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2.109,25</w:t>
            </w:r>
          </w:p>
        </w:tc>
        <w:tc>
          <w:tcPr>
            <w:tcW w:type="dxa" w:w="150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903,97</w:t>
            </w:r>
          </w:p>
        </w:tc>
        <w:tc>
          <w:tcPr>
            <w:tcW w:type="dxa" w:w="1317"/>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15,07</w:t>
            </w:r>
          </w:p>
        </w:tc>
      </w:tr>
      <w:tr w:rsidTr="00924162" w:rsidR="00924162">
        <w:trPr>
          <w:trHeight w:val="300"/>
        </w:trPr>
        <w:tc>
          <w:tcPr>
            <w:tcW w:type="dxa" w:w="639"/>
            <w:tcBorders>
              <w:top w:val="nil"/>
              <w:left w:space="0" w:sz="4" w:color="auto" w:val="single"/>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11.</w:t>
            </w:r>
          </w:p>
        </w:tc>
        <w:tc>
          <w:tcPr>
            <w:tcW w:type="dxa" w:w="3175"/>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URED OVLAŠTENOG INŽINJERA GRAĐEVINARSTVA LJUBA CAREK</w:t>
            </w:r>
          </w:p>
        </w:tc>
        <w:tc>
          <w:tcPr>
            <w:tcW w:type="dxa" w:w="1443"/>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55010996107</w:t>
            </w:r>
          </w:p>
        </w:tc>
        <w:tc>
          <w:tcPr>
            <w:tcW w:type="dxa" w:w="2721"/>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43 000 Bjelovar, Borisa Papandopula 16</w:t>
            </w:r>
          </w:p>
        </w:tc>
        <w:tc>
          <w:tcPr>
            <w:tcW w:type="dxa" w:w="138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4.500,00</w:t>
            </w:r>
          </w:p>
        </w:tc>
        <w:tc>
          <w:tcPr>
            <w:tcW w:type="dxa" w:w="875"/>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70,00%</w:t>
            </w:r>
          </w:p>
        </w:tc>
        <w:tc>
          <w:tcPr>
            <w:tcW w:type="dxa" w:w="150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3.150,00</w:t>
            </w:r>
          </w:p>
        </w:tc>
        <w:tc>
          <w:tcPr>
            <w:tcW w:type="dxa" w:w="150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1.350,00</w:t>
            </w:r>
          </w:p>
        </w:tc>
        <w:tc>
          <w:tcPr>
            <w:tcW w:type="dxa" w:w="1317"/>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22,50</w:t>
            </w:r>
          </w:p>
        </w:tc>
      </w:tr>
      <w:tr w:rsidTr="00924162" w:rsidR="00924162">
        <w:trPr>
          <w:trHeight w:val="300"/>
        </w:trPr>
        <w:tc>
          <w:tcPr>
            <w:tcW w:type="dxa" w:w="639"/>
            <w:tcBorders>
              <w:top w:val="nil"/>
              <w:left w:space="0" w:sz="4" w:color="auto" w:val="single"/>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12.</w:t>
            </w:r>
          </w:p>
        </w:tc>
        <w:tc>
          <w:tcPr>
            <w:tcW w:type="dxa" w:w="3175"/>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VRT d.o.o.</w:t>
            </w:r>
          </w:p>
        </w:tc>
        <w:tc>
          <w:tcPr>
            <w:tcW w:type="dxa" w:w="1443"/>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68416812428</w:t>
            </w:r>
          </w:p>
        </w:tc>
        <w:tc>
          <w:tcPr>
            <w:tcW w:type="dxa" w:w="2721"/>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43 000 Bjelovar, Matice hrvatske 4/I</w:t>
            </w:r>
          </w:p>
        </w:tc>
        <w:tc>
          <w:tcPr>
            <w:tcW w:type="dxa" w:w="138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670.961,85</w:t>
            </w:r>
          </w:p>
        </w:tc>
        <w:tc>
          <w:tcPr>
            <w:tcW w:type="dxa" w:w="875"/>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70,00%</w:t>
            </w:r>
          </w:p>
        </w:tc>
        <w:tc>
          <w:tcPr>
            <w:tcW w:type="dxa" w:w="150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469.673,30</w:t>
            </w:r>
          </w:p>
        </w:tc>
        <w:tc>
          <w:tcPr>
            <w:tcW w:type="dxa" w:w="150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201.288,56</w:t>
            </w:r>
          </w:p>
        </w:tc>
        <w:tc>
          <w:tcPr>
            <w:tcW w:type="dxa" w:w="1317"/>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3.354,81</w:t>
            </w:r>
          </w:p>
        </w:tc>
      </w:tr>
      <w:tr w:rsidTr="00924162" w:rsidR="00924162">
        <w:trPr>
          <w:trHeight w:val="300"/>
        </w:trPr>
        <w:tc>
          <w:tcPr>
            <w:tcW w:type="dxa" w:w="639"/>
            <w:tcBorders>
              <w:top w:val="nil"/>
              <w:left w:space="0" w:sz="4" w:color="auto" w:val="single"/>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w:t>
            </w:r>
          </w:p>
        </w:tc>
        <w:tc>
          <w:tcPr>
            <w:tcW w:type="dxa" w:w="3175"/>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w:t>
            </w:r>
          </w:p>
        </w:tc>
        <w:tc>
          <w:tcPr>
            <w:tcW w:type="dxa" w:w="1443"/>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w:t>
            </w:r>
          </w:p>
        </w:tc>
        <w:tc>
          <w:tcPr>
            <w:tcW w:type="dxa" w:w="2721"/>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w:t>
            </w:r>
          </w:p>
        </w:tc>
        <w:tc>
          <w:tcPr>
            <w:tcW w:type="dxa" w:w="138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1.563.400,20</w:t>
            </w:r>
          </w:p>
        </w:tc>
        <w:tc>
          <w:tcPr>
            <w:tcW w:type="dxa" w:w="875"/>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w:t>
            </w:r>
          </w:p>
        </w:tc>
        <w:tc>
          <w:tcPr>
            <w:tcW w:type="dxa" w:w="1506"/>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w:t>
            </w:r>
          </w:p>
        </w:tc>
        <w:tc>
          <w:tcPr>
            <w:tcW w:type="dxa" w:w="1506"/>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w:t>
            </w:r>
          </w:p>
        </w:tc>
        <w:tc>
          <w:tcPr>
            <w:tcW w:type="dxa" w:w="1317"/>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w:t>
            </w:r>
          </w:p>
        </w:tc>
      </w:tr>
    </w:tbl>
    <w:p w:rsidRDefault="00924162" w:rsidP="00924162" w:rsidR="00924162">
      <w:pPr>
        <w:pStyle w:val="Standard"/>
        <w:autoSpaceDE w:val="false"/>
        <w:spacing w:lineRule="auto" w:line="360" w:after="200"/>
        <w:jc w:val="both"/>
        <w:rPr>
          <w:rFonts w:cs="Times New Roman"/>
        </w:rPr>
      </w:pPr>
    </w:p>
    <w:p w:rsidRDefault="00924162" w:rsidP="00924162" w:rsidR="00924162">
      <w:pPr>
        <w:pStyle w:val="Standard"/>
        <w:autoSpaceDE w:val="false"/>
        <w:spacing w:lineRule="auto" w:line="360" w:after="200"/>
        <w:jc w:val="both"/>
        <w:rPr>
          <w:rFonts w:cs="Times New Roman"/>
          <w:b/>
          <w:i/>
          <w:u w:val="single"/>
        </w:rPr>
      </w:pPr>
      <w:r>
        <w:rPr>
          <w:rFonts w:cs="Times New Roman"/>
          <w:b/>
          <w:i/>
          <w:u w:val="single"/>
        </w:rPr>
        <w:t>2.Obveze po pozajmicama:</w:t>
      </w:r>
    </w:p>
    <w:p w:rsidRDefault="00924162" w:rsidP="00924162" w:rsidR="00924162">
      <w:pPr>
        <w:spacing w:lineRule="auto" w:line="360"/>
        <w:jc w:val="both"/>
        <w:rPr>
          <w:rFonts w:cs="Times New Roman"/>
        </w:rPr>
      </w:pPr>
      <w:r>
        <w:rPr>
          <w:rFonts w:cs="Times New Roman"/>
        </w:rPr>
        <w:t xml:space="preserve">Kod obveza po pozajmicama isplata duga: Predviđen je otpis 70% ukupno utvrđene tražbine, te nakon dvije godine počeka, obročna otplata 30% ukupno utvrđene tražbine u 60 jednakih mjesečnih obroka (anuiteta) beskamatno, a sve počevši od dana pravomoćnosti Rješenja o sklopljenoj </w:t>
      </w:r>
      <w:proofErr w:type="spellStart"/>
      <w:r>
        <w:rPr>
          <w:rFonts w:cs="Times New Roman"/>
        </w:rPr>
        <w:t>predstečajnoj</w:t>
      </w:r>
      <w:proofErr w:type="spellEnd"/>
      <w:r>
        <w:rPr>
          <w:rFonts w:cs="Times New Roman"/>
        </w:rPr>
        <w:t xml:space="preserve"> nagodbi pred Trgovačkim sudom.</w:t>
      </w:r>
    </w:p>
    <w:tbl>
      <w:tblPr>
        <w:tblW w:type="dxa" w:w="14520"/>
        <w:tblInd w:type="dxa" w:w="93"/>
        <w:tblLook w:val="04A0" w:noVBand="1" w:noHBand="0" w:lastColumn="0" w:firstColumn="1" w:lastRow="0" w:firstRow="1"/>
      </w:tblPr>
      <w:tblGrid>
        <w:gridCol w:w="639"/>
        <w:gridCol w:w="2835"/>
        <w:gridCol w:w="1555"/>
        <w:gridCol w:w="3260"/>
        <w:gridCol w:w="1188"/>
        <w:gridCol w:w="935"/>
        <w:gridCol w:w="1506"/>
        <w:gridCol w:w="1506"/>
        <w:gridCol w:w="1317"/>
      </w:tblGrid>
      <w:tr w:rsidTr="00924162" w:rsidR="00924162">
        <w:trPr>
          <w:trHeight w:val="1035"/>
        </w:trPr>
        <w:tc>
          <w:tcPr>
            <w:tcW w:type="dxa" w:w="639"/>
            <w:tcBorders>
              <w:top w:space="0" w:sz="4" w:color="auto" w:val="single"/>
              <w:left w:space="0" w:sz="4" w:color="auto" w:val="single"/>
              <w:bottom w:space="0" w:sz="4" w:color="auto" w:val="single"/>
              <w:right w:space="0" w:sz="4" w:color="auto" w:val="single"/>
            </w:tcBorders>
            <w:shd w:fill="E5E0EC" w:color="auto" w:val="clear"/>
            <w:noWrap/>
            <w:vAlign w:val="bottom"/>
            <w:hideMark/>
          </w:tcPr>
          <w:p w:rsidRDefault="00924162" w:rsidR="00924162">
            <w:pPr>
              <w:spacing w:after="0"/>
              <w:jc w:val="center"/>
              <w:rPr>
                <w:rFonts w:cs="Times New Roman" w:eastAsia="Times New Roman"/>
                <w:b/>
                <w:bCs/>
                <w:color w:val="000000"/>
                <w:sz w:val="20"/>
                <w:szCs w:val="20"/>
                <w:lang w:eastAsia="hr-HR"/>
              </w:rPr>
            </w:pPr>
            <w:r>
              <w:rPr>
                <w:rFonts w:cs="Times New Roman" w:eastAsia="Times New Roman"/>
                <w:b/>
                <w:bCs/>
                <w:color w:val="000000"/>
                <w:sz w:val="20"/>
                <w:szCs w:val="20"/>
                <w:lang w:eastAsia="hr-HR"/>
              </w:rPr>
              <w:t>RBR</w:t>
            </w:r>
          </w:p>
        </w:tc>
        <w:tc>
          <w:tcPr>
            <w:tcW w:type="dxa" w:w="2835"/>
            <w:tcBorders>
              <w:top w:space="0" w:sz="4" w:color="auto" w:val="single"/>
              <w:left w:val="nil"/>
              <w:bottom w:space="0" w:sz="4" w:color="auto" w:val="single"/>
              <w:right w:space="0" w:sz="4" w:color="auto" w:val="single"/>
            </w:tcBorders>
            <w:shd w:fill="E5E0EC" w:color="auto" w:val="clear"/>
            <w:vAlign w:val="bottom"/>
            <w:hideMark/>
          </w:tcPr>
          <w:p w:rsidRDefault="00924162" w:rsidR="00924162">
            <w:pPr>
              <w:spacing w:after="0"/>
              <w:jc w:val="center"/>
              <w:rPr>
                <w:rFonts w:cs="Times New Roman" w:eastAsia="Times New Roman"/>
                <w:b/>
                <w:bCs/>
                <w:color w:val="000000"/>
                <w:sz w:val="20"/>
                <w:szCs w:val="20"/>
                <w:lang w:eastAsia="hr-HR"/>
              </w:rPr>
            </w:pPr>
            <w:r>
              <w:rPr>
                <w:rFonts w:cs="Times New Roman" w:eastAsia="Times New Roman"/>
                <w:b/>
                <w:bCs/>
                <w:color w:val="000000"/>
                <w:sz w:val="20"/>
                <w:szCs w:val="20"/>
                <w:lang w:eastAsia="hr-HR"/>
              </w:rPr>
              <w:t>NAZIV VJEROVNIKA</w:t>
            </w:r>
          </w:p>
        </w:tc>
        <w:tc>
          <w:tcPr>
            <w:tcW w:type="dxa" w:w="1443"/>
            <w:tcBorders>
              <w:top w:space="0" w:sz="4" w:color="auto" w:val="single"/>
              <w:left w:val="nil"/>
              <w:bottom w:space="0" w:sz="4" w:color="auto" w:val="single"/>
              <w:right w:space="0" w:sz="4" w:color="auto" w:val="single"/>
            </w:tcBorders>
            <w:shd w:fill="E5E0EC" w:color="auto" w:val="clear"/>
            <w:vAlign w:val="bottom"/>
            <w:hideMark/>
          </w:tcPr>
          <w:p w:rsidRDefault="00924162" w:rsidR="00924162">
            <w:pPr>
              <w:spacing w:after="0"/>
              <w:jc w:val="center"/>
              <w:rPr>
                <w:rFonts w:cs="Times New Roman" w:eastAsia="Times New Roman"/>
                <w:b/>
                <w:bCs/>
                <w:color w:val="000000"/>
                <w:sz w:val="20"/>
                <w:szCs w:val="20"/>
                <w:lang w:eastAsia="hr-HR"/>
              </w:rPr>
            </w:pPr>
            <w:r>
              <w:rPr>
                <w:rFonts w:cs="Times New Roman" w:eastAsia="Times New Roman"/>
                <w:b/>
                <w:bCs/>
                <w:color w:val="000000"/>
                <w:sz w:val="20"/>
                <w:szCs w:val="20"/>
                <w:lang w:eastAsia="hr-HR"/>
              </w:rPr>
              <w:t>OIB</w:t>
            </w:r>
          </w:p>
        </w:tc>
        <w:tc>
          <w:tcPr>
            <w:tcW w:type="dxa" w:w="3260"/>
            <w:tcBorders>
              <w:top w:space="0" w:sz="4" w:color="auto" w:val="single"/>
              <w:left w:val="nil"/>
              <w:bottom w:space="0" w:sz="4" w:color="auto" w:val="single"/>
              <w:right w:space="0" w:sz="4" w:color="auto" w:val="single"/>
            </w:tcBorders>
            <w:shd w:fill="E5E0EC" w:color="auto" w:val="clear"/>
            <w:vAlign w:val="bottom"/>
            <w:hideMark/>
          </w:tcPr>
          <w:p w:rsidRDefault="00924162" w:rsidR="00924162">
            <w:pPr>
              <w:spacing w:after="0"/>
              <w:jc w:val="center"/>
              <w:rPr>
                <w:rFonts w:cs="Times New Roman" w:eastAsia="Times New Roman"/>
                <w:b/>
                <w:bCs/>
                <w:color w:val="000000"/>
                <w:sz w:val="20"/>
                <w:szCs w:val="20"/>
                <w:lang w:eastAsia="hr-HR"/>
              </w:rPr>
            </w:pPr>
            <w:r>
              <w:rPr>
                <w:rFonts w:cs="Times New Roman" w:eastAsia="Times New Roman"/>
                <w:b/>
                <w:bCs/>
                <w:color w:val="000000"/>
                <w:sz w:val="20"/>
                <w:szCs w:val="20"/>
                <w:lang w:eastAsia="hr-HR"/>
              </w:rPr>
              <w:t>ADRESA</w:t>
            </w:r>
          </w:p>
        </w:tc>
        <w:tc>
          <w:tcPr>
            <w:tcW w:type="dxa" w:w="1139"/>
            <w:tcBorders>
              <w:top w:space="0" w:sz="4" w:color="auto" w:val="single"/>
              <w:left w:val="nil"/>
              <w:bottom w:space="0" w:sz="4" w:color="auto" w:val="single"/>
              <w:right w:space="0" w:sz="4" w:color="auto" w:val="single"/>
            </w:tcBorders>
            <w:shd w:fill="E5E0EC" w:color="auto" w:val="clear"/>
            <w:vAlign w:val="bottom"/>
            <w:hideMark/>
          </w:tcPr>
          <w:p w:rsidRDefault="00924162" w:rsidR="00924162">
            <w:pPr>
              <w:spacing w:after="0"/>
              <w:jc w:val="center"/>
              <w:rPr>
                <w:rFonts w:cs="Times New Roman" w:eastAsia="Times New Roman"/>
                <w:b/>
                <w:bCs/>
                <w:color w:val="000000"/>
                <w:sz w:val="20"/>
                <w:szCs w:val="20"/>
                <w:lang w:eastAsia="hr-HR"/>
              </w:rPr>
            </w:pPr>
            <w:r>
              <w:rPr>
                <w:rFonts w:cs="Times New Roman" w:eastAsia="Times New Roman"/>
                <w:b/>
                <w:bCs/>
                <w:color w:val="000000"/>
                <w:sz w:val="20"/>
                <w:szCs w:val="20"/>
                <w:lang w:eastAsia="hr-HR"/>
              </w:rPr>
              <w:t>IZNOS</w:t>
            </w:r>
          </w:p>
        </w:tc>
        <w:tc>
          <w:tcPr>
            <w:tcW w:type="dxa" w:w="875"/>
            <w:tcBorders>
              <w:top w:space="0" w:sz="4" w:color="auto" w:val="single"/>
              <w:left w:val="nil"/>
              <w:bottom w:space="0" w:sz="4" w:color="auto" w:val="single"/>
              <w:right w:space="0" w:sz="4" w:color="auto" w:val="single"/>
            </w:tcBorders>
            <w:shd w:fill="E5E0EC" w:color="auto" w:val="clear"/>
            <w:vAlign w:val="bottom"/>
            <w:hideMark/>
          </w:tcPr>
          <w:p w:rsidRDefault="00924162" w:rsidR="00924162">
            <w:pPr>
              <w:spacing w:after="0"/>
              <w:jc w:val="center"/>
              <w:rPr>
                <w:rFonts w:cs="Times New Roman" w:eastAsia="Times New Roman"/>
                <w:b/>
                <w:bCs/>
                <w:color w:val="000000"/>
                <w:sz w:val="20"/>
                <w:szCs w:val="20"/>
                <w:lang w:eastAsia="hr-HR"/>
              </w:rPr>
            </w:pPr>
            <w:r>
              <w:rPr>
                <w:rFonts w:cs="Times New Roman" w:eastAsia="Times New Roman"/>
                <w:b/>
                <w:bCs/>
                <w:color w:val="000000"/>
                <w:sz w:val="20"/>
                <w:szCs w:val="20"/>
                <w:lang w:eastAsia="hr-HR"/>
              </w:rPr>
              <w:t>OTPIS</w:t>
            </w:r>
          </w:p>
        </w:tc>
        <w:tc>
          <w:tcPr>
            <w:tcW w:type="dxa" w:w="1506"/>
            <w:tcBorders>
              <w:top w:space="0" w:sz="4" w:color="auto" w:val="single"/>
              <w:left w:val="nil"/>
              <w:bottom w:space="0" w:sz="4" w:color="auto" w:val="single"/>
              <w:right w:space="0" w:sz="4" w:color="auto" w:val="single"/>
            </w:tcBorders>
            <w:shd w:fill="E5E0EC" w:color="auto" w:val="clear"/>
            <w:vAlign w:val="bottom"/>
            <w:hideMark/>
          </w:tcPr>
          <w:p w:rsidRDefault="00924162" w:rsidR="00924162">
            <w:pPr>
              <w:spacing w:after="0"/>
              <w:rPr>
                <w:rFonts w:cs="Times New Roman" w:eastAsia="Times New Roman"/>
                <w:b/>
                <w:bCs/>
                <w:color w:val="000000"/>
                <w:sz w:val="20"/>
                <w:szCs w:val="20"/>
                <w:lang w:eastAsia="hr-HR"/>
              </w:rPr>
            </w:pPr>
            <w:r>
              <w:rPr>
                <w:rFonts w:cs="Times New Roman" w:eastAsia="Times New Roman"/>
                <w:b/>
                <w:bCs/>
                <w:color w:val="000000"/>
                <w:sz w:val="20"/>
                <w:szCs w:val="20"/>
                <w:lang w:eastAsia="hr-HR"/>
              </w:rPr>
              <w:t>OTPISANA VRIJEDNOST</w:t>
            </w:r>
          </w:p>
        </w:tc>
        <w:tc>
          <w:tcPr>
            <w:tcW w:type="dxa" w:w="1506"/>
            <w:tcBorders>
              <w:top w:space="0" w:sz="4" w:color="auto" w:val="single"/>
              <w:left w:val="nil"/>
              <w:bottom w:space="0" w:sz="4" w:color="auto" w:val="single"/>
              <w:right w:space="0" w:sz="4" w:color="auto" w:val="single"/>
            </w:tcBorders>
            <w:shd w:fill="E5E0EC" w:color="auto" w:val="clear"/>
            <w:vAlign w:val="bottom"/>
            <w:hideMark/>
          </w:tcPr>
          <w:p w:rsidRDefault="00924162" w:rsidR="00924162">
            <w:pPr>
              <w:spacing w:after="0"/>
              <w:rPr>
                <w:rFonts w:cs="Times New Roman" w:eastAsia="Times New Roman"/>
                <w:b/>
                <w:bCs/>
                <w:color w:val="000000"/>
                <w:sz w:val="20"/>
                <w:szCs w:val="20"/>
                <w:lang w:eastAsia="hr-HR"/>
              </w:rPr>
            </w:pPr>
            <w:r>
              <w:rPr>
                <w:rFonts w:cs="Times New Roman" w:eastAsia="Times New Roman"/>
                <w:b/>
                <w:bCs/>
                <w:color w:val="000000"/>
                <w:sz w:val="20"/>
                <w:szCs w:val="20"/>
                <w:lang w:eastAsia="hr-HR"/>
              </w:rPr>
              <w:t>VRIJEDNOST OTPLATE</w:t>
            </w:r>
          </w:p>
        </w:tc>
        <w:tc>
          <w:tcPr>
            <w:tcW w:type="dxa" w:w="1317"/>
            <w:tcBorders>
              <w:top w:space="0" w:sz="4" w:color="auto" w:val="single"/>
              <w:left w:val="nil"/>
              <w:bottom w:space="0" w:sz="4" w:color="auto" w:val="single"/>
              <w:right w:space="0" w:sz="4" w:color="auto" w:val="single"/>
            </w:tcBorders>
            <w:shd w:fill="E5E0EC" w:color="auto" w:val="clear"/>
            <w:vAlign w:val="bottom"/>
            <w:hideMark/>
          </w:tcPr>
          <w:p w:rsidRDefault="00924162" w:rsidR="00924162">
            <w:pPr>
              <w:spacing w:after="0"/>
              <w:rPr>
                <w:rFonts w:cs="Times New Roman" w:eastAsia="Times New Roman"/>
                <w:b/>
                <w:bCs/>
                <w:color w:val="000000"/>
                <w:sz w:val="20"/>
                <w:szCs w:val="20"/>
                <w:lang w:eastAsia="hr-HR"/>
              </w:rPr>
            </w:pPr>
            <w:r>
              <w:rPr>
                <w:rFonts w:cs="Times New Roman" w:eastAsia="Times New Roman"/>
                <w:b/>
                <w:bCs/>
                <w:color w:val="000000"/>
                <w:sz w:val="20"/>
                <w:szCs w:val="20"/>
                <w:lang w:eastAsia="hr-HR"/>
              </w:rPr>
              <w:t>MJESEČNA RATA BEZ KAMATA</w:t>
            </w:r>
          </w:p>
        </w:tc>
      </w:tr>
      <w:tr w:rsidTr="00924162" w:rsidR="00924162">
        <w:trPr>
          <w:trHeight w:val="300"/>
        </w:trPr>
        <w:tc>
          <w:tcPr>
            <w:tcW w:type="dxa" w:w="639"/>
            <w:tcBorders>
              <w:top w:val="nil"/>
              <w:left w:space="0" w:sz="4" w:color="auto" w:val="single"/>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w:t>
            </w:r>
          </w:p>
        </w:tc>
        <w:tc>
          <w:tcPr>
            <w:tcW w:type="dxa" w:w="2835"/>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VRT d.o.o.</w:t>
            </w:r>
          </w:p>
        </w:tc>
        <w:tc>
          <w:tcPr>
            <w:tcW w:type="dxa" w:w="1443"/>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68416812428</w:t>
            </w:r>
          </w:p>
        </w:tc>
        <w:tc>
          <w:tcPr>
            <w:tcW w:type="dxa" w:w="3260"/>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43 000 Bjelovar, Matice hrvatske 4/I</w:t>
            </w:r>
          </w:p>
        </w:tc>
        <w:tc>
          <w:tcPr>
            <w:tcW w:type="dxa" w:w="1139"/>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16.620,00</w:t>
            </w:r>
          </w:p>
        </w:tc>
        <w:tc>
          <w:tcPr>
            <w:tcW w:type="dxa" w:w="875"/>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70,00%</w:t>
            </w:r>
          </w:p>
        </w:tc>
        <w:tc>
          <w:tcPr>
            <w:tcW w:type="dxa" w:w="150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11.634,00</w:t>
            </w:r>
          </w:p>
        </w:tc>
        <w:tc>
          <w:tcPr>
            <w:tcW w:type="dxa" w:w="1506"/>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4.986,00</w:t>
            </w:r>
          </w:p>
        </w:tc>
        <w:tc>
          <w:tcPr>
            <w:tcW w:type="dxa" w:w="1317"/>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83,10</w:t>
            </w:r>
          </w:p>
        </w:tc>
      </w:tr>
      <w:tr w:rsidTr="00924162" w:rsidR="00924162">
        <w:trPr>
          <w:trHeight w:val="300"/>
        </w:trPr>
        <w:tc>
          <w:tcPr>
            <w:tcW w:type="dxa" w:w="639"/>
            <w:tcBorders>
              <w:top w:val="nil"/>
              <w:left w:space="0" w:sz="4" w:color="auto" w:val="single"/>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w:t>
            </w:r>
          </w:p>
        </w:tc>
        <w:tc>
          <w:tcPr>
            <w:tcW w:type="dxa" w:w="2835"/>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w:t>
            </w:r>
          </w:p>
        </w:tc>
        <w:tc>
          <w:tcPr>
            <w:tcW w:type="dxa" w:w="1443"/>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w:t>
            </w:r>
          </w:p>
        </w:tc>
        <w:tc>
          <w:tcPr>
            <w:tcW w:type="dxa" w:w="3260"/>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w:t>
            </w:r>
          </w:p>
        </w:tc>
        <w:tc>
          <w:tcPr>
            <w:tcW w:type="dxa" w:w="1139"/>
            <w:tcBorders>
              <w:top w:val="nil"/>
              <w:left w:val="nil"/>
              <w:bottom w:space="0" w:sz="4" w:color="auto" w:val="single"/>
              <w:right w:space="0" w:sz="4" w:color="auto" w:val="single"/>
            </w:tcBorders>
            <w:noWrap/>
            <w:vAlign w:val="bottom"/>
            <w:hideMark/>
          </w:tcPr>
          <w:p w:rsidRDefault="00924162" w:rsidR="00924162">
            <w:pPr>
              <w:spacing w:after="0"/>
              <w:jc w:val="right"/>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16.620,00</w:t>
            </w:r>
          </w:p>
        </w:tc>
        <w:tc>
          <w:tcPr>
            <w:tcW w:type="dxa" w:w="875"/>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w:t>
            </w:r>
          </w:p>
        </w:tc>
        <w:tc>
          <w:tcPr>
            <w:tcW w:type="dxa" w:w="1506"/>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w:t>
            </w:r>
          </w:p>
        </w:tc>
        <w:tc>
          <w:tcPr>
            <w:tcW w:type="dxa" w:w="1506"/>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w:t>
            </w:r>
          </w:p>
        </w:tc>
        <w:tc>
          <w:tcPr>
            <w:tcW w:type="dxa" w:w="1317"/>
            <w:tcBorders>
              <w:top w:val="nil"/>
              <w:left w:val="nil"/>
              <w:bottom w:space="0" w:sz="4" w:color="auto" w:val="single"/>
              <w:right w:space="0" w:sz="4" w:color="auto" w:val="single"/>
            </w:tcBorders>
            <w:noWrap/>
            <w:vAlign w:val="bottom"/>
            <w:hideMark/>
          </w:tcPr>
          <w:p w:rsidRDefault="00924162" w:rsidR="00924162">
            <w:pPr>
              <w:spacing w:after="0"/>
              <w:rPr>
                <w:rFonts w:cs="Times New Roman" w:eastAsia="Times New Roman" w:hAnsi="Calibri" w:ascii="Calibri"/>
                <w:color w:val="000000"/>
                <w:sz w:val="22"/>
                <w:szCs w:val="22"/>
                <w:lang w:eastAsia="hr-HR"/>
              </w:rPr>
            </w:pPr>
            <w:r>
              <w:rPr>
                <w:rFonts w:cs="Times New Roman" w:eastAsia="Times New Roman" w:hAnsi="Calibri" w:ascii="Calibri"/>
                <w:color w:val="000000"/>
                <w:lang w:eastAsia="hr-HR"/>
              </w:rPr>
              <w:t> </w:t>
            </w:r>
          </w:p>
        </w:tc>
      </w:tr>
    </w:tbl>
    <w:p w:rsidRDefault="00924162" w:rsidP="00924162" w:rsidR="00924162">
      <w:pPr>
        <w:spacing w:lineRule="auto" w:line="360"/>
        <w:jc w:val="both"/>
        <w:rPr>
          <w:rFonts w:hAnsiTheme="minorHAnsi" w:asciiTheme="minorHAnsi" w:cs="Times New Roman"/>
          <w:sz w:val="22"/>
          <w:szCs w:val="22"/>
        </w:rPr>
      </w:pPr>
    </w:p>
    <w:p w:rsidRDefault="00924162" w:rsidP="00924162" w:rsidR="00924162">
      <w:pPr>
        <w:spacing w:lineRule="auto" w:line="360"/>
        <w:jc w:val="both"/>
        <w:rPr>
          <w:rFonts w:cs="Times New Roman"/>
        </w:rPr>
      </w:pPr>
    </w:p>
    <w:p w:rsidRDefault="00924162" w:rsidP="00924162" w:rsidR="00924162">
      <w:pPr>
        <w:pStyle w:val="Standard"/>
        <w:autoSpaceDE w:val="false"/>
        <w:spacing w:lineRule="auto" w:line="360" w:after="200"/>
        <w:jc w:val="both"/>
        <w:rPr>
          <w:rFonts w:cs="Times New Roman"/>
        </w:rPr>
      </w:pPr>
    </w:p>
    <w:p w:rsidRDefault="00924162" w:rsidP="00924162" w:rsidR="00924162">
      <w:pPr>
        <w:pStyle w:val="Standard"/>
        <w:autoSpaceDE w:val="false"/>
        <w:spacing w:lineRule="auto" w:line="360" w:after="200"/>
        <w:jc w:val="both"/>
        <w:rPr>
          <w:rFonts w:cs="Times New Roman"/>
        </w:rPr>
      </w:pPr>
    </w:p>
    <w:p w:rsidRDefault="00924162" w:rsidP="00924162" w:rsidR="00924162">
      <w:pPr>
        <w:pStyle w:val="Standard"/>
        <w:autoSpaceDE w:val="false"/>
        <w:spacing w:lineRule="auto" w:line="360" w:after="200"/>
        <w:jc w:val="both"/>
        <w:rPr>
          <w:rFonts w:cs="Times New Roman"/>
        </w:rPr>
      </w:pPr>
    </w:p>
    <w:p w:rsidRDefault="00924162" w:rsidP="00924162" w:rsidR="00924162">
      <w:pPr>
        <w:pStyle w:val="Standard"/>
        <w:autoSpaceDE w:val="false"/>
        <w:spacing w:lineRule="auto" w:line="360" w:after="200"/>
        <w:rPr>
          <w:rFonts w:cs="Times New Roman" w:eastAsia="Calibri"/>
          <w:b/>
          <w:u w:val="single"/>
          <w:shd w:fill="FFFFFF" w:color="auto" w:val="clear"/>
        </w:rPr>
      </w:pPr>
      <w:r>
        <w:rPr>
          <w:rFonts w:cs="Times New Roman" w:eastAsia="Calibri"/>
          <w:b/>
          <w:u w:val="single"/>
          <w:shd w:fill="FFFFFF" w:color="auto" w:val="clear"/>
        </w:rPr>
        <w:t>Dug prema zaposlenicima iznosi 111.666,00kn</w:t>
      </w:r>
    </w:p>
    <w:p w:rsidRDefault="00924162" w:rsidP="00924162" w:rsidR="00924162">
      <w:pPr>
        <w:pStyle w:val="Standard"/>
        <w:autoSpaceDE w:val="false"/>
        <w:spacing w:lineRule="auto" w:line="360" w:after="200"/>
        <w:jc w:val="both"/>
        <w:rPr>
          <w:rFonts w:cs="Times New Roman" w:eastAsia="Calibri"/>
          <w:shd w:fill="FFFFFF" w:color="auto" w:val="clear"/>
        </w:rPr>
      </w:pPr>
      <w:r>
        <w:rPr>
          <w:rFonts w:cs="Times New Roman" w:eastAsia="Calibri"/>
          <w:shd w:fill="FFFFFF" w:color="auto" w:val="clear"/>
        </w:rPr>
        <w:t xml:space="preserve">Tražbine radnika iskazane su u financijskim izvještajima Društva po osnovi neto plaća u iznosu 111.666,00 kn na dan 30.06.2016. godine. Ako </w:t>
      </w:r>
      <w:proofErr w:type="spellStart"/>
      <w:r>
        <w:rPr>
          <w:rFonts w:cs="Times New Roman" w:eastAsia="Calibri"/>
          <w:shd w:fill="FFFFFF" w:color="auto" w:val="clear"/>
        </w:rPr>
        <w:t>predstečajna</w:t>
      </w:r>
      <w:proofErr w:type="spellEnd"/>
      <w:r>
        <w:rPr>
          <w:rFonts w:cs="Times New Roman" w:eastAsia="Calibri"/>
          <w:shd w:fill="FFFFFF" w:color="auto" w:val="clear"/>
        </w:rPr>
        <w:t xml:space="preserve"> nagodba bude sklopljena, društvo izjavljuje da neće imati učinka na tražbine radnika, te će one biti podmirene po prioritetnom postupku. </w:t>
      </w:r>
    </w:p>
    <w:p w:rsidRDefault="00924162" w:rsidP="00924162" w:rsidR="00924162">
      <w:pPr>
        <w:spacing w:after="0"/>
        <w:rPr>
          <w:rFonts w:cs="Times New Roman"/>
        </w:rPr>
        <w:sectPr w:rsidR="00924162">
          <w:pgSz w:orient="landscape" w:h="11906" w:w="16838"/>
          <w:pgMar w:gutter="0" w:footer="708" w:header="708" w:left="1417" w:bottom="1417" w:right="1417" w:top="1417"/>
          <w:cols w:space="720"/>
        </w:sectPr>
      </w:pPr>
    </w:p>
    <w:p w:rsidRDefault="00924162" w:rsidP="00924162" w:rsidR="00924162">
      <w:pPr>
        <w:rPr>
          <w:rFonts w:cs="Times New Roman"/>
        </w:rPr>
      </w:pPr>
    </w:p>
    <w:p w:rsidRDefault="00924162" w:rsidP="00924162" w:rsidR="00924162">
      <w:pPr>
        <w:pStyle w:val="Naslov1"/>
        <w:rPr>
          <w:rFonts w:cs="Times New Roman"/>
          <w:sz w:val="24"/>
          <w:szCs w:val="24"/>
        </w:rPr>
      </w:pPr>
      <w:bookmarkStart w:name="_Toc458436253" w:id="45"/>
      <w:bookmarkStart w:name="_Toc432416062" w:id="46"/>
      <w:bookmarkStart w:name="_Toc430627160" w:id="47"/>
      <w:r>
        <w:rPr>
          <w:rFonts w:cs="Times New Roman"/>
          <w:sz w:val="24"/>
          <w:szCs w:val="24"/>
        </w:rPr>
        <w:t>8. IZRAČUN TROŠKOVA RESTRUKTURIRANJA</w:t>
      </w:r>
      <w:bookmarkEnd w:id="45"/>
      <w:bookmarkEnd w:id="46"/>
      <w:bookmarkEnd w:id="47"/>
    </w:p>
    <w:p w:rsidRDefault="00924162" w:rsidP="00924162" w:rsidR="00924162">
      <w:pPr>
        <w:spacing w:lineRule="auto" w:line="360" w:before="240"/>
        <w:jc w:val="both"/>
        <w:rPr>
          <w:rFonts w:cs="Times New Roman"/>
        </w:rPr>
      </w:pPr>
      <w:r>
        <w:rPr>
          <w:rFonts w:cs="Times New Roman"/>
        </w:rPr>
        <w:t xml:space="preserve"> Troškove restrukturiranja, uključujući i troškove pravnih i poslovnih savjetnika, troškova postupka, i sl. procjenjujemo na </w:t>
      </w:r>
      <w:proofErr w:type="spellStart"/>
      <w:r>
        <w:rPr>
          <w:rFonts w:cs="Times New Roman"/>
        </w:rPr>
        <w:t>cca</w:t>
      </w:r>
      <w:proofErr w:type="spellEnd"/>
      <w:r>
        <w:rPr>
          <w:rFonts w:cs="Times New Roman"/>
        </w:rPr>
        <w:t xml:space="preserve"> 40.000,00 kn.</w:t>
      </w:r>
    </w:p>
    <w:p w:rsidRDefault="00924162" w:rsidP="00924162" w:rsidR="00924162">
      <w:pPr>
        <w:spacing w:lineRule="auto" w:line="360" w:before="240"/>
        <w:jc w:val="both"/>
        <w:rPr>
          <w:rFonts w:cs="Times New Roman"/>
        </w:rPr>
      </w:pPr>
    </w:p>
    <w:p w:rsidRDefault="00924162" w:rsidP="00924162" w:rsidR="00924162">
      <w:pPr>
        <w:spacing w:lineRule="auto" w:line="360" w:before="240"/>
        <w:jc w:val="both"/>
        <w:rPr>
          <w:rFonts w:cs="Times New Roman"/>
        </w:rPr>
      </w:pPr>
    </w:p>
    <w:p w:rsidRDefault="00924162" w:rsidP="00924162" w:rsidR="00924162">
      <w:pPr>
        <w:spacing w:lineRule="auto" w:line="360" w:before="240"/>
        <w:jc w:val="both"/>
        <w:rPr>
          <w:rFonts w:cs="Times New Roman"/>
        </w:rPr>
      </w:pPr>
    </w:p>
    <w:p w:rsidRDefault="00924162" w:rsidP="00924162" w:rsidR="00924162">
      <w:pPr>
        <w:spacing w:lineRule="auto" w:line="360" w:before="240"/>
        <w:jc w:val="both"/>
        <w:rPr>
          <w:rFonts w:cs="Times New Roman"/>
        </w:rPr>
      </w:pPr>
    </w:p>
    <w:p w:rsidRDefault="00924162" w:rsidP="00924162" w:rsidR="00924162">
      <w:pPr>
        <w:spacing w:lineRule="auto" w:line="360" w:before="240"/>
        <w:jc w:val="both"/>
        <w:rPr>
          <w:rFonts w:cs="Times New Roman"/>
        </w:rPr>
      </w:pPr>
    </w:p>
    <w:p w:rsidRDefault="00924162" w:rsidP="00924162" w:rsidR="00924162">
      <w:pPr>
        <w:spacing w:lineRule="auto" w:line="360" w:before="240"/>
        <w:jc w:val="both"/>
        <w:rPr>
          <w:rFonts w:cs="Times New Roman"/>
        </w:rPr>
      </w:pPr>
    </w:p>
    <w:p w:rsidRDefault="00924162" w:rsidP="00924162" w:rsidR="00924162">
      <w:pPr>
        <w:spacing w:lineRule="auto" w:line="360" w:before="240"/>
        <w:jc w:val="both"/>
        <w:rPr>
          <w:rFonts w:cs="Times New Roman"/>
        </w:rPr>
      </w:pPr>
    </w:p>
    <w:p w:rsidRDefault="00924162" w:rsidP="00924162" w:rsidR="00924162">
      <w:pPr>
        <w:spacing w:lineRule="auto" w:line="360" w:before="240"/>
        <w:jc w:val="both"/>
        <w:rPr>
          <w:rFonts w:cs="Times New Roman"/>
        </w:rPr>
      </w:pPr>
    </w:p>
    <w:p w:rsidRDefault="00924162" w:rsidP="00924162" w:rsidR="00924162">
      <w:pPr>
        <w:spacing w:lineRule="auto" w:line="360" w:before="240"/>
        <w:jc w:val="both"/>
        <w:rPr>
          <w:rFonts w:cs="Times New Roman"/>
        </w:rPr>
      </w:pPr>
    </w:p>
    <w:p w:rsidRDefault="00924162" w:rsidP="00924162" w:rsidR="00924162">
      <w:pPr>
        <w:spacing w:lineRule="auto" w:line="360" w:before="240"/>
        <w:jc w:val="both"/>
        <w:rPr>
          <w:rFonts w:cs="Times New Roman"/>
        </w:rPr>
      </w:pPr>
    </w:p>
    <w:p w:rsidRDefault="00924162" w:rsidP="00924162" w:rsidR="00924162">
      <w:pPr>
        <w:spacing w:lineRule="auto" w:line="360" w:before="240"/>
        <w:jc w:val="both"/>
        <w:rPr>
          <w:rFonts w:cs="Times New Roman"/>
        </w:rPr>
      </w:pPr>
    </w:p>
    <w:p w:rsidRDefault="00924162" w:rsidP="00924162" w:rsidR="00924162">
      <w:pPr>
        <w:spacing w:lineRule="auto" w:line="360" w:before="240"/>
        <w:jc w:val="both"/>
        <w:rPr>
          <w:rFonts w:cs="Times New Roman"/>
        </w:rPr>
      </w:pPr>
    </w:p>
    <w:p w:rsidRDefault="00924162" w:rsidP="00924162" w:rsidR="00924162">
      <w:pPr>
        <w:spacing w:lineRule="auto" w:line="360" w:before="240"/>
        <w:jc w:val="both"/>
        <w:rPr>
          <w:rFonts w:cs="Times New Roman"/>
        </w:rPr>
      </w:pPr>
    </w:p>
    <w:p w:rsidRDefault="00924162" w:rsidP="00924162" w:rsidR="00924162">
      <w:pPr>
        <w:spacing w:lineRule="auto" w:line="360" w:before="240"/>
        <w:jc w:val="both"/>
        <w:rPr>
          <w:rFonts w:cs="Times New Roman"/>
        </w:rPr>
      </w:pPr>
    </w:p>
    <w:p w:rsidRDefault="00924162" w:rsidP="00924162" w:rsidR="00924162">
      <w:pPr>
        <w:spacing w:lineRule="auto" w:line="360" w:before="240"/>
        <w:jc w:val="both"/>
        <w:rPr>
          <w:rFonts w:cs="Times New Roman"/>
        </w:rPr>
      </w:pPr>
    </w:p>
    <w:p w:rsidRDefault="00924162" w:rsidP="00924162" w:rsidR="00924162">
      <w:pPr>
        <w:spacing w:lineRule="auto" w:line="360" w:before="240"/>
        <w:jc w:val="both"/>
        <w:rPr>
          <w:rFonts w:cs="Times New Roman"/>
        </w:rPr>
      </w:pPr>
    </w:p>
    <w:p w:rsidRDefault="00924162" w:rsidP="00924162" w:rsidR="00924162">
      <w:pPr>
        <w:spacing w:lineRule="auto" w:line="360" w:before="240"/>
        <w:jc w:val="both"/>
        <w:rPr>
          <w:rFonts w:cs="Times New Roman"/>
        </w:rPr>
      </w:pPr>
    </w:p>
    <w:p w:rsidRDefault="00924162" w:rsidP="00924162" w:rsidR="00924162">
      <w:pPr>
        <w:spacing w:lineRule="auto" w:line="360" w:before="240"/>
        <w:jc w:val="both"/>
        <w:rPr>
          <w:rFonts w:cs="Times New Roman"/>
        </w:rPr>
      </w:pPr>
    </w:p>
    <w:p w:rsidRDefault="00924162" w:rsidP="00924162" w:rsidR="00924162">
      <w:pPr>
        <w:pStyle w:val="Naslov1"/>
        <w:rPr>
          <w:rFonts w:cs="Times New Roman"/>
          <w:sz w:val="24"/>
          <w:szCs w:val="24"/>
        </w:rPr>
      </w:pPr>
      <w:bookmarkStart w:name="_Toc458436254" w:id="48"/>
      <w:bookmarkStart w:name="_Toc432416063" w:id="49"/>
      <w:bookmarkStart w:name="_Toc430627161" w:id="50"/>
      <w:r>
        <w:rPr>
          <w:rFonts w:cs="Times New Roman"/>
          <w:sz w:val="24"/>
          <w:szCs w:val="24"/>
        </w:rPr>
        <w:t>9. USPOREDBA S OČEKIVANIM NAMIRENJEM U SLUČAJU STEČAJA</w:t>
      </w:r>
      <w:bookmarkEnd w:id="48"/>
      <w:bookmarkEnd w:id="49"/>
      <w:bookmarkEnd w:id="50"/>
    </w:p>
    <w:p w:rsidRDefault="00924162" w:rsidP="00924162" w:rsidR="00924162">
      <w:pPr>
        <w:spacing w:lineRule="auto" w:line="360" w:before="240"/>
        <w:jc w:val="both"/>
        <w:rPr>
          <w:rFonts w:cs="Times New Roman"/>
        </w:rPr>
      </w:pPr>
      <w:r>
        <w:rPr>
          <w:rFonts w:cs="Times New Roman"/>
        </w:rPr>
        <w:t xml:space="preserve">U slučaju provođenja stečajnog postupka odnosno ubrzane prodaje imovine, razvidno je iz današnjih slučajeva da se vrijednosti imovine zbog načina prodaje znatno obezvrjeđuje, tako da vjerovnici u tom slučaju ne bi uspjeli namiriti svoja potraživanja </w:t>
      </w:r>
      <w:proofErr w:type="spellStart"/>
      <w:r>
        <w:rPr>
          <w:rFonts w:cs="Times New Roman"/>
        </w:rPr>
        <w:t>naa</w:t>
      </w:r>
      <w:proofErr w:type="spellEnd"/>
      <w:r>
        <w:rPr>
          <w:rFonts w:cs="Times New Roman"/>
        </w:rPr>
        <w:t xml:space="preserve"> kvalitetan način i u kratkom roku kao što je moguće provesti u postupku </w:t>
      </w:r>
      <w:proofErr w:type="spellStart"/>
      <w:r>
        <w:rPr>
          <w:rFonts w:cs="Times New Roman"/>
        </w:rPr>
        <w:t>predstečajne</w:t>
      </w:r>
      <w:proofErr w:type="spellEnd"/>
      <w:r>
        <w:rPr>
          <w:rFonts w:cs="Times New Roman"/>
        </w:rPr>
        <w:t xml:space="preserve"> nagodbe.</w:t>
      </w:r>
    </w:p>
    <w:p w:rsidRDefault="00924162" w:rsidP="00924162" w:rsidR="00924162">
      <w:pPr>
        <w:spacing w:lineRule="auto" w:line="360" w:before="240"/>
        <w:jc w:val="both"/>
        <w:rPr>
          <w:rFonts w:cs="Times New Roman"/>
        </w:rPr>
      </w:pPr>
      <w:r>
        <w:rPr>
          <w:rFonts w:cs="Times New Roman"/>
        </w:rPr>
        <w:t>Na djelomično namirenje morao bi računati tek dio vjerovnika u prvom redu.</w:t>
      </w:r>
    </w:p>
    <w:p w:rsidRDefault="00924162" w:rsidP="00924162" w:rsidR="00924162">
      <w:pPr>
        <w:spacing w:lineRule="auto" w:line="360" w:before="240"/>
        <w:jc w:val="both"/>
        <w:rPr>
          <w:rFonts w:cs="Times New Roman"/>
        </w:rPr>
      </w:pPr>
      <w:r>
        <w:rPr>
          <w:rFonts w:cs="Times New Roman"/>
        </w:rPr>
        <w:t xml:space="preserve">Slijedom gore navedenog, društvo povećava broj zaposlenih sukladno planu restrukturiranja u postupku </w:t>
      </w:r>
      <w:proofErr w:type="spellStart"/>
      <w:r>
        <w:rPr>
          <w:rFonts w:cs="Times New Roman"/>
        </w:rPr>
        <w:t>predstečajne</w:t>
      </w:r>
      <w:proofErr w:type="spellEnd"/>
      <w:r>
        <w:rPr>
          <w:rFonts w:cs="Times New Roman"/>
        </w:rPr>
        <w:t xml:space="preserve"> nagodbe</w:t>
      </w:r>
    </w:p>
    <w:p w:rsidRDefault="00924162" w:rsidP="00924162" w:rsidR="00924162">
      <w:pPr>
        <w:spacing w:lineRule="auto" w:line="360" w:before="240"/>
        <w:jc w:val="both"/>
        <w:rPr>
          <w:rFonts w:cs="Times New Roman"/>
        </w:rPr>
      </w:pPr>
    </w:p>
    <w:p w:rsidRDefault="00924162" w:rsidP="00924162" w:rsidR="00924162">
      <w:pPr>
        <w:spacing w:lineRule="auto" w:line="360" w:before="240"/>
        <w:jc w:val="both"/>
        <w:rPr>
          <w:rFonts w:cs="Times New Roman"/>
        </w:rPr>
      </w:pPr>
    </w:p>
    <w:p w:rsidRDefault="00924162" w:rsidP="00924162" w:rsidR="00924162">
      <w:pPr>
        <w:spacing w:lineRule="auto" w:line="360" w:before="240"/>
        <w:jc w:val="both"/>
        <w:rPr>
          <w:rFonts w:cs="Times New Roman"/>
        </w:rPr>
      </w:pPr>
    </w:p>
    <w:p w:rsidRDefault="00924162" w:rsidP="00924162" w:rsidR="00924162">
      <w:pPr>
        <w:spacing w:lineRule="auto" w:line="360" w:before="240"/>
        <w:jc w:val="both"/>
        <w:rPr>
          <w:rFonts w:cs="Times New Roman"/>
        </w:rPr>
      </w:pPr>
    </w:p>
    <w:p w:rsidRDefault="00924162" w:rsidP="00924162" w:rsidR="00924162">
      <w:pPr>
        <w:spacing w:lineRule="auto" w:line="360" w:before="240"/>
        <w:jc w:val="both"/>
        <w:rPr>
          <w:rFonts w:cs="Times New Roman"/>
        </w:rPr>
      </w:pPr>
    </w:p>
    <w:p w:rsidRDefault="00924162" w:rsidP="00924162" w:rsidR="00924162">
      <w:pPr>
        <w:spacing w:lineRule="auto" w:line="360" w:before="240"/>
        <w:jc w:val="both"/>
        <w:rPr>
          <w:rFonts w:cs="Times New Roman"/>
        </w:rPr>
      </w:pPr>
    </w:p>
    <w:p w:rsidRDefault="00924162" w:rsidP="00924162" w:rsidR="00924162">
      <w:pPr>
        <w:spacing w:lineRule="auto" w:line="360" w:before="240"/>
        <w:jc w:val="both"/>
        <w:rPr>
          <w:rFonts w:cs="Times New Roman"/>
        </w:rPr>
      </w:pPr>
    </w:p>
    <w:p w:rsidRDefault="00924162" w:rsidP="00924162" w:rsidR="00924162">
      <w:pPr>
        <w:spacing w:lineRule="auto" w:line="360" w:before="240"/>
        <w:jc w:val="both"/>
        <w:rPr>
          <w:rFonts w:cs="Times New Roman"/>
        </w:rPr>
      </w:pPr>
    </w:p>
    <w:p w:rsidRDefault="00924162" w:rsidP="00924162" w:rsidR="00924162">
      <w:pPr>
        <w:spacing w:lineRule="auto" w:line="360" w:before="240"/>
        <w:jc w:val="both"/>
        <w:rPr>
          <w:rFonts w:cs="Times New Roman"/>
        </w:rPr>
      </w:pPr>
    </w:p>
    <w:p w:rsidRDefault="00924162" w:rsidP="00924162" w:rsidR="00924162">
      <w:pPr>
        <w:spacing w:lineRule="auto" w:line="360" w:before="240"/>
        <w:jc w:val="both"/>
        <w:rPr>
          <w:rFonts w:cs="Times New Roman"/>
        </w:rPr>
      </w:pPr>
    </w:p>
    <w:p w:rsidRDefault="00924162" w:rsidP="00924162" w:rsidR="00924162">
      <w:pPr>
        <w:spacing w:lineRule="auto" w:line="360" w:before="240"/>
        <w:jc w:val="both"/>
        <w:rPr>
          <w:rFonts w:cs="Times New Roman"/>
        </w:rPr>
      </w:pPr>
    </w:p>
    <w:p w:rsidRDefault="00924162" w:rsidP="00924162" w:rsidR="00924162">
      <w:pPr>
        <w:spacing w:lineRule="auto" w:line="360" w:before="240"/>
        <w:jc w:val="both"/>
        <w:rPr>
          <w:rFonts w:cs="Times New Roman"/>
        </w:rPr>
      </w:pPr>
    </w:p>
    <w:p w:rsidRDefault="00924162" w:rsidP="00924162" w:rsidR="00924162">
      <w:pPr>
        <w:spacing w:lineRule="auto" w:line="360" w:before="240"/>
        <w:jc w:val="both"/>
        <w:rPr>
          <w:rFonts w:cs="Times New Roman"/>
        </w:rPr>
      </w:pPr>
    </w:p>
    <w:p w:rsidRDefault="00924162" w:rsidP="00924162" w:rsidR="00924162">
      <w:pPr>
        <w:spacing w:lineRule="auto" w:line="360" w:before="240"/>
        <w:jc w:val="both"/>
        <w:rPr>
          <w:rFonts w:cs="Times New Roman"/>
        </w:rPr>
      </w:pPr>
    </w:p>
    <w:p w:rsidRDefault="00924162" w:rsidP="00924162" w:rsidR="00924162">
      <w:pPr>
        <w:spacing w:lineRule="auto" w:line="360" w:before="240"/>
        <w:jc w:val="both"/>
        <w:rPr>
          <w:rFonts w:cs="Times New Roman"/>
        </w:rPr>
      </w:pPr>
    </w:p>
    <w:p w:rsidRDefault="00924162" w:rsidP="00924162" w:rsidR="00924162">
      <w:pPr>
        <w:spacing w:lineRule="auto" w:line="360" w:before="120"/>
        <w:jc w:val="both"/>
        <w:rPr>
          <w:rFonts w:cs="Times New Roman"/>
        </w:rPr>
      </w:pPr>
      <w:r>
        <w:rPr>
          <w:rFonts w:cs="Times New Roman"/>
        </w:rPr>
        <w:t>Plan financijskog i operativnog restrukturiranja društva RATARSTVO d.o.o. za 2016.-2018. godinu usvojio je i odobrio direktor društva dana 10.08.2016. godine.</w:t>
      </w:r>
    </w:p>
    <w:p w:rsidRDefault="00924162" w:rsidP="00924162" w:rsidR="00924162">
      <w:pPr>
        <w:spacing w:lineRule="auto" w:line="360" w:before="120"/>
        <w:jc w:val="both"/>
        <w:rPr>
          <w:rFonts w:cs="Times New Roman"/>
        </w:rPr>
      </w:pPr>
    </w:p>
    <w:p w:rsidRDefault="00924162" w:rsidP="00924162" w:rsidR="00924162">
      <w:pPr>
        <w:spacing w:lineRule="auto" w:line="360" w:before="120"/>
        <w:jc w:val="both"/>
        <w:rPr>
          <w:rFonts w:cs="Times New Roman"/>
        </w:rPr>
      </w:pPr>
    </w:p>
    <w:p w:rsidRDefault="00924162" w:rsidP="00924162" w:rsidR="00924162">
      <w:pPr>
        <w:spacing w:lineRule="auto" w:line="360" w:before="120"/>
        <w:jc w:val="both"/>
        <w:rPr>
          <w:rFonts w:cs="Times New Roman"/>
        </w:rPr>
      </w:pPr>
    </w:p>
    <w:p w:rsidRDefault="00924162" w:rsidP="00924162" w:rsidR="00924162">
      <w:pPr>
        <w:spacing w:lineRule="auto" w:line="360" w:before="120"/>
        <w:jc w:val="both"/>
        <w:rPr>
          <w:rFonts w:cs="Times New Roman"/>
        </w:rPr>
      </w:pPr>
    </w:p>
    <w:p w:rsidRDefault="00924162" w:rsidP="00924162" w:rsidR="00924162">
      <w:pPr>
        <w:spacing w:lineRule="auto" w:line="360" w:before="120"/>
        <w:jc w:val="both"/>
        <w:rPr>
          <w:rFonts w:cs="Times New Roman"/>
        </w:rPr>
      </w:pPr>
      <w:r>
        <w:rPr>
          <w:rFonts w:cs="Times New Roman"/>
        </w:rPr>
        <w:t xml:space="preserve">                                                                                                    Direktor</w:t>
      </w:r>
    </w:p>
    <w:p w:rsidRDefault="00924162" w:rsidP="00924162" w:rsidR="00924162">
      <w:pPr>
        <w:spacing w:lineRule="auto" w:line="360" w:before="120"/>
        <w:jc w:val="both"/>
        <w:rPr>
          <w:rFonts w:cs="Times New Roman"/>
        </w:rPr>
      </w:pPr>
    </w:p>
    <w:p w:rsidRDefault="00924162" w:rsidP="00924162" w:rsidR="00924162">
      <w:pPr>
        <w:spacing w:lineRule="auto" w:line="360" w:before="120"/>
        <w:jc w:val="both"/>
        <w:rPr>
          <w:rFonts w:cs="Times New Roman"/>
        </w:rPr>
      </w:pPr>
      <w:r>
        <w:rPr>
          <w:rFonts w:cs="Times New Roman"/>
        </w:rPr>
        <w:t xml:space="preserve">                                                                                                    _________________________</w:t>
      </w:r>
    </w:p>
    <w:p w:rsidRDefault="00924162" w:rsidP="00924162" w:rsidR="00924162">
      <w:pPr>
        <w:spacing w:before="240"/>
        <w:rPr>
          <w:rFonts w:cs="Times New Roman"/>
        </w:rPr>
      </w:pPr>
    </w:p>
    <w:p w:rsidRDefault="00924162" w:rsidP="00924162" w:rsidR="00924162">
      <w:pPr>
        <w:rPr>
          <w:rFonts w:cs="Times New Roman"/>
        </w:rPr>
      </w:pPr>
    </w:p>
    <w:p w:rsidRDefault="00AE649C" w:rsidP="00FA5B5E" w:rsidR="00AE649C" w:rsidRPr="00B76F3C">
      <w:pPr>
        <w:pStyle w:val="Naslov3"/>
      </w:pPr>
      <w:bookmarkStart w:name="_GoBack" w:id="51"/>
      <w:bookmarkEnd w:id="51"/>
    </w:p>
    <w:p w:rsidRDefault="00924162"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3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4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Mangal">
    <w:panose1 w:val="02040503050203030202"/>
    <w:charset w:val="00"/>
    <w:family w:val="roman"/>
    <w:pitch w:val="variable"/>
    <w:sig w:csb1="00000000" w:csb0="00000001" w:usb3="00000000" w:usb2="00000000" w:usb1="00000000" w:usb0="00008003"/>
  </w:font>
  <w:font w:name="Arial Black">
    <w:panose1 w:val="020B0A04020102020204"/>
    <w:charset w:val="EE"/>
    <w:family w:val="swiss"/>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A920AD0"/>
    <w:multiLevelType w:val="hybridMultilevel"/>
    <w:tmpl w:val="BEA0A94E"/>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1EC7685C"/>
    <w:multiLevelType w:val="hybridMultilevel"/>
    <w:tmpl w:val="082A704C"/>
    <w:lvl w:tplc="041A0001" w:ilvl="0">
      <w:start w:val="1"/>
      <w:numFmt w:val="bullet"/>
      <w:lvlText w:val=""/>
      <w:lvlJc w:val="left"/>
      <w:pPr>
        <w:ind w:hanging="360" w:left="360"/>
      </w:pPr>
      <w:rPr>
        <w:rFonts w:hAnsi="Symbol" w:ascii="Symbol" w:hint="default"/>
      </w:rPr>
    </w:lvl>
    <w:lvl w:tplc="041A0003" w:ilvl="1">
      <w:start w:val="1"/>
      <w:numFmt w:val="bullet"/>
      <w:lvlText w:val="o"/>
      <w:lvlJc w:val="left"/>
      <w:pPr>
        <w:ind w:hanging="360" w:left="1080"/>
      </w:pPr>
      <w:rPr>
        <w:rFonts w:cs="Courier New" w:hAnsi="Courier New" w:ascii="Courier New" w:hint="default"/>
      </w:rPr>
    </w:lvl>
    <w:lvl w:tplc="041A0005" w:ilvl="2">
      <w:start w:val="1"/>
      <w:numFmt w:val="bullet"/>
      <w:lvlText w:val=""/>
      <w:lvlJc w:val="left"/>
      <w:pPr>
        <w:ind w:hanging="360" w:left="1800"/>
      </w:pPr>
      <w:rPr>
        <w:rFonts w:hAnsi="Wingdings" w:ascii="Wingdings" w:hint="default"/>
      </w:rPr>
    </w:lvl>
    <w:lvl w:tplc="041A0001" w:ilvl="3">
      <w:start w:val="1"/>
      <w:numFmt w:val="bullet"/>
      <w:lvlText w:val=""/>
      <w:lvlJc w:val="left"/>
      <w:pPr>
        <w:ind w:hanging="360" w:left="2520"/>
      </w:pPr>
      <w:rPr>
        <w:rFonts w:hAnsi="Symbol" w:ascii="Symbol" w:hint="default"/>
      </w:rPr>
    </w:lvl>
    <w:lvl w:tplc="041A0003" w:ilvl="4">
      <w:start w:val="1"/>
      <w:numFmt w:val="bullet"/>
      <w:lvlText w:val="o"/>
      <w:lvlJc w:val="left"/>
      <w:pPr>
        <w:ind w:hanging="360" w:left="3240"/>
      </w:pPr>
      <w:rPr>
        <w:rFonts w:cs="Courier New" w:hAnsi="Courier New" w:ascii="Courier New" w:hint="default"/>
      </w:rPr>
    </w:lvl>
    <w:lvl w:tplc="041A0005" w:ilvl="5">
      <w:start w:val="1"/>
      <w:numFmt w:val="bullet"/>
      <w:lvlText w:val=""/>
      <w:lvlJc w:val="left"/>
      <w:pPr>
        <w:ind w:hanging="360" w:left="3960"/>
      </w:pPr>
      <w:rPr>
        <w:rFonts w:hAnsi="Wingdings" w:ascii="Wingdings" w:hint="default"/>
      </w:rPr>
    </w:lvl>
    <w:lvl w:tplc="041A0001" w:ilvl="6">
      <w:start w:val="1"/>
      <w:numFmt w:val="bullet"/>
      <w:lvlText w:val=""/>
      <w:lvlJc w:val="left"/>
      <w:pPr>
        <w:ind w:hanging="360" w:left="4680"/>
      </w:pPr>
      <w:rPr>
        <w:rFonts w:hAnsi="Symbol" w:ascii="Symbol" w:hint="default"/>
      </w:rPr>
    </w:lvl>
    <w:lvl w:tplc="041A0003" w:ilvl="7">
      <w:start w:val="1"/>
      <w:numFmt w:val="bullet"/>
      <w:lvlText w:val="o"/>
      <w:lvlJc w:val="left"/>
      <w:pPr>
        <w:ind w:hanging="360" w:left="5400"/>
      </w:pPr>
      <w:rPr>
        <w:rFonts w:cs="Courier New" w:hAnsi="Courier New" w:ascii="Courier New" w:hint="default"/>
      </w:rPr>
    </w:lvl>
    <w:lvl w:tplc="041A0005" w:ilvl="8">
      <w:start w:val="1"/>
      <w:numFmt w:val="bullet"/>
      <w:lvlText w:val=""/>
      <w:lvlJc w:val="left"/>
      <w:pPr>
        <w:ind w:hanging="360" w:left="6120"/>
      </w:pPr>
      <w:rPr>
        <w:rFonts w:hAnsi="Wingdings" w:ascii="Wingdings" w:hint="default"/>
      </w:rPr>
    </w:lvl>
  </w:abstractNum>
  <w:abstractNum w:abstractNumId="24">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2D8D2DEE"/>
    <w:multiLevelType w:val="hybridMultilevel"/>
    <w:tmpl w:val="743EFBF0"/>
    <w:lvl w:tplc="4A122A5C" w:ilvl="0">
      <w:start w:val="1"/>
      <w:numFmt w:val="decimal"/>
      <w:pStyle w:val="Naslov4"/>
      <w:lvlText w:val="1.2.%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8">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9">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30">
    <w:nsid w:val="374B6CBE"/>
    <w:multiLevelType w:val="hybridMultilevel"/>
    <w:tmpl w:val="207CA22E"/>
    <w:lvl w:tplc="A5B46808" w:ilvl="0">
      <w:start w:val="1"/>
      <w:numFmt w:val="decimal"/>
      <w:pStyle w:val="Naslov3"/>
      <w:lvlText w:val="1.1.%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1">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2">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3">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4">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5">
    <w:nsid w:val="49020A0C"/>
    <w:multiLevelType w:val="hybridMultilevel"/>
    <w:tmpl w:val="64AA51AE"/>
    <w:lvl w:tplc="7E9EFDA6" w:ilvl="0">
      <w:start w:val="1"/>
      <w:numFmt w:val="decimal"/>
      <w:pStyle w:val="Naslov2"/>
      <w:lvlText w:val="1.%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6">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7">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8">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9">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5B3D7E17"/>
    <w:multiLevelType w:val="hybridMultilevel"/>
    <w:tmpl w:val="E5C09598"/>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1">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42">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3">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4">
    <w:nsid w:val="734A235C"/>
    <w:multiLevelType w:val="multilevel"/>
    <w:tmpl w:val="233E50AC"/>
    <w:numStyleLink w:val="NumList1"/>
  </w:abstractNum>
  <w:abstractNum w:abstractNumId="45">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6">
    <w:nsid w:val="76670CAA"/>
    <w:multiLevelType w:val="multilevel"/>
    <w:tmpl w:val="DF20873A"/>
    <w:numStyleLink w:val="NumListOI"/>
  </w:abstractNum>
  <w:abstractNum w:abstractNumId="47">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8">
    <w:nsid w:val="7EAF58E6"/>
    <w:multiLevelType w:val="multilevel"/>
    <w:tmpl w:val="358ED2AE"/>
    <w:numStyleLink w:val="NumListA0"/>
  </w:abstractNum>
  <w:num w:numId="1">
    <w:abstractNumId w:val="18"/>
  </w:num>
  <w:num w:numId="2">
    <w:abstractNumId w:val="33"/>
  </w:num>
  <w:num w:numId="3">
    <w:abstractNumId w:val="17"/>
  </w:num>
  <w:num w:numId="4">
    <w:abstractNumId w:val="45"/>
  </w:num>
  <w:num w:numId="5">
    <w:abstractNumId w:val="47"/>
  </w:num>
  <w:num w:numId="6">
    <w:abstractNumId w:val="19"/>
  </w:num>
  <w:num w:numId="7">
    <w:abstractNumId w:val="21"/>
  </w:num>
  <w:num w:numId="8">
    <w:abstractNumId w:val="32"/>
  </w:num>
  <w:num w:numId="9">
    <w:abstractNumId w:val="15"/>
  </w:num>
  <w:num w:numId="10">
    <w:abstractNumId w:val="39"/>
  </w:num>
  <w:num w:numId="11">
    <w:abstractNumId w:val="14"/>
  </w:num>
  <w:num w:numId="12">
    <w:abstractNumId w:val="13"/>
  </w:num>
  <w:num w:numId="13">
    <w:abstractNumId w:val="43"/>
  </w:num>
  <w:num w:numId="14">
    <w:abstractNumId w:val="29"/>
  </w:num>
  <w:num w:numId="1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num>
  <w:num w:numId="17">
    <w:abstractNumId w:val="25"/>
  </w:num>
  <w:num w:numId="18">
    <w:abstractNumId w:val="42"/>
  </w:num>
  <w:num w:numId="19">
    <w:abstractNumId w:val="16"/>
  </w:num>
  <w:num w:numId="20">
    <w:abstractNumId w:val="22"/>
  </w:num>
  <w:num w:numId="21">
    <w:abstractNumId w:val="24"/>
  </w:num>
  <w:num w:numId="22">
    <w:abstractNumId w:val="37"/>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41"/>
  </w:num>
  <w:num w:numId="33">
    <w:abstractNumId w:val="31"/>
  </w:num>
  <w:num w:numId="34">
    <w:abstractNumId w:val="28"/>
  </w:num>
  <w:num w:numId="35">
    <w:abstractNumId w:val="11"/>
  </w:num>
  <w:num w:numId="36">
    <w:abstractNumId w:val="38"/>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7">
    <w:abstractNumId w:val="26"/>
  </w:num>
  <w:num w:numId="38">
    <w:abstractNumId w:val="10"/>
  </w:num>
  <w:num w:numId="39">
    <w:abstractNumId w:val="9"/>
  </w:num>
  <w:num w:numId="40">
    <w:abstractNumId w:val="44"/>
  </w:num>
  <w:num w:numId="41">
    <w:abstractNumId w:val="48"/>
  </w:num>
  <w:num w:numId="42">
    <w:abstractNumId w:val="12"/>
  </w:num>
  <w:num w:numId="43">
    <w:abstractNumId w:val="46"/>
  </w:num>
  <w:num w:numId="4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3"/>
    <w:lvlOverride w:ilvl="0"/>
    <w:lvlOverride w:ilvl="1"/>
    <w:lvlOverride w:ilvl="2"/>
    <w:lvlOverride w:ilvl="3"/>
    <w:lvlOverride w:ilvl="4"/>
    <w:lvlOverride w:ilvl="5"/>
    <w:lvlOverride w:ilvl="6"/>
    <w:lvlOverride w:ilvl="7"/>
    <w:lvlOverride w:ilvl="8"/>
  </w:num>
  <w:num w:numId="48">
    <w:abstractNumId w:val="20"/>
    <w:lvlOverride w:ilvl="0"/>
    <w:lvlOverride w:ilvl="1"/>
    <w:lvlOverride w:ilvl="2"/>
    <w:lvlOverride w:ilvl="3"/>
    <w:lvlOverride w:ilvl="4"/>
    <w:lvlOverride w:ilvl="5"/>
    <w:lvlOverride w:ilvl="6"/>
    <w:lvlOverride w:ilvl="7"/>
    <w:lvlOverride w:ilvl="8"/>
  </w:num>
  <w:num w:numId="49">
    <w:abstractNumId w:val="40"/>
    <w:lvlOverride w:ilvl="0"/>
    <w:lvlOverride w:ilvl="1"/>
    <w:lvlOverride w:ilvl="2"/>
    <w:lvlOverride w:ilvl="3"/>
    <w:lvlOverride w:ilvl="4"/>
    <w:lvlOverride w:ilvl="5"/>
    <w:lvlOverride w:ilvl="6"/>
    <w:lvlOverride w:ilvl="7"/>
    <w:lvlOverride w:ilvl="8"/>
  </w:num>
  <w:numIdMacAtCleanup w:val="49"/>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162"/>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sdException w:qFormat="true" w:uiPriority="39" w:name="TOC Heading"/>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qFormat/>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qFormat/>
    <w:rsid w:val="00EB0D4C"/>
    <w:pPr>
      <w:keepNext/>
      <w:jc w:val="center"/>
      <w:outlineLvl w:val="1"/>
    </w:pPr>
    <w:rPr>
      <w:b/>
      <w:sz w:val="28"/>
      <w:szCs w:val="20"/>
    </w:rPr>
  </w:style>
  <w:style w:styleId="Naslov3" w:type="paragraph">
    <w:name w:val="heading 3"/>
    <w:basedOn w:val="Normal"/>
    <w:next w:val="Normal"/>
    <w:link w:val="Naslov3Char"/>
    <w:uiPriority w:val="9"/>
    <w:unhideWhenUsed/>
    <w:qFormat/>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qFormat/>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2"/>
      </w:numPr>
      <w:spacing w:after="0" w:before="120"/>
    </w:pPr>
  </w:style>
  <w:style w:styleId="Grafikeoznake2" w:type="paragraph">
    <w:name w:val="List Bullet 2"/>
    <w:basedOn w:val="NormalDefault"/>
    <w:rsid w:val="00EB0D4C"/>
    <w:pPr>
      <w:numPr>
        <w:numId w:val="23"/>
      </w:numPr>
      <w:spacing w:after="0" w:before="120"/>
    </w:pPr>
  </w:style>
  <w:style w:styleId="Grafikeoznake3" w:type="paragraph">
    <w:name w:val="List Bullet 3"/>
    <w:basedOn w:val="NormalDefault"/>
    <w:rsid w:val="00EB0D4C"/>
    <w:pPr>
      <w:numPr>
        <w:numId w:val="24"/>
      </w:numPr>
      <w:spacing w:after="0" w:before="120"/>
    </w:pPr>
  </w:style>
  <w:style w:styleId="Grafikeoznake4" w:type="paragraph">
    <w:name w:val="List Bullet 4"/>
    <w:basedOn w:val="NormalDefault"/>
    <w:rsid w:val="00EB0D4C"/>
    <w:pPr>
      <w:numPr>
        <w:numId w:val="25"/>
      </w:numPr>
      <w:spacing w:after="0" w:before="120"/>
    </w:pPr>
  </w:style>
  <w:style w:styleId="Grafikeoznake5" w:type="paragraph">
    <w:name w:val="List Bullet 5"/>
    <w:basedOn w:val="NormalDefault"/>
    <w:rsid w:val="00EB0D4C"/>
    <w:pPr>
      <w:numPr>
        <w:numId w:val="26"/>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7"/>
      </w:numPr>
      <w:spacing w:after="0" w:before="120"/>
    </w:pPr>
  </w:style>
  <w:style w:styleId="Brojevi2" w:type="paragraph">
    <w:name w:val="List Number 2"/>
    <w:basedOn w:val="NormalDefault"/>
    <w:rsid w:val="00EB0D4C"/>
    <w:pPr>
      <w:numPr>
        <w:numId w:val="28"/>
      </w:numPr>
      <w:spacing w:after="0" w:before="120"/>
    </w:pPr>
  </w:style>
  <w:style w:styleId="Brojevi3" w:type="paragraph">
    <w:name w:val="List Number 3"/>
    <w:basedOn w:val="NormalDefault"/>
    <w:rsid w:val="00EB0D4C"/>
    <w:pPr>
      <w:numPr>
        <w:numId w:val="29"/>
      </w:numPr>
      <w:spacing w:after="0" w:before="120"/>
    </w:pPr>
  </w:style>
  <w:style w:styleId="Brojevi4" w:type="paragraph">
    <w:name w:val="List Number 4"/>
    <w:basedOn w:val="NormalDefault"/>
    <w:rsid w:val="00EB0D4C"/>
    <w:pPr>
      <w:numPr>
        <w:numId w:val="30"/>
      </w:numPr>
      <w:spacing w:after="0" w:before="120"/>
    </w:pPr>
  </w:style>
  <w:style w:styleId="Brojevi5" w:type="paragraph">
    <w:name w:val="List Number 5"/>
    <w:basedOn w:val="NormalDefault"/>
    <w:rsid w:val="00EB0D4C"/>
    <w:pPr>
      <w:numPr>
        <w:numId w:val="31"/>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2"/>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3"/>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5"/>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6"/>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7"/>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8"/>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39"/>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link w:val="BezproredaChar"/>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uiPriority w:val="99"/>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0"/>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1"/>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2"/>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3"/>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39"/>
    <w:semiHidden/>
    <w:unhideWhenUsed/>
    <w:rsid w:val="00551CB3"/>
    <w:pPr>
      <w:spacing w:after="100"/>
    </w:pPr>
  </w:style>
  <w:style w:styleId="Sadraj2" w:type="paragraph">
    <w:name w:val="toc 2"/>
    <w:basedOn w:val="Normal"/>
    <w:next w:val="Normal"/>
    <w:autoRedefine/>
    <w:uiPriority w:val="39"/>
    <w:semiHidden/>
    <w:unhideWhenUsed/>
    <w:rsid w:val="00551CB3"/>
    <w:pPr>
      <w:spacing w:after="100"/>
      <w:ind w:left="240"/>
    </w:pPr>
  </w:style>
  <w:style w:styleId="Sadraj3" w:type="paragraph">
    <w:name w:val="toc 3"/>
    <w:basedOn w:val="Normal"/>
    <w:next w:val="Normal"/>
    <w:autoRedefine/>
    <w:uiPriority w:val="39"/>
    <w:semiHidden/>
    <w:unhideWhenUsed/>
    <w:rsid w:val="00551CB3"/>
    <w:pPr>
      <w:spacing w:after="100"/>
      <w:ind w:left="480"/>
    </w:pPr>
  </w:style>
  <w:style w:styleId="Sadraj4" w:type="paragraph">
    <w:name w:val="toc 4"/>
    <w:basedOn w:val="Normal"/>
    <w:next w:val="Normal"/>
    <w:autoRedefine/>
    <w:uiPriority w:val="3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39"/>
    <w:semiHidden/>
    <w:unhideWhenUsed/>
    <w:qFormat/>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4"/>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BezproredaChar" w:type="character">
    <w:name w:val="Bez proreda Char"/>
    <w:basedOn w:val="Zadanifontodlomka"/>
    <w:link w:val="Bezproreda"/>
    <w:uiPriority w:val="1"/>
    <w:locked/>
    <w:rsid w:val="00924162"/>
    <w:rPr>
      <w:rFonts w:cs="Times New Roman" w:eastAsia="Times New Roman" w:hAnsi="Times New Roman" w:ascii="Times New Roman"/>
      <w:sz w:val="24"/>
      <w:szCs w:val="24"/>
      <w:lang w:eastAsia="hr-HR" w:val="hr-HR"/>
    </w:rPr>
  </w:style>
  <w:style w:customStyle="true" w:styleId="Standard" w:type="paragraph">
    <w:name w:val="Standard"/>
    <w:uiPriority w:val="99"/>
    <w:rsid w:val="00924162"/>
    <w:pPr>
      <w:widowControl w:val="false"/>
      <w:suppressAutoHyphens/>
      <w:autoSpaceDN w:val="false"/>
      <w:spacing w:lineRule="auto" w:line="240" w:after="0"/>
    </w:pPr>
    <w:rPr>
      <w:rFonts w:cs="Mangal" w:eastAsia="SimSun" w:hAnsi="Times New Roman" w:ascii="Times New Roman"/>
      <w:kern w:val="3"/>
      <w:sz w:val="24"/>
      <w:szCs w:val="24"/>
      <w:lang w:eastAsia="hr-HR" w:val="hr-HR"/>
    </w:rPr>
  </w:style>
  <w:style w:customStyle="true" w:styleId="t-9-8" w:type="paragraph">
    <w:name w:val="t-9-8"/>
    <w:basedOn w:val="Normal"/>
    <w:uiPriority w:val="99"/>
    <w:rsid w:val="00924162"/>
    <w:pPr>
      <w:spacing w:afterAutospacing="true" w:after="100" w:beforeAutospacing="true" w:before="100"/>
    </w:pPr>
    <w:rPr>
      <w:rFonts w:cs="Times New Roman" w:eastAsia="Times New Roman"/>
      <w:lang w:eastAsia="hr-HR"/>
    </w:rPr>
  </w:style>
  <w:style w:customStyle="true" w:styleId="Style10" w:type="paragraph">
    <w:name w:val="Style 1"/>
    <w:uiPriority w:val="99"/>
    <w:rsid w:val="00924162"/>
    <w:pPr>
      <w:widowControl w:val="false"/>
      <w:autoSpaceDE w:val="false"/>
      <w:autoSpaceDN w:val="false"/>
      <w:adjustRightInd w:val="false"/>
      <w:spacing w:lineRule="auto" w:line="240" w:after="0"/>
    </w:pPr>
    <w:rPr>
      <w:rFonts w:eastAsiaTheme="minorEastAsia" w:cs="Times New Roman" w:hAnsi="Times New Roman" w:ascii="Times New Roman"/>
      <w:sz w:val="20"/>
      <w:szCs w:val="20"/>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sdException w:name="TOC Heading" w:qFormat="1" w:uiPriority="39"/>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qFormat/>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qFormat/>
    <w:rsid w:val="00EB0D4C"/>
    <w:pPr>
      <w:keepNext/>
      <w:jc w:val="center"/>
      <w:outlineLvl w:val="1"/>
    </w:pPr>
    <w:rPr>
      <w:b/>
      <w:sz w:val="28"/>
      <w:szCs w:val="20"/>
    </w:rPr>
  </w:style>
  <w:style w:styleId="Naslov3" w:type="paragraph">
    <w:name w:val="heading 3"/>
    <w:basedOn w:val="Normal"/>
    <w:next w:val="Normal"/>
    <w:link w:val="Naslov3Char"/>
    <w:uiPriority w:val="9"/>
    <w:unhideWhenUsed/>
    <w:qFormat/>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qFormat/>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2"/>
      </w:numPr>
      <w:spacing w:after="0" w:before="120"/>
    </w:pPr>
  </w:style>
  <w:style w:styleId="Grafikeoznake2" w:type="paragraph">
    <w:name w:val="List Bullet 2"/>
    <w:basedOn w:val="NormalDefault"/>
    <w:rsid w:val="00EB0D4C"/>
    <w:pPr>
      <w:numPr>
        <w:numId w:val="23"/>
      </w:numPr>
      <w:spacing w:after="0" w:before="120"/>
    </w:pPr>
  </w:style>
  <w:style w:styleId="Grafikeoznake3" w:type="paragraph">
    <w:name w:val="List Bullet 3"/>
    <w:basedOn w:val="NormalDefault"/>
    <w:rsid w:val="00EB0D4C"/>
    <w:pPr>
      <w:numPr>
        <w:numId w:val="24"/>
      </w:numPr>
      <w:spacing w:after="0" w:before="120"/>
    </w:pPr>
  </w:style>
  <w:style w:styleId="Grafikeoznake4" w:type="paragraph">
    <w:name w:val="List Bullet 4"/>
    <w:basedOn w:val="NormalDefault"/>
    <w:rsid w:val="00EB0D4C"/>
    <w:pPr>
      <w:numPr>
        <w:numId w:val="25"/>
      </w:numPr>
      <w:spacing w:after="0" w:before="120"/>
    </w:pPr>
  </w:style>
  <w:style w:styleId="Grafikeoznake5" w:type="paragraph">
    <w:name w:val="List Bullet 5"/>
    <w:basedOn w:val="NormalDefault"/>
    <w:rsid w:val="00EB0D4C"/>
    <w:pPr>
      <w:numPr>
        <w:numId w:val="26"/>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7"/>
      </w:numPr>
      <w:spacing w:after="0" w:before="120"/>
    </w:pPr>
  </w:style>
  <w:style w:styleId="Brojevi2" w:type="paragraph">
    <w:name w:val="List Number 2"/>
    <w:basedOn w:val="NormalDefault"/>
    <w:rsid w:val="00EB0D4C"/>
    <w:pPr>
      <w:numPr>
        <w:numId w:val="28"/>
      </w:numPr>
      <w:spacing w:after="0" w:before="120"/>
    </w:pPr>
  </w:style>
  <w:style w:styleId="Brojevi3" w:type="paragraph">
    <w:name w:val="List Number 3"/>
    <w:basedOn w:val="NormalDefault"/>
    <w:rsid w:val="00EB0D4C"/>
    <w:pPr>
      <w:numPr>
        <w:numId w:val="29"/>
      </w:numPr>
      <w:spacing w:after="0" w:before="120"/>
    </w:pPr>
  </w:style>
  <w:style w:styleId="Brojevi4" w:type="paragraph">
    <w:name w:val="List Number 4"/>
    <w:basedOn w:val="NormalDefault"/>
    <w:rsid w:val="00EB0D4C"/>
    <w:pPr>
      <w:numPr>
        <w:numId w:val="30"/>
      </w:numPr>
      <w:spacing w:after="0" w:before="120"/>
    </w:pPr>
  </w:style>
  <w:style w:styleId="Brojevi5" w:type="paragraph">
    <w:name w:val="List Number 5"/>
    <w:basedOn w:val="NormalDefault"/>
    <w:rsid w:val="00EB0D4C"/>
    <w:pPr>
      <w:numPr>
        <w:numId w:val="31"/>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2"/>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3"/>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5"/>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6"/>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7"/>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8"/>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39"/>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link w:val="BezproredaChar"/>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uiPriority w:val="99"/>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0"/>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1"/>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2"/>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3"/>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39"/>
    <w:semiHidden/>
    <w:unhideWhenUsed/>
    <w:rsid w:val="00551CB3"/>
    <w:pPr>
      <w:spacing w:after="100"/>
    </w:pPr>
  </w:style>
  <w:style w:styleId="Sadraj2" w:type="paragraph">
    <w:name w:val="toc 2"/>
    <w:basedOn w:val="Normal"/>
    <w:next w:val="Normal"/>
    <w:autoRedefine/>
    <w:uiPriority w:val="39"/>
    <w:semiHidden/>
    <w:unhideWhenUsed/>
    <w:rsid w:val="00551CB3"/>
    <w:pPr>
      <w:spacing w:after="100"/>
      <w:ind w:left="240"/>
    </w:pPr>
  </w:style>
  <w:style w:styleId="Sadraj3" w:type="paragraph">
    <w:name w:val="toc 3"/>
    <w:basedOn w:val="Normal"/>
    <w:next w:val="Normal"/>
    <w:autoRedefine/>
    <w:uiPriority w:val="39"/>
    <w:semiHidden/>
    <w:unhideWhenUsed/>
    <w:rsid w:val="00551CB3"/>
    <w:pPr>
      <w:spacing w:after="100"/>
      <w:ind w:left="480"/>
    </w:pPr>
  </w:style>
  <w:style w:styleId="Sadraj4" w:type="paragraph">
    <w:name w:val="toc 4"/>
    <w:basedOn w:val="Normal"/>
    <w:next w:val="Normal"/>
    <w:autoRedefine/>
    <w:uiPriority w:val="3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39"/>
    <w:semiHidden/>
    <w:unhideWhenUsed/>
    <w:qFormat/>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4"/>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BezproredaChar" w:type="character">
    <w:name w:val="Bez proreda Char"/>
    <w:basedOn w:val="Zadanifontodlomka"/>
    <w:link w:val="Bezproreda"/>
    <w:uiPriority w:val="1"/>
    <w:locked/>
    <w:rsid w:val="00924162"/>
    <w:rPr>
      <w:rFonts w:ascii="Times New Roman" w:cs="Times New Roman" w:eastAsia="Times New Roman" w:hAnsi="Times New Roman"/>
      <w:sz w:val="24"/>
      <w:szCs w:val="24"/>
      <w:lang w:eastAsia="hr-HR" w:val="hr-HR"/>
    </w:rPr>
  </w:style>
  <w:style w:customStyle="1" w:styleId="Standard" w:type="paragraph">
    <w:name w:val="Standard"/>
    <w:uiPriority w:val="99"/>
    <w:rsid w:val="00924162"/>
    <w:pPr>
      <w:widowControl w:val="0"/>
      <w:suppressAutoHyphens/>
      <w:autoSpaceDN w:val="0"/>
      <w:spacing w:after="0" w:line="240" w:lineRule="auto"/>
    </w:pPr>
    <w:rPr>
      <w:rFonts w:ascii="Times New Roman" w:cs="Mangal" w:eastAsia="SimSun" w:hAnsi="Times New Roman"/>
      <w:kern w:val="3"/>
      <w:sz w:val="24"/>
      <w:szCs w:val="24"/>
      <w:lang w:eastAsia="hr-HR" w:val="hr-HR"/>
    </w:rPr>
  </w:style>
  <w:style w:customStyle="1" w:styleId="t-9-8" w:type="paragraph">
    <w:name w:val="t-9-8"/>
    <w:basedOn w:val="Normal"/>
    <w:uiPriority w:val="99"/>
    <w:rsid w:val="00924162"/>
    <w:pPr>
      <w:spacing w:after="100" w:afterAutospacing="1" w:before="100" w:beforeAutospacing="1"/>
    </w:pPr>
    <w:rPr>
      <w:rFonts w:cs="Times New Roman" w:eastAsia="Times New Roman"/>
      <w:lang w:eastAsia="hr-HR"/>
    </w:rPr>
  </w:style>
  <w:style w:customStyle="1" w:styleId="Style10" w:type="paragraph">
    <w:name w:val="Style 1"/>
    <w:uiPriority w:val="99"/>
    <w:rsid w:val="00924162"/>
    <w:pPr>
      <w:widowControl w:val="0"/>
      <w:autoSpaceDE w:val="0"/>
      <w:autoSpaceDN w:val="0"/>
      <w:adjustRightInd w:val="0"/>
      <w:spacing w:after="0" w:line="240" w:lineRule="auto"/>
    </w:pPr>
    <w:rPr>
      <w:rFonts w:ascii="Times New Roman" w:cs="Times New Roman" w:eastAsiaTheme="minorEastAsia" w:hAnsi="Times New Roman"/>
      <w:sz w:val="20"/>
      <w:szCs w:val="20"/>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0894592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F:\PSN_RATARSTVO\Ratarstvo%20d.o.o.docx" TargetMode="External"/><Relationship Id="rId18" Type="http://schemas.openxmlformats.org/officeDocument/2006/relationships/hyperlink" Target="file:///F:\PSN_RATARSTVO\Ratarstvo%20d.o.o.docx" TargetMode="External"/><Relationship Id="rId26" Type="http://schemas.openxmlformats.org/officeDocument/2006/relationships/hyperlink" Target="file:///F:\PSN_RATARSTVO\Ratarstvo%20d.o.o.docx" TargetMode="External"/><Relationship Id="rId39" Type="http://schemas.openxmlformats.org/officeDocument/2006/relationships/image" Target="media/image2.png"/><Relationship Id="rId3" Type="http://schemas.openxmlformats.org/officeDocument/2006/relationships/numbering" Target="numbering.xml"/><Relationship Id="rId21" Type="http://schemas.openxmlformats.org/officeDocument/2006/relationships/hyperlink" Target="file:///F:\PSN_RATARSTVO\Ratarstvo%20d.o.o.docx" TargetMode="External"/><Relationship Id="rId34" Type="http://schemas.openxmlformats.org/officeDocument/2006/relationships/diagramColors" Target="diagrams/colors1.xml"/><Relationship Id="rId42"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file:///F:\PSN_RATARSTVO\Ratarstvo%20d.o.o.docx" TargetMode="External"/><Relationship Id="rId17" Type="http://schemas.openxmlformats.org/officeDocument/2006/relationships/hyperlink" Target="file:///F:\PSN_RATARSTVO\Ratarstvo%20d.o.o.docx" TargetMode="External"/><Relationship Id="rId25" Type="http://schemas.openxmlformats.org/officeDocument/2006/relationships/hyperlink" Target="file:///F:\PSN_RATARSTVO\Ratarstvo%20d.o.o.docx" TargetMode="External"/><Relationship Id="rId33" Type="http://schemas.openxmlformats.org/officeDocument/2006/relationships/diagramQuickStyle" Target="diagrams/quickStyle1.xml"/><Relationship Id="rId38" Type="http://schemas.openxmlformats.org/officeDocument/2006/relationships/chart" Target="charts/chart6.xml"/><Relationship Id="rId2" Type="http://schemas.openxmlformats.org/officeDocument/2006/relationships/customXml" Target="../customXml/item2.xml"/><Relationship Id="rId16" Type="http://schemas.openxmlformats.org/officeDocument/2006/relationships/hyperlink" Target="file:///F:\PSN_RATARSTVO\Ratarstvo%20d.o.o.docx" TargetMode="External"/><Relationship Id="rId20" Type="http://schemas.openxmlformats.org/officeDocument/2006/relationships/hyperlink" Target="file:///F:\PSN_RATARSTVO\Ratarstvo%20d.o.o.docx" TargetMode="External"/><Relationship Id="rId29" Type="http://schemas.openxmlformats.org/officeDocument/2006/relationships/chart" Target="charts/chart2.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F:\PSN_RATARSTVO\Ratarstvo%20d.o.o.docx" TargetMode="External"/><Relationship Id="rId24" Type="http://schemas.openxmlformats.org/officeDocument/2006/relationships/hyperlink" Target="file:///F:\PSN_RATARSTVO\Ratarstvo%20d.o.o.docx" TargetMode="External"/><Relationship Id="rId32" Type="http://schemas.openxmlformats.org/officeDocument/2006/relationships/diagramLayout" Target="diagrams/layout1.xml"/><Relationship Id="rId37" Type="http://schemas.openxmlformats.org/officeDocument/2006/relationships/chart" Target="charts/chart5.xml"/><Relationship Id="rId40"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yperlink" Target="file:///F:\PSN_RATARSTVO\Ratarstvo%20d.o.o.docx" TargetMode="External"/><Relationship Id="rId23" Type="http://schemas.openxmlformats.org/officeDocument/2006/relationships/hyperlink" Target="file:///F:\PSN_RATARSTVO\Ratarstvo%20d.o.o.docx" TargetMode="External"/><Relationship Id="rId28" Type="http://schemas.openxmlformats.org/officeDocument/2006/relationships/chart" Target="charts/chart1.xml"/><Relationship Id="rId36" Type="http://schemas.openxmlformats.org/officeDocument/2006/relationships/chart" Target="charts/chart4.xml"/><Relationship Id="rId10" Type="http://schemas.openxmlformats.org/officeDocument/2006/relationships/image" Target="media/image1.jpeg"/><Relationship Id="rId19" Type="http://schemas.openxmlformats.org/officeDocument/2006/relationships/hyperlink" Target="file:///F:\PSN_RATARSTVO\Ratarstvo%20d.o.o.docx" TargetMode="External"/><Relationship Id="rId31" Type="http://schemas.openxmlformats.org/officeDocument/2006/relationships/diagramData" Target="diagrams/data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file:///F:\PSN_RATARSTVO\Ratarstvo%20d.o.o.docx" TargetMode="External"/><Relationship Id="rId22" Type="http://schemas.openxmlformats.org/officeDocument/2006/relationships/hyperlink" Target="file:///F:\PSN_RATARSTVO\Ratarstvo%20d.o.o.docx" TargetMode="External"/><Relationship Id="rId27" Type="http://schemas.openxmlformats.org/officeDocument/2006/relationships/hyperlink" Target="file:///F:\PSN_RATARSTVO\Ratarstvo%20d.o.o.docx" TargetMode="External"/><Relationship Id="rId30" Type="http://schemas.openxmlformats.org/officeDocument/2006/relationships/chart" Target="charts/chart3.xml"/><Relationship Id="rId35" Type="http://schemas.microsoft.com/office/2007/relationships/diagramDrawing" Target="diagrams/drawing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charts/_rels/chart1.xml.rels><?xml version="1.0" encoding="UTF-8" standalone="yes"?><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Relationships xmlns="http://schemas.openxmlformats.org/package/2006/relationships"><Relationship Id="rId1" Type="http://schemas.openxmlformats.org/officeDocument/2006/relationships/package" Target="../embeddings/Microsoft_Excel_Worksheet3.xlsx"/></Relationships>
</file>

<file path=word/charts/_rels/chart4.xml.rels><?xml version="1.0" encoding="UTF-8" standalone="yes"?><Relationships xmlns="http://schemas.openxmlformats.org/package/2006/relationships"><Relationship Id="rId1" Type="http://schemas.openxmlformats.org/officeDocument/2006/relationships/package" Target="../embeddings/Microsoft_Excel_Worksheet4.xlsx"/></Relationships>
</file>

<file path=word/charts/_rels/chart5.xml.rels><?xml version="1.0" encoding="UTF-8" standalone="yes"?><Relationships xmlns="http://schemas.openxmlformats.org/package/2006/relationships"><Relationship Id="rId1" Type="http://schemas.openxmlformats.org/officeDocument/2006/relationships/package" Target="../embeddings/Microsoft_Excel_Worksheet5.xlsx"/></Relationships>
</file>

<file path=word/charts/_rels/chart6.xml.rels><?xml version="1.0" encoding="UTF-8" standalone="yes"?><Relationships xmlns="http://schemas.openxmlformats.org/package/2006/relationships"><Relationship Id="rId1" Type="http://schemas.openxmlformats.org/officeDocument/2006/relationships/package" Target="../embeddings/Microsoft_Excel_Worksheet6.xlsx"/></Relationships>
</file>

<file path=word/charts/chart1.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2"/>
  <c:chart>
    <c:autoTitleDeleted val="true"/>
    <c:view3D>
      <c:rotX val="30"/>
      <c:rotY val="0"/>
      <c:rAngAx val="false"/>
      <c:perspective val="30"/>
    </c:view3D>
    <c:floor>
      <c:thickness val="0"/>
    </c:floor>
    <c:sideWall>
      <c:thickness val="0"/>
    </c:sideWall>
    <c:backWall>
      <c:thickness val="0"/>
    </c:backWall>
    <c:plotArea>
      <c:layout/>
      <c:pie3DChart>
        <c:varyColors val="true"/>
        <c:ser>
          <c:idx val="0"/>
          <c:order val="0"/>
          <c:tx>
            <c:strRef>
              <c:f>Sheet1!$B$1</c:f>
              <c:strCache>
                <c:ptCount val="1"/>
                <c:pt idx="0">
                  <c:v>Vlasnička struktura prije restrukturiranja</c:v>
                </c:pt>
              </c:strCache>
            </c:strRef>
          </c:tx>
          <c:cat>
            <c:strRef>
              <c:f>Sheet1!$A$2:$A$30</c:f>
              <c:strCache>
                <c:ptCount val="29"/>
                <c:pt idx="0">
                  <c:v>Antun Grgičin, 0,37%</c:v>
                </c:pt>
                <c:pt idx="1">
                  <c:v>Damir Rišanek, 0,20%</c:v>
                </c:pt>
                <c:pt idx="2">
                  <c:v>Danica Vuko,  0,33%</c:v>
                </c:pt>
                <c:pt idx="3">
                  <c:v>Domagoj Belošević, 0,53%</c:v>
                </c:pt>
                <c:pt idx="4">
                  <c:v>Dragutin Kolaček, 0,29%</c:v>
                </c:pt>
                <c:pt idx="5">
                  <c:v>Gabrijela Belošević, 87,70%</c:v>
                </c:pt>
                <c:pt idx="6">
                  <c:v>HRVATSKI ZAVOD ZA MIROVINSKO OSIGURANJE, 4,17% </c:v>
                </c:pt>
                <c:pt idx="7">
                  <c:v>Ivan Gjurović, 0,12%</c:v>
                </c:pt>
                <c:pt idx="8">
                  <c:v>Jasenka Žaja, 0,12%</c:v>
                </c:pt>
                <c:pt idx="9">
                  <c:v>Josip Belošević, 0,12%</c:v>
                </c:pt>
                <c:pt idx="10">
                  <c:v>Josip Vaclavek, 0,41%</c:v>
                </c:pt>
                <c:pt idx="11">
                  <c:v>Joso Krečak, 0,49%</c:v>
                </c:pt>
                <c:pt idx="12">
                  <c:v>Kata Hrvojčec, 0,12%</c:v>
                </c:pt>
                <c:pt idx="13">
                  <c:v>Ljubo Pojatina, 0,45%</c:v>
                </c:pt>
                <c:pt idx="14">
                  <c:v>Marija Pajtak, 0,33%</c:v>
                </c:pt>
                <c:pt idx="15">
                  <c:v>MARKO VUČEMILO, 0,45%</c:v>
                </c:pt>
                <c:pt idx="16">
                  <c:v>Milan Laketić, 0,49%</c:v>
                </c:pt>
                <c:pt idx="17">
                  <c:v>Milenko Vučković, 0,20%</c:v>
                </c:pt>
                <c:pt idx="18">
                  <c:v>Mladen Vukmanović, 0,37%</c:v>
                </c:pt>
                <c:pt idx="19">
                  <c:v>Nada Hegediš, 0,12%</c:v>
                </c:pt>
                <c:pt idx="20">
                  <c:v>Nada Polančec, 0,45%</c:v>
                </c:pt>
                <c:pt idx="21">
                  <c:v>Petar Mađerić, 0,37%</c:v>
                </c:pt>
                <c:pt idx="22">
                  <c:v>Slavko Šafar, 0,37%</c:v>
                </c:pt>
                <c:pt idx="23">
                  <c:v>SLAVKO ZBOŽINEK, 0,12%</c:v>
                </c:pt>
                <c:pt idx="24">
                  <c:v>Stipe Jukić,  0,49%</c:v>
                </c:pt>
                <c:pt idx="25">
                  <c:v>Suzana Kultan, 0,11%</c:v>
                </c:pt>
                <c:pt idx="26">
                  <c:v>Tomislav Slezak, 0,25%</c:v>
                </c:pt>
                <c:pt idx="27">
                  <c:v>Vesna Kunješić, 0,33%</c:v>
                </c:pt>
                <c:pt idx="28">
                  <c:v>Žarko Valadžija, 0,12%</c:v>
                </c:pt>
              </c:strCache>
            </c:strRef>
          </c:cat>
          <c:val>
            <c:numRef>
              <c:f>Sheet1!$B$2:$B$30</c:f>
              <c:numCache>
                <c:formatCode>0.00%</c:formatCode>
                <c:ptCount val="29"/>
                <c:pt idx="0">
                  <c:v>3.6794766966475895E-3</c:v>
                </c:pt>
                <c:pt idx="1">
                  <c:v>2.0441537203597735E-3</c:v>
                </c:pt>
                <c:pt idx="2">
                  <c:v>3.2706459525756377E-3</c:v>
                </c:pt>
                <c:pt idx="3">
                  <c:v>5.3147996729354056E-3</c:v>
                </c:pt>
                <c:pt idx="4">
                  <c:v>2.8618152085036802E-3</c:v>
                </c:pt>
                <c:pt idx="5">
                  <c:v>0.87702371218315733</c:v>
                </c:pt>
                <c:pt idx="6">
                  <c:v>4.1700735895339382E-2</c:v>
                </c:pt>
                <c:pt idx="7">
                  <c:v>1.2264922322158627E-3</c:v>
                </c:pt>
                <c:pt idx="8">
                  <c:v>1.2264922322158627E-3</c:v>
                </c:pt>
                <c:pt idx="9">
                  <c:v>1.2264922322158627E-3</c:v>
                </c:pt>
                <c:pt idx="10">
                  <c:v>4.088307440719547E-3</c:v>
                </c:pt>
                <c:pt idx="11">
                  <c:v>4.9059689288634524E-3</c:v>
                </c:pt>
                <c:pt idx="12">
                  <c:v>1.2264922322158627E-3</c:v>
                </c:pt>
                <c:pt idx="13">
                  <c:v>4.4971381847915036E-3</c:v>
                </c:pt>
                <c:pt idx="14">
                  <c:v>3.2706459525756377E-3</c:v>
                </c:pt>
                <c:pt idx="15">
                  <c:v>4.4971381847915036E-3</c:v>
                </c:pt>
                <c:pt idx="16">
                  <c:v>4.9059689288634524E-3</c:v>
                </c:pt>
                <c:pt idx="17">
                  <c:v>2.0441537203597735E-3</c:v>
                </c:pt>
                <c:pt idx="18">
                  <c:v>3.6794766966475895E-3</c:v>
                </c:pt>
                <c:pt idx="19">
                  <c:v>1.2264922322158627E-3</c:v>
                </c:pt>
                <c:pt idx="20">
                  <c:v>4.4971381847915036E-3</c:v>
                </c:pt>
                <c:pt idx="21">
                  <c:v>3.6794766966475895E-3</c:v>
                </c:pt>
                <c:pt idx="22">
                  <c:v>3.6794766966475895E-3</c:v>
                </c:pt>
                <c:pt idx="23">
                  <c:v>1.2264922322158627E-3</c:v>
                </c:pt>
                <c:pt idx="24">
                  <c:v>4.9059689288634524E-3</c:v>
                </c:pt>
                <c:pt idx="25">
                  <c:v>1.1447260834014721E-3</c:v>
                </c:pt>
                <c:pt idx="26">
                  <c:v>2.4529844644317253E-3</c:v>
                </c:pt>
                <c:pt idx="27">
                  <c:v>3.2706459525756377E-3</c:v>
                </c:pt>
                <c:pt idx="28">
                  <c:v>1.2264922322158627E-3</c:v>
                </c:pt>
              </c:numCache>
            </c:numRef>
          </c:val>
        </c:ser>
        <c:dLbls>
          <c:showLegendKey val="false"/>
          <c:showVal val="false"/>
          <c:showCatName val="false"/>
          <c:showSerName val="false"/>
          <c:showPercent val="false"/>
          <c:showBubbleSize val="false"/>
          <c:showLeaderLines val="true"/>
        </c:dLbls>
      </c:pie3DChart>
    </c:plotArea>
    <c:legend>
      <c:legendPos val="r"/>
      <c:layout/>
      <c:overlay val="false"/>
      <c:txPr>
        <a:bodyPr/>
        <a:lstStyle/>
        <a:p>
          <a:pPr>
            <a:defRPr sz="700"/>
          </a:pPr>
          <a:endParaRPr lang="sr-Latn-RS"/>
        </a:p>
      </c:txPr>
    </c:legend>
    <c:plotVisOnly val="true"/>
    <c:dispBlanksAs val="zero"/>
    <c:showDLblsOverMax val="false"/>
  </c:chart>
  <c:externalData r:id="rId1">
    <c:autoUpdate val="false"/>
  </c:externalData>
</c:chartSpace>
</file>

<file path=word/charts/chart2.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6"/>
  <c:chart>
    <c:title>
      <c:layout/>
      <c:overlay val="false"/>
    </c:title>
    <c:autoTitleDeleted val="false"/>
    <c:plotArea>
      <c:layout/>
      <c:barChart>
        <c:barDir val="col"/>
        <c:grouping val="clustered"/>
        <c:varyColors val="false"/>
        <c:ser>
          <c:idx val="0"/>
          <c:order val="0"/>
          <c:tx>
            <c:strRef>
              <c:f>Sheet1!$B$1</c:f>
              <c:strCache>
                <c:ptCount val="1"/>
                <c:pt idx="0">
                  <c:v>Broj zaposlenih</c:v>
                </c:pt>
              </c:strCache>
            </c:strRef>
          </c:tx>
          <c:invertIfNegative val="false"/>
          <c:trendline>
            <c:name>Linear </c:name>
            <c:trendlineType val="linear"/>
            <c:dispRSqr val="false"/>
            <c:dispEq val="false"/>
          </c:trendline>
          <c:trendline>
            <c:name>Linear (Broj zaposlenih - prosječan broj na temelju sati rada) </c:name>
            <c:trendlineType val="linear"/>
            <c:dispRSqr val="false"/>
            <c:dispEq val="false"/>
          </c:trendline>
          <c:cat>
            <c:strRef>
              <c:f>Sheet1!$A$2:$A$7</c:f>
              <c:strCache>
                <c:ptCount val="6"/>
                <c:pt idx="0">
                  <c:v>2011.</c:v>
                </c:pt>
                <c:pt idx="1">
                  <c:v>2012.</c:v>
                </c:pt>
                <c:pt idx="2">
                  <c:v>2013.</c:v>
                </c:pt>
                <c:pt idx="3">
                  <c:v>2014.</c:v>
                </c:pt>
                <c:pt idx="4">
                  <c:v>2015.</c:v>
                </c:pt>
                <c:pt idx="5">
                  <c:v>30.06.2016.</c:v>
                </c:pt>
              </c:strCache>
            </c:strRef>
          </c:cat>
          <c:val>
            <c:numRef>
              <c:f>Sheet1!$B$2:$B$7</c:f>
              <c:numCache>
                <c:formatCode>General</c:formatCode>
                <c:ptCount val="6"/>
                <c:pt idx="0">
                  <c:v>25</c:v>
                </c:pt>
                <c:pt idx="1">
                  <c:v>4</c:v>
                </c:pt>
                <c:pt idx="2">
                  <c:v>4</c:v>
                </c:pt>
                <c:pt idx="3">
                  <c:v>4</c:v>
                </c:pt>
                <c:pt idx="4">
                  <c:v>13</c:v>
                </c:pt>
                <c:pt idx="5">
                  <c:v>13</c:v>
                </c:pt>
              </c:numCache>
            </c:numRef>
          </c:val>
        </c:ser>
        <c:dLbls>
          <c:showLegendKey val="false"/>
          <c:showVal val="false"/>
          <c:showCatName val="false"/>
          <c:showSerName val="false"/>
          <c:showPercent val="false"/>
          <c:showBubbleSize val="false"/>
        </c:dLbls>
        <c:gapWidth val="150"/>
        <c:axId val="179929088"/>
        <c:axId val="179930624"/>
      </c:barChart>
      <c:catAx>
        <c:axId val="179929088"/>
        <c:scaling>
          <c:orientation val="minMax"/>
        </c:scaling>
        <c:delete val="false"/>
        <c:axPos val="b"/>
        <c:numFmt sourceLinked="false" formatCode="General"/>
        <c:majorTickMark val="out"/>
        <c:minorTickMark val="none"/>
        <c:tickLblPos val="nextTo"/>
        <c:crossAx val="179930624"/>
        <c:crosses val="autoZero"/>
        <c:auto val="true"/>
        <c:lblAlgn val="ctr"/>
        <c:lblOffset val="100"/>
        <c:noMultiLvlLbl val="false"/>
      </c:catAx>
      <c:valAx>
        <c:axId val="179930624"/>
        <c:scaling>
          <c:orientation val="minMax"/>
        </c:scaling>
        <c:delete val="false"/>
        <c:axPos val="l"/>
        <c:majorGridlines/>
        <c:numFmt sourceLinked="true" formatCode="General"/>
        <c:majorTickMark val="out"/>
        <c:minorTickMark val="none"/>
        <c:tickLblPos val="nextTo"/>
        <c:crossAx val="179929088"/>
        <c:crosses val="autoZero"/>
        <c:crossBetween val="between"/>
      </c:valAx>
    </c:plotArea>
    <c:legend>
      <c:legendPos val="r"/>
      <c:legendEntry>
        <c:idx val="1"/>
        <c:delete val="true"/>
      </c:legendEntry>
      <c:layout/>
      <c:overlay val="false"/>
    </c:legend>
    <c:plotVisOnly val="true"/>
    <c:dispBlanksAs val="gap"/>
    <c:showDLblsOverMax val="false"/>
  </c:chart>
  <c:externalData r:id="rId1">
    <c:autoUpdate val="false"/>
  </c:externalData>
</c:chartSpace>
</file>

<file path=word/charts/chart3.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6"/>
  <c:chart>
    <c:title>
      <c:layout/>
      <c:overlay val="false"/>
    </c:title>
    <c:autoTitleDeleted val="false"/>
    <c:plotArea>
      <c:layout/>
      <c:barChart>
        <c:barDir val="col"/>
        <c:grouping val="clustered"/>
        <c:varyColors val="false"/>
        <c:ser>
          <c:idx val="0"/>
          <c:order val="0"/>
          <c:tx>
            <c:strRef>
              <c:f>Sheet1!$B$1</c:f>
              <c:strCache>
                <c:ptCount val="1"/>
                <c:pt idx="0">
                  <c:v>Pojekcija kretanja broja zaposlenih</c:v>
                </c:pt>
              </c:strCache>
            </c:strRef>
          </c:tx>
          <c:invertIfNegative val="false"/>
          <c:trendline>
            <c:name>Linear (Projekcija kretanja broja zaposlenih - prosječan broj temeljem sati rada)</c:name>
            <c:trendlineType val="linear"/>
            <c:dispRSqr val="false"/>
            <c:dispEq val="false"/>
          </c:trendline>
          <c:trendline>
            <c:trendlineType val="linear"/>
            <c:dispRSqr val="false"/>
            <c:dispEq val="false"/>
          </c:trendline>
          <c:cat>
            <c:strRef>
              <c:f>Sheet1!$A$2:$A$5</c:f>
              <c:strCache>
                <c:ptCount val="4"/>
                <c:pt idx="0">
                  <c:v>2016.</c:v>
                </c:pt>
                <c:pt idx="1">
                  <c:v>2017.</c:v>
                </c:pt>
                <c:pt idx="2">
                  <c:v>2018.</c:v>
                </c:pt>
                <c:pt idx="3">
                  <c:v>2019.</c:v>
                </c:pt>
              </c:strCache>
            </c:strRef>
          </c:cat>
          <c:val>
            <c:numRef>
              <c:f>Sheet1!$B$2:$B$5</c:f>
              <c:numCache>
                <c:formatCode>General</c:formatCode>
                <c:ptCount val="4"/>
                <c:pt idx="0">
                  <c:v>4</c:v>
                </c:pt>
                <c:pt idx="1">
                  <c:v>4</c:v>
                </c:pt>
                <c:pt idx="2">
                  <c:v>4</c:v>
                </c:pt>
                <c:pt idx="3">
                  <c:v>4</c:v>
                </c:pt>
              </c:numCache>
            </c:numRef>
          </c:val>
        </c:ser>
        <c:dLbls>
          <c:showLegendKey val="false"/>
          <c:showVal val="false"/>
          <c:showCatName val="false"/>
          <c:showSerName val="false"/>
          <c:showPercent val="false"/>
          <c:showBubbleSize val="false"/>
        </c:dLbls>
        <c:gapWidth val="150"/>
        <c:axId val="93942528"/>
        <c:axId val="93944064"/>
      </c:barChart>
      <c:catAx>
        <c:axId val="93942528"/>
        <c:scaling>
          <c:orientation val="minMax"/>
        </c:scaling>
        <c:delete val="false"/>
        <c:axPos val="b"/>
        <c:numFmt sourceLinked="false" formatCode="General"/>
        <c:majorTickMark val="out"/>
        <c:minorTickMark val="none"/>
        <c:tickLblPos val="nextTo"/>
        <c:crossAx val="93944064"/>
        <c:crosses val="autoZero"/>
        <c:auto val="true"/>
        <c:lblAlgn val="ctr"/>
        <c:lblOffset val="100"/>
        <c:noMultiLvlLbl val="false"/>
      </c:catAx>
      <c:valAx>
        <c:axId val="93944064"/>
        <c:scaling>
          <c:orientation val="minMax"/>
        </c:scaling>
        <c:delete val="false"/>
        <c:axPos val="l"/>
        <c:majorGridlines/>
        <c:numFmt sourceLinked="true" formatCode="General"/>
        <c:majorTickMark val="out"/>
        <c:minorTickMark val="none"/>
        <c:tickLblPos val="nextTo"/>
        <c:crossAx val="93942528"/>
        <c:crosses val="autoZero"/>
        <c:crossBetween val="between"/>
      </c:valAx>
    </c:plotArea>
    <c:legend>
      <c:legendPos val="r"/>
      <c:legendEntry>
        <c:idx val="2"/>
        <c:delete val="true"/>
      </c:legendEntry>
      <c:layout/>
      <c:overlay val="false"/>
    </c:legend>
    <c:plotVisOnly val="true"/>
    <c:dispBlanksAs val="gap"/>
    <c:showDLblsOverMax val="false"/>
  </c:chart>
  <c:externalData r:id="rId1">
    <c:autoUpdate val="false"/>
  </c:externalData>
</c:chartSpace>
</file>

<file path=word/charts/chart4.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2"/>
  <c:chart>
    <c:autoTitleDeleted val="false"/>
    <c:view3D>
      <c:rotX val="15"/>
      <c:rotY val="20"/>
      <c:rAngAx val="true"/>
    </c:view3D>
    <c:floor>
      <c:thickness val="0"/>
    </c:floor>
    <c:sideWall>
      <c:thickness val="0"/>
    </c:sideWall>
    <c:backWall>
      <c:thickness val="0"/>
    </c:backWall>
    <c:plotArea>
      <c:layout/>
      <c:bar3DChart>
        <c:barDir val="col"/>
        <c:grouping val="clustered"/>
        <c:varyColors val="false"/>
        <c:ser>
          <c:idx val="0"/>
          <c:order val="0"/>
          <c:tx>
            <c:strRef>
              <c:f>Sheet1!$B$1</c:f>
              <c:strCache>
                <c:ptCount val="1"/>
                <c:pt idx="0">
                  <c:v>Ukupni prihodi (u Kn)</c:v>
                </c:pt>
              </c:strCache>
            </c:strRef>
          </c:tx>
          <c:invertIfNegative val="false"/>
          <c:cat>
            <c:strRef>
              <c:f>Sheet1!$A$2:$A$6</c:f>
              <c:strCache>
                <c:ptCount val="5"/>
                <c:pt idx="0">
                  <c:v>2012.</c:v>
                </c:pt>
                <c:pt idx="1">
                  <c:v>2013.</c:v>
                </c:pt>
                <c:pt idx="2">
                  <c:v>2014.</c:v>
                </c:pt>
                <c:pt idx="3">
                  <c:v>2015.</c:v>
                </c:pt>
                <c:pt idx="4">
                  <c:v>30.06.2016.</c:v>
                </c:pt>
              </c:strCache>
            </c:strRef>
          </c:cat>
          <c:val>
            <c:numRef>
              <c:f>Sheet1!$B$2:$B$6</c:f>
              <c:numCache>
                <c:formatCode>#,##0</c:formatCode>
                <c:ptCount val="5"/>
                <c:pt idx="0">
                  <c:v>2531400</c:v>
                </c:pt>
                <c:pt idx="1">
                  <c:v>13090400</c:v>
                </c:pt>
                <c:pt idx="2">
                  <c:v>9296400</c:v>
                </c:pt>
                <c:pt idx="3">
                  <c:v>1321400</c:v>
                </c:pt>
                <c:pt idx="4">
                  <c:v>540295</c:v>
                </c:pt>
              </c:numCache>
            </c:numRef>
          </c:val>
        </c:ser>
        <c:ser>
          <c:idx val="1"/>
          <c:order val="1"/>
          <c:tx>
            <c:strRef>
              <c:f>Sheet1!$C$1</c:f>
              <c:strCache>
                <c:ptCount val="1"/>
                <c:pt idx="0">
                  <c:v>Ukupni rashodi (u Kn)</c:v>
                </c:pt>
              </c:strCache>
            </c:strRef>
          </c:tx>
          <c:invertIfNegative val="false"/>
          <c:cat>
            <c:strRef>
              <c:f>Sheet1!$A$2:$A$6</c:f>
              <c:strCache>
                <c:ptCount val="5"/>
                <c:pt idx="0">
                  <c:v>2012.</c:v>
                </c:pt>
                <c:pt idx="1">
                  <c:v>2013.</c:v>
                </c:pt>
                <c:pt idx="2">
                  <c:v>2014.</c:v>
                </c:pt>
                <c:pt idx="3">
                  <c:v>2015.</c:v>
                </c:pt>
                <c:pt idx="4">
                  <c:v>30.06.2016.</c:v>
                </c:pt>
              </c:strCache>
            </c:strRef>
          </c:cat>
          <c:val>
            <c:numRef>
              <c:f>Sheet1!$C$2:$C$6</c:f>
              <c:numCache>
                <c:formatCode>#,##0</c:formatCode>
                <c:ptCount val="5"/>
                <c:pt idx="0">
                  <c:v>1852300</c:v>
                </c:pt>
                <c:pt idx="1">
                  <c:v>13061700</c:v>
                </c:pt>
                <c:pt idx="2">
                  <c:v>9246900</c:v>
                </c:pt>
                <c:pt idx="3">
                  <c:v>1321400</c:v>
                </c:pt>
                <c:pt idx="4">
                  <c:v>537533</c:v>
                </c:pt>
              </c:numCache>
            </c:numRef>
          </c:val>
        </c:ser>
        <c:ser>
          <c:idx val="2"/>
          <c:order val="2"/>
          <c:tx>
            <c:strRef>
              <c:f>Sheet1!$D$1</c:f>
              <c:strCache>
                <c:ptCount val="1"/>
                <c:pt idx="0">
                  <c:v>EBIT (U Kn)</c:v>
                </c:pt>
              </c:strCache>
            </c:strRef>
          </c:tx>
          <c:invertIfNegative val="false"/>
          <c:cat>
            <c:strRef>
              <c:f>Sheet1!$A$2:$A$6</c:f>
              <c:strCache>
                <c:ptCount val="5"/>
                <c:pt idx="0">
                  <c:v>2012.</c:v>
                </c:pt>
                <c:pt idx="1">
                  <c:v>2013.</c:v>
                </c:pt>
                <c:pt idx="2">
                  <c:v>2014.</c:v>
                </c:pt>
                <c:pt idx="3">
                  <c:v>2015.</c:v>
                </c:pt>
                <c:pt idx="4">
                  <c:v>30.06.2016.</c:v>
                </c:pt>
              </c:strCache>
            </c:strRef>
          </c:cat>
          <c:val>
            <c:numRef>
              <c:f>Sheet1!$D$2:$D$6</c:f>
              <c:numCache>
                <c:formatCode>#,##0</c:formatCode>
                <c:ptCount val="5"/>
                <c:pt idx="0">
                  <c:v>721900</c:v>
                </c:pt>
                <c:pt idx="1">
                  <c:v>22000</c:v>
                </c:pt>
                <c:pt idx="2">
                  <c:v>459100</c:v>
                </c:pt>
                <c:pt idx="3">
                  <c:v>20500</c:v>
                </c:pt>
                <c:pt idx="4">
                  <c:v>4775</c:v>
                </c:pt>
              </c:numCache>
            </c:numRef>
          </c:val>
        </c:ser>
        <c:ser>
          <c:idx val="3"/>
          <c:order val="3"/>
          <c:tx>
            <c:strRef>
              <c:f>Sheet1!$E$1</c:f>
              <c:strCache>
                <c:ptCount val="1"/>
                <c:pt idx="0">
                  <c:v>EBT (Bruto dobit) (U Kn)</c:v>
                </c:pt>
              </c:strCache>
            </c:strRef>
          </c:tx>
          <c:invertIfNegative val="false"/>
          <c:cat>
            <c:strRef>
              <c:f>Sheet1!$A$2:$A$6</c:f>
              <c:strCache>
                <c:ptCount val="5"/>
                <c:pt idx="0">
                  <c:v>2012.</c:v>
                </c:pt>
                <c:pt idx="1">
                  <c:v>2013.</c:v>
                </c:pt>
                <c:pt idx="2">
                  <c:v>2014.</c:v>
                </c:pt>
                <c:pt idx="3">
                  <c:v>2015.</c:v>
                </c:pt>
                <c:pt idx="4">
                  <c:v>30.06.2016.</c:v>
                </c:pt>
              </c:strCache>
            </c:strRef>
          </c:cat>
          <c:val>
            <c:numRef>
              <c:f>Sheet1!$E$2:$E$6</c:f>
              <c:numCache>
                <c:formatCode>#,##0</c:formatCode>
                <c:ptCount val="5"/>
                <c:pt idx="0">
                  <c:v>679100</c:v>
                </c:pt>
                <c:pt idx="1">
                  <c:v>28800</c:v>
                </c:pt>
                <c:pt idx="2">
                  <c:v>49500</c:v>
                </c:pt>
                <c:pt idx="3">
                  <c:v>13200</c:v>
                </c:pt>
                <c:pt idx="4">
                  <c:v>2762</c:v>
                </c:pt>
              </c:numCache>
            </c:numRef>
          </c:val>
        </c:ser>
        <c:ser>
          <c:idx val="4"/>
          <c:order val="4"/>
          <c:tx>
            <c:strRef>
              <c:f>Sheet1!$F$1</c:f>
              <c:strCache>
                <c:ptCount val="1"/>
                <c:pt idx="0">
                  <c:v>Dobit nakon oporezivanja (Neto dobit)(u Kn)</c:v>
                </c:pt>
              </c:strCache>
            </c:strRef>
          </c:tx>
          <c:invertIfNegative val="false"/>
          <c:cat>
            <c:strRef>
              <c:f>Sheet1!$A$2:$A$6</c:f>
              <c:strCache>
                <c:ptCount val="5"/>
                <c:pt idx="0">
                  <c:v>2012.</c:v>
                </c:pt>
                <c:pt idx="1">
                  <c:v>2013.</c:v>
                </c:pt>
                <c:pt idx="2">
                  <c:v>2014.</c:v>
                </c:pt>
                <c:pt idx="3">
                  <c:v>2015.</c:v>
                </c:pt>
                <c:pt idx="4">
                  <c:v>30.06.2016.</c:v>
                </c:pt>
              </c:strCache>
            </c:strRef>
          </c:cat>
          <c:val>
            <c:numRef>
              <c:f>Sheet1!$F$2:$F$6</c:f>
              <c:numCache>
                <c:formatCode>#,##0</c:formatCode>
                <c:ptCount val="5"/>
                <c:pt idx="0">
                  <c:v>679100</c:v>
                </c:pt>
                <c:pt idx="1">
                  <c:v>28800</c:v>
                </c:pt>
                <c:pt idx="2">
                  <c:v>49500</c:v>
                </c:pt>
                <c:pt idx="3">
                  <c:v>10500</c:v>
                </c:pt>
                <c:pt idx="4">
                  <c:v>2210</c:v>
                </c:pt>
              </c:numCache>
            </c:numRef>
          </c:val>
        </c:ser>
        <c:dLbls>
          <c:showLegendKey val="false"/>
          <c:showVal val="false"/>
          <c:showCatName val="false"/>
          <c:showSerName val="false"/>
          <c:showPercent val="false"/>
          <c:showBubbleSize val="false"/>
        </c:dLbls>
        <c:gapWidth val="150"/>
        <c:shape val="cylinder"/>
        <c:axId val="92498176"/>
        <c:axId val="92514560"/>
        <c:axId val="0"/>
      </c:bar3DChart>
      <c:catAx>
        <c:axId val="92498176"/>
        <c:scaling>
          <c:orientation val="minMax"/>
        </c:scaling>
        <c:delete val="false"/>
        <c:axPos val="b"/>
        <c:numFmt sourceLinked="false" formatCode="General"/>
        <c:majorTickMark val="out"/>
        <c:minorTickMark val="none"/>
        <c:tickLblPos val="nextTo"/>
        <c:crossAx val="92514560"/>
        <c:crosses val="autoZero"/>
        <c:auto val="true"/>
        <c:lblAlgn val="ctr"/>
        <c:lblOffset val="100"/>
        <c:noMultiLvlLbl val="false"/>
      </c:catAx>
      <c:valAx>
        <c:axId val="92514560"/>
        <c:scaling>
          <c:orientation val="minMax"/>
        </c:scaling>
        <c:delete val="false"/>
        <c:axPos val="l"/>
        <c:majorGridlines/>
        <c:numFmt sourceLinked="true" formatCode="#,##0"/>
        <c:majorTickMark val="out"/>
        <c:minorTickMark val="none"/>
        <c:tickLblPos val="nextTo"/>
        <c:crossAx val="92498176"/>
        <c:crosses val="autoZero"/>
        <c:crossBetween val="between"/>
      </c:valAx>
    </c:plotArea>
    <c:legend>
      <c:legendPos val="r"/>
      <c:layout/>
      <c:overlay val="false"/>
    </c:legend>
    <c:plotVisOnly val="true"/>
    <c:dispBlanksAs val="gap"/>
    <c:showDLblsOverMax val="false"/>
  </c:chart>
  <c:externalData r:id="rId1">
    <c:autoUpdate val="false"/>
  </c:externalData>
</c:chartSpace>
</file>

<file path=word/charts/chart5.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2"/>
  <c:chart>
    <c:autoTitleDeleted val="false"/>
    <c:plotArea>
      <c:layout/>
      <c:barChart>
        <c:barDir val="col"/>
        <c:grouping val="clustered"/>
        <c:varyColors val="false"/>
        <c:ser>
          <c:idx val="0"/>
          <c:order val="0"/>
          <c:tx>
            <c:strRef>
              <c:f>Sheet1!$B$1</c:f>
              <c:strCache>
                <c:ptCount val="1"/>
                <c:pt idx="0">
                  <c:v>Potraživanja od kupaca</c:v>
                </c:pt>
              </c:strCache>
            </c:strRef>
          </c:tx>
          <c:invertIfNegative val="false"/>
          <c:cat>
            <c:strRef>
              <c:f>Sheet1!$A$2:$A$6</c:f>
              <c:strCache>
                <c:ptCount val="5"/>
                <c:pt idx="0">
                  <c:v>2012.</c:v>
                </c:pt>
                <c:pt idx="1">
                  <c:v>2013.</c:v>
                </c:pt>
                <c:pt idx="2">
                  <c:v>2014.</c:v>
                </c:pt>
                <c:pt idx="3">
                  <c:v>2015.</c:v>
                </c:pt>
                <c:pt idx="4">
                  <c:v>30.06.2016.</c:v>
                </c:pt>
              </c:strCache>
            </c:strRef>
          </c:cat>
          <c:val>
            <c:numRef>
              <c:f>Sheet1!$B$2:$B$6</c:f>
              <c:numCache>
                <c:formatCode>#,##0</c:formatCode>
                <c:ptCount val="5"/>
                <c:pt idx="0">
                  <c:v>213000</c:v>
                </c:pt>
                <c:pt idx="1">
                  <c:v>335000</c:v>
                </c:pt>
                <c:pt idx="2">
                  <c:v>200000</c:v>
                </c:pt>
                <c:pt idx="3">
                  <c:v>266757</c:v>
                </c:pt>
                <c:pt idx="4">
                  <c:v>207445</c:v>
                </c:pt>
              </c:numCache>
            </c:numRef>
          </c:val>
        </c:ser>
        <c:ser>
          <c:idx val="1"/>
          <c:order val="1"/>
          <c:tx>
            <c:strRef>
              <c:f>Sheet1!$C$1</c:f>
              <c:strCache>
                <c:ptCount val="1"/>
                <c:pt idx="0">
                  <c:v>Obveze prema dobavljačima</c:v>
                </c:pt>
              </c:strCache>
            </c:strRef>
          </c:tx>
          <c:invertIfNegative val="false"/>
          <c:cat>
            <c:strRef>
              <c:f>Sheet1!$A$2:$A$6</c:f>
              <c:strCache>
                <c:ptCount val="5"/>
                <c:pt idx="0">
                  <c:v>2012.</c:v>
                </c:pt>
                <c:pt idx="1">
                  <c:v>2013.</c:v>
                </c:pt>
                <c:pt idx="2">
                  <c:v>2014.</c:v>
                </c:pt>
                <c:pt idx="3">
                  <c:v>2015.</c:v>
                </c:pt>
                <c:pt idx="4">
                  <c:v>30.06.2016.</c:v>
                </c:pt>
              </c:strCache>
            </c:strRef>
          </c:cat>
          <c:val>
            <c:numRef>
              <c:f>Sheet1!$C$2:$C$6</c:f>
              <c:numCache>
                <c:formatCode>#,##0</c:formatCode>
                <c:ptCount val="5"/>
                <c:pt idx="0">
                  <c:v>92000</c:v>
                </c:pt>
                <c:pt idx="1">
                  <c:v>74000</c:v>
                </c:pt>
                <c:pt idx="2">
                  <c:v>97000</c:v>
                </c:pt>
                <c:pt idx="3">
                  <c:v>30933</c:v>
                </c:pt>
                <c:pt idx="4">
                  <c:v>33763</c:v>
                </c:pt>
              </c:numCache>
            </c:numRef>
          </c:val>
        </c:ser>
        <c:dLbls>
          <c:showLegendKey val="false"/>
          <c:showVal val="false"/>
          <c:showCatName val="false"/>
          <c:showSerName val="false"/>
          <c:showPercent val="false"/>
          <c:showBubbleSize val="false"/>
        </c:dLbls>
        <c:gapWidth val="150"/>
        <c:axId val="92179840"/>
        <c:axId val="149779584"/>
      </c:barChart>
      <c:catAx>
        <c:axId val="92179840"/>
        <c:scaling>
          <c:orientation val="minMax"/>
        </c:scaling>
        <c:delete val="false"/>
        <c:axPos val="b"/>
        <c:numFmt sourceLinked="false" formatCode="General"/>
        <c:majorTickMark val="out"/>
        <c:minorTickMark val="none"/>
        <c:tickLblPos val="nextTo"/>
        <c:crossAx val="149779584"/>
        <c:crosses val="autoZero"/>
        <c:auto val="true"/>
        <c:lblAlgn val="ctr"/>
        <c:lblOffset val="100"/>
        <c:noMultiLvlLbl val="false"/>
      </c:catAx>
      <c:valAx>
        <c:axId val="149779584"/>
        <c:scaling>
          <c:orientation val="minMax"/>
        </c:scaling>
        <c:delete val="false"/>
        <c:axPos val="l"/>
        <c:majorGridlines/>
        <c:numFmt sourceLinked="true" formatCode="#,##0"/>
        <c:majorTickMark val="out"/>
        <c:minorTickMark val="none"/>
        <c:tickLblPos val="nextTo"/>
        <c:crossAx val="92179840"/>
        <c:crosses val="autoZero"/>
        <c:crossBetween val="between"/>
      </c:valAx>
    </c:plotArea>
    <c:legend>
      <c:legendPos val="r"/>
      <c:layout/>
      <c:overlay val="false"/>
    </c:legend>
    <c:plotVisOnly val="true"/>
    <c:dispBlanksAs val="gap"/>
    <c:showDLblsOverMax val="false"/>
  </c:chart>
  <c:externalData r:id="rId1">
    <c:autoUpdate val="false"/>
  </c:externalData>
</c:chartSpace>
</file>

<file path=word/charts/chart6.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2"/>
  <c:chart>
    <c:title>
      <c:tx>
        <c:rich>
          <a:bodyPr/>
          <a:lstStyle/>
          <a:p>
            <a:pPr>
              <a:defRPr/>
            </a:pPr>
            <a:r>
              <a:rPr lang="en-US"/>
              <a:t>St</a:t>
            </a:r>
            <a:r>
              <a:rPr lang="hr-HR"/>
              <a:t>r</a:t>
            </a:r>
            <a:r>
              <a:rPr lang="en-US"/>
              <a:t>uktura duga</a:t>
            </a:r>
          </a:p>
        </c:rich>
      </c:tx>
      <c:layout/>
      <c:overlay val="false"/>
    </c:title>
    <c:autoTitleDeleted val="false"/>
    <c:view3D>
      <c:rotX val="30"/>
      <c:rotY val="0"/>
      <c:rAngAx val="false"/>
      <c:perspective val="30"/>
    </c:view3D>
    <c:floor>
      <c:thickness val="0"/>
    </c:floor>
    <c:sideWall>
      <c:thickness val="0"/>
    </c:sideWall>
    <c:backWall>
      <c:thickness val="0"/>
    </c:backWall>
    <c:plotArea>
      <c:layout/>
      <c:pie3DChart>
        <c:varyColors val="true"/>
        <c:ser>
          <c:idx val="0"/>
          <c:order val="0"/>
          <c:tx>
            <c:strRef>
              <c:f>Sheet1!$B$1</c:f>
              <c:strCache>
                <c:ptCount val="1"/>
                <c:pt idx="0">
                  <c:v>Stuktura duga</c:v>
                </c:pt>
              </c:strCache>
            </c:strRef>
          </c:tx>
          <c:dLbls>
            <c:spPr>
              <a:noFill/>
              <a:ln>
                <a:noFill/>
              </a:ln>
              <a:effectLst/>
            </c:spPr>
            <c:showLegendKey val="false"/>
            <c:showVal val="false"/>
            <c:showCatName val="false"/>
            <c:showSerName val="false"/>
            <c:showPercent val="true"/>
            <c:showBubbleSize val="false"/>
            <c:showLeaderLines val="true"/>
            <c:extLst>
              <c:ext uri="{CE6537A1-D6FC-4f65-9D91-7224C49458BB}">
                <c15:layout xmlns:c15="http://schemas.microsoft.com/office/drawing/2012/chart"/>
              </c:ext>
            </c:extLst>
          </c:dLbls>
          <c:cat>
            <c:strRef>
              <c:f>Sheet1!$A$2:$A$5</c:f>
              <c:strCache>
                <c:ptCount val="4"/>
                <c:pt idx="0">
                  <c:v>Javna uprava i trgovačka društva u većinskom vlasništvu RH</c:v>
                </c:pt>
                <c:pt idx="1">
                  <c:v>Financijske institucije</c:v>
                </c:pt>
                <c:pt idx="2">
                  <c:v>Ostali vjerovnici</c:v>
                </c:pt>
                <c:pt idx="3">
                  <c:v>Zaposlenici</c:v>
                </c:pt>
              </c:strCache>
            </c:strRef>
          </c:cat>
          <c:val>
            <c:numRef>
              <c:f>Sheet1!$B$2:$B$5</c:f>
              <c:numCache>
                <c:formatCode>0.00%</c:formatCode>
                <c:ptCount val="4"/>
                <c:pt idx="0">
                  <c:v>1.8900000000000011E-2</c:v>
                </c:pt>
                <c:pt idx="1">
                  <c:v>2.0000000000000015E-4</c:v>
                </c:pt>
                <c:pt idx="2">
                  <c:v>0.91400000000000003</c:v>
                </c:pt>
                <c:pt idx="3">
                  <c:v>6.7000000000000004E-2</c:v>
                </c:pt>
              </c:numCache>
            </c:numRef>
          </c:val>
        </c:ser>
        <c:dLbls>
          <c:showLegendKey val="false"/>
          <c:showVal val="false"/>
          <c:showCatName val="false"/>
          <c:showSerName val="false"/>
          <c:showPercent val="true"/>
          <c:showBubbleSize val="false"/>
          <c:showLeaderLines val="true"/>
        </c:dLbls>
      </c:pie3DChart>
    </c:plotArea>
    <c:legend>
      <c:legendPos val="r"/>
      <c:layout/>
      <c:overlay val="false"/>
    </c:legend>
    <c:plotVisOnly val="true"/>
    <c:dispBlanksAs val="zero"/>
    <c:showDLblsOverMax val="false"/>
  </c:chart>
  <c:externalData r:id="rId1">
    <c:autoUpdate val="false"/>
  </c:externalData>
</c:chartSpace>
</file>

<file path=word/diagrams/colors1.xml><?xml version="1.0" encoding="utf-8"?>
<dgm:colorsDef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uniqueId="urn:microsoft.com/office/officeart/2005/8/colors/accent4_5">
  <dgm:title val=""/>
  <dgm:desc val=""/>
  <dgm:catLst>
    <dgm:cat pri="11500" type="accent4"/>
  </dgm:catLst>
  <dgm:styleLbl name="node0">
    <dgm:fillClrLst meth="cycle">
      <a:schemeClr val="accent4">
        <a:alpha val="80000"/>
      </a:schemeClr>
    </dgm:fillClrLst>
    <dgm:linClrLst meth="repeat">
      <a:schemeClr val="lt1"/>
    </dgm:linClrLst>
    <dgm:effectClrLst/>
    <dgm:txLinClrLst/>
    <dgm:txFillClrLst/>
    <dgm:txEffectClrLst/>
  </dgm:styleLbl>
  <dgm:styleLbl name="node1">
    <dgm:fillClrLst>
      <a:schemeClr val="accent4">
        <a:alpha val="90000"/>
      </a:schemeClr>
      <a:schemeClr val="accent4">
        <a:alpha val="50000"/>
      </a:schemeClr>
    </dgm:fillClrLst>
    <dgm:linClrLst meth="repeat">
      <a:schemeClr val="lt1"/>
    </dgm:linClrLst>
    <dgm:effectClrLst/>
    <dgm:txLinClrLst/>
    <dgm:txFillClrLst/>
    <dgm:txEffectClrLst/>
  </dgm:styleLbl>
  <dgm:styleLbl name="alignNode1">
    <dgm:fillClrLst>
      <a:schemeClr val="accent4">
        <a:alpha val="90000"/>
      </a:schemeClr>
      <a:schemeClr val="accent4">
        <a:alpha val="50000"/>
      </a:schemeClr>
    </dgm:fillClrLst>
    <dgm:linClrLst>
      <a:schemeClr val="accent4">
        <a:alpha val="90000"/>
      </a:schemeClr>
      <a:schemeClr val="accent4">
        <a:alpha val="50000"/>
      </a:schemeClr>
    </dgm:linClrLst>
    <dgm:effectClrLst/>
    <dgm:txLinClrLst/>
    <dgm:txFillClrLst/>
    <dgm:txEffectClrLst/>
  </dgm:styleLbl>
  <dgm:styleLbl name="lnNode1">
    <dgm:fillClrLst>
      <a:schemeClr val="accent4">
        <a:shade val="90000"/>
      </a:schemeClr>
      <a:schemeClr val="accent4">
        <a:alpha val="50000"/>
        <a:tint val="50000"/>
      </a:schemeClr>
    </dgm:fillClrLst>
    <dgm:linClrLst meth="repeat">
      <a:schemeClr val="lt1"/>
    </dgm:linClrLst>
    <dgm:effectClrLst/>
    <dgm:txLinClrLst/>
    <dgm:txFillClrLst/>
    <dgm:txEffectClrLst/>
  </dgm:styleLbl>
  <dgm:styleLbl name="vennNode1">
    <dgm:fillClrLst>
      <a:schemeClr val="accent4">
        <a:shade val="80000"/>
        <a:alpha val="50000"/>
      </a:schemeClr>
      <a:schemeClr val="accent4">
        <a:alpha val="80000"/>
      </a:schemeClr>
    </dgm:fillClrLst>
    <dgm:linClrLst meth="repeat">
      <a:schemeClr val="lt1"/>
    </dgm:linClrLst>
    <dgm:effectClrLst/>
    <dgm:txLinClrLst/>
    <dgm:txFillClrLst/>
    <dgm:txEffectClrLst/>
  </dgm:styleLbl>
  <dgm:styleLbl name="node2">
    <dgm:fillClrLst>
      <a:schemeClr val="accent4">
        <a:alpha val="70000"/>
      </a:schemeClr>
    </dgm:fillClrLst>
    <dgm:linClrLst meth="repeat">
      <a:schemeClr val="lt1"/>
    </dgm:linClrLst>
    <dgm:effectClrLst/>
    <dgm:txLinClrLst/>
    <dgm:txFillClrLst/>
    <dgm:txEffectClrLst/>
  </dgm:styleLbl>
  <dgm:styleLbl name="node3">
    <dgm:fillClrLst>
      <a:schemeClr val="accent4">
        <a:alpha val="50000"/>
      </a:schemeClr>
    </dgm:fillClrLst>
    <dgm:linClrLst meth="repeat">
      <a:schemeClr val="lt1"/>
    </dgm:linClrLst>
    <dgm:effectClrLst/>
    <dgm:txLinClrLst/>
    <dgm:txFillClrLst/>
    <dgm:txEffectClrLst/>
  </dgm:styleLbl>
  <dgm:styleLbl name="node4">
    <dgm:fillClrLst>
      <a:schemeClr val="accent4">
        <a:alpha val="30000"/>
      </a:schemeClr>
    </dgm:fillClrLst>
    <dgm:linClrLst meth="repeat">
      <a:schemeClr val="lt1"/>
    </dgm:linClrLst>
    <dgm:effectClrLst/>
    <dgm:txLinClrLst/>
    <dgm:txFillClrLst/>
    <dgm:txEffectClrLst/>
  </dgm:styleLbl>
  <dgm:styleLbl name="fgImgPlace1">
    <dgm:fillClrLst>
      <a:schemeClr val="accent4">
        <a:tint val="50000"/>
        <a:alpha val="90000"/>
      </a:schemeClr>
      <a:schemeClr val="accent4">
        <a:tint val="20000"/>
        <a:alpha val="50000"/>
      </a:schemeClr>
    </dgm:fillClrLst>
    <dgm:linClrLst meth="repeat">
      <a:schemeClr val="lt1"/>
    </dgm:linClrLst>
    <dgm:effectClrLst/>
    <dgm:txLinClrLst/>
    <dgm:txFillClrLst meth="repeat">
      <a:schemeClr val="lt1"/>
    </dgm:txFillClrLst>
    <dgm:txEffectClrLst/>
  </dgm:styleLbl>
  <dgm:styleLbl name="alignImgPlace1">
    <dgm:fillClrLst>
      <a:schemeClr val="accent4">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4">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4">
        <a:shade val="90000"/>
      </a:schemeClr>
      <a:schemeClr val="accent4">
        <a:tint val="50000"/>
      </a:schemeClr>
    </dgm:fillClrLst>
    <dgm:linClrLst>
      <a:schemeClr val="accent4">
        <a:shade val="90000"/>
      </a:schemeClr>
      <a:schemeClr val="accent4">
        <a:tint val="50000"/>
      </a:schemeClr>
    </dgm:linClrLst>
    <dgm:effectClrLst/>
    <dgm:txLinClrLst/>
    <dgm:txFillClrLst/>
    <dgm:txEffectClrLst/>
  </dgm:styleLbl>
  <dgm:styleLbl name="fgSibTrans2D1">
    <dgm:fillClrLst>
      <a:schemeClr val="accent4">
        <a:shade val="90000"/>
      </a:schemeClr>
      <a:schemeClr val="accent4">
        <a:tint val="50000"/>
      </a:schemeClr>
    </dgm:fillClrLst>
    <dgm:linClrLst>
      <a:schemeClr val="accent4">
        <a:shade val="90000"/>
      </a:schemeClr>
      <a:schemeClr val="accent4">
        <a:tint val="50000"/>
      </a:schemeClr>
    </dgm:linClrLst>
    <dgm:effectClrLst/>
    <dgm:txLinClrLst/>
    <dgm:txFillClrLst/>
    <dgm:txEffectClrLst/>
  </dgm:styleLbl>
  <dgm:styleLbl name="bgSibTrans2D1">
    <dgm:fillClrLst>
      <a:schemeClr val="accent4">
        <a:shade val="90000"/>
      </a:schemeClr>
      <a:schemeClr val="accent4">
        <a:tint val="50000"/>
      </a:schemeClr>
    </dgm:fillClrLst>
    <dgm:linClrLst>
      <a:schemeClr val="accent4">
        <a:shade val="90000"/>
      </a:schemeClr>
      <a:schemeClr val="accent4">
        <a:tint val="50000"/>
      </a:schemeClr>
    </dgm:linClrLst>
    <dgm:effectClrLst/>
    <dgm:txLinClrLst/>
    <dgm:txFillClrLst/>
    <dgm:txEffectClrLst/>
  </dgm:styleLbl>
  <dgm:styleLbl name="sibTrans1D1">
    <dgm:fillClrLst>
      <a:schemeClr val="accent4">
        <a:shade val="90000"/>
      </a:schemeClr>
      <a:schemeClr val="accent4">
        <a:tint val="50000"/>
      </a:schemeClr>
    </dgm:fillClrLst>
    <dgm:linClrLst>
      <a:schemeClr val="accent4">
        <a:shade val="90000"/>
      </a:schemeClr>
      <a:schemeClr val="accent4">
        <a:tint val="50000"/>
      </a:schemeClr>
    </dgm:linClrLst>
    <dgm:effectClrLst/>
    <dgm:txLinClrLst/>
    <dgm:txFillClrLst meth="repeat">
      <a:schemeClr val="tx1"/>
    </dgm:txFillClrLst>
    <dgm:txEffectClrLst/>
  </dgm:styleLbl>
  <dgm:styleLbl name="callout">
    <dgm:fillClrLst meth="repeat">
      <a:schemeClr val="accent4"/>
    </dgm:fillClrLst>
    <dgm:linClrLst meth="repeat">
      <a:schemeClr val="accent4"/>
    </dgm:linClrLst>
    <dgm:effectClrLst/>
    <dgm:txLinClrLst/>
    <dgm:txFillClrLst meth="repeat">
      <a:schemeClr val="tx1"/>
    </dgm:txFillClrLst>
    <dgm:txEffectClrLst/>
  </dgm:styleLbl>
  <dgm:styleLbl name="asst0">
    <dgm:fillClrLst meth="repeat">
      <a:schemeClr val="accent4">
        <a:alpha val="90000"/>
      </a:schemeClr>
    </dgm:fillClrLst>
    <dgm:linClrLst meth="repeat">
      <a:schemeClr val="lt1"/>
    </dgm:linClrLst>
    <dgm:effectClrLst/>
    <dgm:txLinClrLst/>
    <dgm:txFillClrLst/>
    <dgm:txEffectClrLst/>
  </dgm:styleLbl>
  <dgm:styleLbl name="asst1">
    <dgm:fillClrLst meth="repeat">
      <a:schemeClr val="accent4">
        <a:alpha val="90000"/>
      </a:schemeClr>
    </dgm:fillClrLst>
    <dgm:linClrLst meth="repeat">
      <a:schemeClr val="lt1"/>
    </dgm:linClrLst>
    <dgm:effectClrLst/>
    <dgm:txLinClrLst/>
    <dgm:txFillClrLst/>
    <dgm:txEffectClrLst/>
  </dgm:styleLbl>
  <dgm:styleLbl name="asst2">
    <dgm:fillClrLst>
      <a:schemeClr val="accent4">
        <a:alpha val="90000"/>
      </a:schemeClr>
    </dgm:fillClrLst>
    <dgm:linClrLst meth="repeat">
      <a:schemeClr val="lt1"/>
    </dgm:linClrLst>
    <dgm:effectClrLst/>
    <dgm:txLinClrLst/>
    <dgm:txFillClrLst/>
    <dgm:txEffectClrLst/>
  </dgm:styleLbl>
  <dgm:styleLbl name="asst3">
    <dgm:fillClrLst>
      <a:schemeClr val="accent4">
        <a:alpha val="70000"/>
      </a:schemeClr>
    </dgm:fillClrLst>
    <dgm:linClrLst meth="repeat">
      <a:schemeClr val="lt1"/>
    </dgm:linClrLst>
    <dgm:effectClrLst/>
    <dgm:txLinClrLst/>
    <dgm:txFillClrLst/>
    <dgm:txEffectClrLst/>
  </dgm:styleLbl>
  <dgm:styleLbl name="asst4">
    <dgm:fillClrLst>
      <a:schemeClr val="accent4">
        <a:alpha val="50000"/>
      </a:schemeClr>
    </dgm:fillClrLst>
    <dgm:linClrLst meth="repeat">
      <a:schemeClr val="lt1"/>
    </dgm:linClrLst>
    <dgm:effectClrLst/>
    <dgm:txLinClrLst/>
    <dgm:txFillClrLst/>
    <dgm:txEffectClrLst/>
  </dgm:styleLbl>
  <dgm:styleLbl name="parChTrans2D1">
    <dgm:fillClrLst meth="repeat">
      <a:schemeClr val="accent4">
        <a:shade val="80000"/>
      </a:schemeClr>
    </dgm:fillClrLst>
    <dgm:linClrLst meth="repeat">
      <a:schemeClr val="accent4">
        <a:shade val="80000"/>
      </a:schemeClr>
    </dgm:linClrLst>
    <dgm:effectClrLst/>
    <dgm:txLinClrLst/>
    <dgm:txFillClrLst/>
    <dgm:txEffectClrLst/>
  </dgm:styleLbl>
  <dgm:styleLbl name="parChTrans2D2">
    <dgm:fillClrLst meth="repeat">
      <a:schemeClr val="accent4">
        <a:tint val="90000"/>
      </a:schemeClr>
    </dgm:fillClrLst>
    <dgm:linClrLst meth="repeat">
      <a:schemeClr val="accent4">
        <a:tint val="90000"/>
      </a:schemeClr>
    </dgm:linClrLst>
    <dgm:effectClrLst/>
    <dgm:txLinClrLst/>
    <dgm:txFillClrLst/>
    <dgm:txEffectClrLst/>
  </dgm:styleLbl>
  <dgm:styleLbl name="parChTrans2D3">
    <dgm:fillClrLst meth="repeat">
      <a:schemeClr val="accent4">
        <a:tint val="70000"/>
      </a:schemeClr>
    </dgm:fillClrLst>
    <dgm:linClrLst meth="repeat">
      <a:schemeClr val="accent4">
        <a:tint val="70000"/>
      </a:schemeClr>
    </dgm:linClrLst>
    <dgm:effectClrLst/>
    <dgm:txLinClrLst/>
    <dgm:txFillClrLst/>
    <dgm:txEffectClrLst/>
  </dgm:styleLbl>
  <dgm:styleLbl name="parChTrans2D4">
    <dgm:fillClrLst meth="repeat">
      <a:schemeClr val="accent4">
        <a:tint val="50000"/>
      </a:schemeClr>
    </dgm:fillClrLst>
    <dgm:linClrLst meth="repeat">
      <a:schemeClr val="accent4">
        <a:tint val="50000"/>
      </a:schemeClr>
    </dgm:linClrLst>
    <dgm:effectClrLst/>
    <dgm:txLinClrLst/>
    <dgm:txFillClrLst meth="repeat">
      <a:schemeClr val="dk1"/>
    </dgm:txFillClrLst>
    <dgm:txEffectClrLst/>
  </dgm:styleLbl>
  <dgm:styleLbl name="parChTrans1D1">
    <dgm:fillClrLst meth="repeat">
      <a:schemeClr val="accent4">
        <a:shade val="80000"/>
      </a:schemeClr>
    </dgm:fillClrLst>
    <dgm:linClrLst meth="repeat">
      <a:schemeClr val="accent4">
        <a:shade val="80000"/>
      </a:schemeClr>
    </dgm:linClrLst>
    <dgm:effectClrLst/>
    <dgm:txLinClrLst/>
    <dgm:txFillClrLst meth="repeat">
      <a:schemeClr val="tx1"/>
    </dgm:txFillClrLst>
    <dgm:txEffectClrLst/>
  </dgm:styleLbl>
  <dgm:styleLbl name="parChTrans1D2">
    <dgm:fillClrLst meth="repeat">
      <a:schemeClr val="accent4">
        <a:tint val="90000"/>
      </a:schemeClr>
    </dgm:fillClrLst>
    <dgm:linClrLst meth="repeat">
      <a:schemeClr val="accent4">
        <a:tint val="90000"/>
      </a:schemeClr>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4">
        <a:tint val="70000"/>
      </a:schemeClr>
    </dgm:linClrLst>
    <dgm:effectClrLst/>
    <dgm:txLinClrLst/>
    <dgm:txFillClrLst meth="repeat">
      <a:schemeClr val="tx1"/>
    </dgm:txFillClrLst>
    <dgm:txEffectClrLst/>
  </dgm:styleLbl>
  <dgm:styleLbl name="parChTrans1D4">
    <dgm:fillClrLst meth="repeat">
      <a:schemeClr val="accent4">
        <a:tint val="50000"/>
      </a:schemeClr>
    </dgm:fillClrLst>
    <dgm:linClrLst meth="repeat">
      <a:schemeClr val="accent4">
        <a:tint val="50000"/>
      </a:schemeClr>
    </dgm:linClrLst>
    <dgm:effectClrLst/>
    <dgm:txLinClrLst/>
    <dgm:txFillClrLst meth="repeat">
      <a:schemeClr val="tx1"/>
    </dgm:txFillClrLst>
    <dgm:txEffectClrLst/>
  </dgm:styleLbl>
  <dgm:styleLbl name="fgAcc1">
    <dgm:fillClrLst meth="repeat">
      <a:schemeClr val="lt1">
        <a:alpha val="90000"/>
      </a:schemeClr>
    </dgm:fillClrLst>
    <dgm:linClrLst>
      <a:schemeClr val="accent4">
        <a:alpha val="90000"/>
      </a:schemeClr>
      <a:schemeClr val="accent4">
        <a:alpha val="50000"/>
      </a:schemeClr>
    </dgm:linClrLst>
    <dgm:effectClrLst/>
    <dgm:txLinClrLst/>
    <dgm:txFillClrLst meth="repeat">
      <a:schemeClr val="dk1"/>
    </dgm:txFillClrLst>
    <dgm:txEffectClrLst/>
  </dgm:styleLbl>
  <dgm:styleLbl name="conFgAcc1">
    <dgm:fillClrLst meth="repeat">
      <a:schemeClr val="lt1">
        <a:alpha val="90000"/>
      </a:schemeClr>
    </dgm:fillClrLst>
    <dgm:linClrLst>
      <a:schemeClr val="accent4">
        <a:alpha val="90000"/>
      </a:schemeClr>
      <a:schemeClr val="accent4">
        <a:alpha val="50000"/>
      </a:schemeClr>
    </dgm:linClrLst>
    <dgm:effectClrLst/>
    <dgm:txLinClrLst/>
    <dgm:txFillClrLst meth="repeat">
      <a:schemeClr val="dk1"/>
    </dgm:txFillClrLst>
    <dgm:txEffectClrLst/>
  </dgm:styleLbl>
  <dgm:styleLbl name="alignAcc1">
    <dgm:fillClrLst meth="repeat">
      <a:schemeClr val="lt1">
        <a:alpha val="90000"/>
      </a:schemeClr>
    </dgm:fillClrLst>
    <dgm:linClrLst>
      <a:schemeClr val="accent4">
        <a:alpha val="90000"/>
      </a:schemeClr>
      <a:schemeClr val="accent4">
        <a:alpha val="50000"/>
      </a:schemeClr>
    </dgm:linClrLst>
    <dgm:effectClrLst/>
    <dgm:txLinClrLst/>
    <dgm:txFillClrLst meth="repeat">
      <a:schemeClr val="dk1"/>
    </dgm:txFillClrLst>
    <dgm:txEffectClrLst/>
  </dgm:styleLbl>
  <dgm:styleLbl name="trAlignAcc1">
    <dgm:fillClrLst meth="repeat">
      <a:schemeClr val="lt1">
        <a:alpha val="40000"/>
      </a:schemeClr>
    </dgm:fillClrLst>
    <dgm:linClrLst>
      <a:schemeClr val="accent4">
        <a:alpha val="90000"/>
      </a:schemeClr>
      <a:schemeClr val="accent4">
        <a:alpha val="50000"/>
      </a:schemeClr>
    </dgm:linClrLst>
    <dgm:effectClrLst/>
    <dgm:txLinClrLst/>
    <dgm:txFillClrLst meth="repeat">
      <a:schemeClr val="dk1"/>
    </dgm:txFillClrLst>
    <dgm:txEffectClrLst/>
  </dgm:styleLbl>
  <dgm:styleLbl name="bgAcc1">
    <dgm:fillClrLst meth="repeat">
      <a:schemeClr val="lt1">
        <a:alpha val="90000"/>
      </a:schemeClr>
    </dgm:fillClrLst>
    <dgm:linClrLst>
      <a:schemeClr val="accent4">
        <a:alpha val="90000"/>
      </a:schemeClr>
      <a:schemeClr val="accent4">
        <a:alpha val="50000"/>
      </a:schemeClr>
    </dgm:linClrLst>
    <dgm:effectClrLst/>
    <dgm:txLinClrLst/>
    <dgm:txFillClrLst meth="repeat">
      <a:schemeClr val="dk1"/>
    </dgm:txFillClrLst>
    <dgm:txEffectClrLst/>
  </dgm:styleLbl>
  <dgm:styleLbl name="solidFgAcc1">
    <dgm:fillClrLst meth="repeat">
      <a:schemeClr val="lt1"/>
    </dgm:fillClrLst>
    <dgm:linClrLst>
      <a:schemeClr val="accent4">
        <a:alpha val="90000"/>
      </a:schemeClr>
      <a:schemeClr val="accent4">
        <a:alpha val="50000"/>
      </a:schemeClr>
    </dgm:linClrLst>
    <dgm:effectClrLst/>
    <dgm:txLinClrLst/>
    <dgm:txFillClrLst meth="repeat">
      <a:schemeClr val="dk1"/>
    </dgm:txFillClrLst>
    <dgm:txEffectClrLst/>
  </dgm:styleLbl>
  <dgm:styleLbl name="solidAlignAcc1">
    <dgm:fillClrLst meth="repeat">
      <a:schemeClr val="lt1"/>
    </dgm:fillClrLst>
    <dgm:linClrLst meth="repeat">
      <a:schemeClr val="accent4"/>
    </dgm:linClrLst>
    <dgm:effectClrLst/>
    <dgm:txLinClrLst/>
    <dgm:txFillClrLst meth="repeat">
      <a:schemeClr val="dk1"/>
    </dgm:txFillClrLst>
    <dgm:txEffectClrLst/>
  </dgm:styleLbl>
  <dgm:styleLbl name="solidBgAcc1">
    <dgm:fillClrLst meth="repeat">
      <a:schemeClr val="lt1"/>
    </dgm:fillClrLst>
    <dgm:linClrLst meth="repeat">
      <a:schemeClr val="accent4"/>
    </dgm:linClrLst>
    <dgm:effectClrLst/>
    <dgm:txLinClrLst/>
    <dgm:txFillClrLst meth="repeat">
      <a:schemeClr val="dk1"/>
    </dgm:txFillClrLst>
    <dgm:txEffectClrLst/>
  </dgm:styleLbl>
  <dgm:styleLbl name="fgAccFollowNode1">
    <dgm:fillClrLst>
      <a:schemeClr val="accent4">
        <a:alpha val="90000"/>
        <a:tint val="40000"/>
      </a:schemeClr>
      <a:schemeClr val="accent4">
        <a:alpha val="50000"/>
        <a:tint val="40000"/>
      </a:schemeClr>
    </dgm:fillClrLst>
    <dgm:linClrLst meth="repeat">
      <a:schemeClr val="accent4">
        <a:alpha val="90000"/>
        <a:tint val="40000"/>
      </a:schemeClr>
    </dgm:linClrLst>
    <dgm:effectClrLst/>
    <dgm:txLinClrLst/>
    <dgm:txFillClrLst meth="repeat">
      <a:schemeClr val="dk1"/>
    </dgm:txFillClrLst>
    <dgm:txEffectClrLst/>
  </dgm:styleLbl>
  <dgm:styleLbl name="alignAccFollowNode1">
    <dgm:fillClrLst meth="repeat">
      <a:schemeClr val="accent4">
        <a:alpha val="90000"/>
        <a:tint val="40000"/>
      </a:schemeClr>
    </dgm:fillClrLst>
    <dgm:linClrLst meth="repeat">
      <a:schemeClr val="accent4">
        <a:alpha val="90000"/>
        <a:tint val="40000"/>
      </a:schemeClr>
    </dgm:linClrLst>
    <dgm:effectClrLst/>
    <dgm:txLinClrLst/>
    <dgm:txFillClrLst meth="repeat">
      <a:schemeClr val="dk1"/>
    </dgm:txFillClrLst>
    <dgm:txEffectClrLst/>
  </dgm:styleLbl>
  <dgm:styleLbl name="bgAccFollowNode1">
    <dgm:fillClrLst meth="repeat">
      <a:schemeClr val="accent4">
        <a:alpha val="90000"/>
        <a:tint val="40000"/>
      </a:schemeClr>
    </dgm:fillClrLst>
    <dgm:linClrLst meth="repeat">
      <a:schemeClr val="lt1"/>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4">
        <a:shade val="80000"/>
      </a:schemeClr>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4">
        <a:tint val="90000"/>
      </a:schemeClr>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4">
        <a:tint val="70000"/>
      </a:schemeClr>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4">
        <a:tint val="50000"/>
      </a:schemeClr>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4">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dgm:ptLst>
    <dgm:pt type="doc" modelId="{CDE5DECA-7601-4323-96E3-D25D1930B00A}">
      <dgm:prSet phldr="true" csCatId="accent4" csTypeId="urn:microsoft.com/office/officeart/2005/8/colors/accent4_5" qsCatId="simple" qsTypeId="urn:microsoft.com/office/officeart/2005/8/quickstyle/simple4" loCatId="hierarchy" loTypeId="urn:microsoft.com/office/officeart/2005/8/layout/orgChart1"/>
      <dgm:spPr/>
      <dgm:t>
        <a:bodyPr/>
        <a:lstStyle/>
        <a:p>
          <a:endParaRPr lang="hr-HR"/>
        </a:p>
      </dgm:t>
    </dgm:pt>
    <dgm:pt modelId="{6A72E13B-C4BF-497B-8327-247883C283BB}">
      <dgm:prSet custT="true" phldrT="[Text]"/>
      <dgm:spPr/>
      <dgm:t>
        <a:bodyPr/>
        <a:lstStyle/>
        <a:p>
          <a:r>
            <a:rPr sz="1200" lang="hr-HR">
              <a:latin charset="0" pitchFamily="18" typeface="Times New Roman"/>
              <a:cs charset="0" pitchFamily="18" typeface="Times New Roman"/>
            </a:rPr>
            <a:t>Direktor</a:t>
          </a:r>
        </a:p>
        <a:p>
          <a:r>
            <a:rPr sz="1200" lang="hr-HR">
              <a:latin charset="0" pitchFamily="18" typeface="Times New Roman"/>
              <a:cs charset="0" pitchFamily="18" typeface="Times New Roman"/>
            </a:rPr>
            <a:t> (1 zaposleni)</a:t>
          </a:r>
        </a:p>
        <a:p>
          <a:endParaRPr sz="1200" lang="hr-HR">
            <a:latin charset="0" pitchFamily="18" typeface="Times New Roman"/>
            <a:cs charset="0" pitchFamily="18" typeface="Times New Roman"/>
          </a:endParaRPr>
        </a:p>
      </dgm:t>
    </dgm:pt>
    <dgm:pt cxnId="{8C94A1F1-1F6A-466D-88F0-4B6839AAD77A}" type="parTrans" modelId="{E03E60E3-FBF4-4A20-9463-57ECE3D2AECB}">
      <dgm:prSet/>
      <dgm:spPr/>
      <dgm:t>
        <a:bodyPr/>
        <a:lstStyle/>
        <a:p>
          <a:endParaRPr sz="1200" lang="hr-HR">
            <a:latin charset="0" pitchFamily="18" typeface="Times New Roman"/>
            <a:cs charset="0" pitchFamily="18" typeface="Times New Roman"/>
          </a:endParaRPr>
        </a:p>
      </dgm:t>
    </dgm:pt>
    <dgm:pt cxnId="{8C94A1F1-1F6A-466D-88F0-4B6839AAD77A}" type="sibTrans" modelId="{6FB29261-64E0-4B05-B9C2-A22A7580B3AE}">
      <dgm:prSet/>
      <dgm:spPr/>
      <dgm:t>
        <a:bodyPr/>
        <a:lstStyle/>
        <a:p>
          <a:endParaRPr sz="1200" lang="hr-HR">
            <a:latin charset="0" pitchFamily="18" typeface="Times New Roman"/>
            <a:cs charset="0" pitchFamily="18" typeface="Times New Roman"/>
          </a:endParaRPr>
        </a:p>
      </dgm:t>
    </dgm:pt>
    <dgm:pt modelId="{16903579-B916-44D2-A26C-B9453BD59C8C}">
      <dgm:prSet custT="true" phldrT="[Text]"/>
      <dgm:spPr/>
      <dgm:t>
        <a:bodyPr/>
        <a:lstStyle/>
        <a:p>
          <a:r>
            <a:rPr sz="1200" lang="hr-HR">
              <a:latin charset="0" pitchFamily="18" typeface="Times New Roman"/>
              <a:cs charset="0" pitchFamily="18" typeface="Times New Roman"/>
            </a:rPr>
            <a:t>Ratarstvo</a:t>
          </a:r>
        </a:p>
      </dgm:t>
    </dgm:pt>
    <dgm:pt cxnId="{A9C44070-AB9E-43A1-BDB8-051A6235A4EE}" type="parTrans" modelId="{DF92BA71-F321-4FDC-A62F-DA086DDFC11A}">
      <dgm:prSet/>
      <dgm:spPr/>
      <dgm:t>
        <a:bodyPr/>
        <a:lstStyle/>
        <a:p>
          <a:endParaRPr sz="1200" lang="hr-HR">
            <a:latin charset="0" pitchFamily="18" typeface="Times New Roman"/>
            <a:cs charset="0" pitchFamily="18" typeface="Times New Roman"/>
          </a:endParaRPr>
        </a:p>
      </dgm:t>
    </dgm:pt>
    <dgm:pt cxnId="{A9C44070-AB9E-43A1-BDB8-051A6235A4EE}" type="sibTrans" modelId="{2E739F38-46D9-4157-8990-D7336776B30F}">
      <dgm:prSet/>
      <dgm:spPr/>
      <dgm:t>
        <a:bodyPr/>
        <a:lstStyle/>
        <a:p>
          <a:endParaRPr sz="1200" lang="hr-HR">
            <a:latin charset="0" pitchFamily="18" typeface="Times New Roman"/>
            <a:cs charset="0" pitchFamily="18" typeface="Times New Roman"/>
          </a:endParaRPr>
        </a:p>
      </dgm:t>
    </dgm:pt>
    <dgm:pt modelId="{B83C949C-EB04-448D-AC1B-701737921F4E}">
      <dgm:prSet custT="true" phldrT="[Text]"/>
      <dgm:spPr/>
      <dgm:t>
        <a:bodyPr/>
        <a:lstStyle/>
        <a:p>
          <a:r>
            <a:rPr sz="1200" lang="hr-HR">
              <a:latin charset="0" pitchFamily="18" typeface="Times New Roman"/>
              <a:cs charset="0" pitchFamily="18" typeface="Times New Roman"/>
            </a:rPr>
            <a:t>Ovčarstvo</a:t>
          </a:r>
        </a:p>
      </dgm:t>
    </dgm:pt>
    <dgm:pt cxnId="{079D5BCD-F106-40DB-BD8E-77E51FB98C1E}" type="parTrans" modelId="{37A39E36-9F9F-4AAB-9598-9E1E9B72799C}">
      <dgm:prSet/>
      <dgm:spPr/>
      <dgm:t>
        <a:bodyPr/>
        <a:lstStyle/>
        <a:p>
          <a:endParaRPr sz="1200" lang="hr-HR">
            <a:latin charset="0" pitchFamily="18" typeface="Times New Roman"/>
            <a:cs charset="0" pitchFamily="18" typeface="Times New Roman"/>
          </a:endParaRPr>
        </a:p>
      </dgm:t>
    </dgm:pt>
    <dgm:pt cxnId="{079D5BCD-F106-40DB-BD8E-77E51FB98C1E}" type="sibTrans" modelId="{CA3B3B62-B121-4AE4-8F93-3950DFD1F17D}">
      <dgm:prSet/>
      <dgm:spPr/>
      <dgm:t>
        <a:bodyPr/>
        <a:lstStyle/>
        <a:p>
          <a:endParaRPr sz="1200" lang="hr-HR">
            <a:latin charset="0" pitchFamily="18" typeface="Times New Roman"/>
            <a:cs charset="0" pitchFamily="18" typeface="Times New Roman"/>
          </a:endParaRPr>
        </a:p>
      </dgm:t>
    </dgm:pt>
    <dgm:pt modelId="{1B18E219-1CFA-4750-8274-3A0D52DB6174}">
      <dgm:prSet custT="true" phldrT="[Text]"/>
      <dgm:spPr/>
      <dgm:t>
        <a:bodyPr/>
        <a:lstStyle/>
        <a:p>
          <a:r>
            <a:rPr sz="1200" lang="hr-HR">
              <a:latin charset="0" pitchFamily="18" typeface="Times New Roman"/>
              <a:cs charset="0" pitchFamily="18" typeface="Times New Roman"/>
            </a:rPr>
            <a:t>Voćarstvo</a:t>
          </a:r>
        </a:p>
      </dgm:t>
    </dgm:pt>
    <dgm:pt cxnId="{F911C01D-D56F-4FF9-9FA5-239EE524FCF7}" type="parTrans" modelId="{848DA5BE-67A6-4B53-9B68-35597980999C}">
      <dgm:prSet/>
      <dgm:spPr/>
      <dgm:t>
        <a:bodyPr/>
        <a:lstStyle/>
        <a:p>
          <a:endParaRPr sz="1200" lang="hr-HR">
            <a:latin charset="0" pitchFamily="18" typeface="Times New Roman"/>
            <a:cs charset="0" pitchFamily="18" typeface="Times New Roman"/>
          </a:endParaRPr>
        </a:p>
      </dgm:t>
    </dgm:pt>
    <dgm:pt cxnId="{F911C01D-D56F-4FF9-9FA5-239EE524FCF7}" type="sibTrans" modelId="{5CD20CEE-B895-4549-854D-97739F71ADFA}">
      <dgm:prSet/>
      <dgm:spPr/>
      <dgm:t>
        <a:bodyPr/>
        <a:lstStyle/>
        <a:p>
          <a:endParaRPr sz="1200" lang="hr-HR">
            <a:latin charset="0" pitchFamily="18" typeface="Times New Roman"/>
            <a:cs charset="0" pitchFamily="18" typeface="Times New Roman"/>
          </a:endParaRPr>
        </a:p>
      </dgm:t>
    </dgm:pt>
    <dgm:pt type="asst" modelId="{11D60859-AF24-47E3-ABCF-CD93FBC08079}">
      <dgm:prSet custT="true"/>
      <dgm:spPr/>
      <dgm:t>
        <a:bodyPr/>
        <a:lstStyle/>
        <a:p>
          <a:r>
            <a:rPr sz="1200" lang="hr-HR">
              <a:latin charset="0" pitchFamily="18" typeface="Times New Roman"/>
              <a:cs charset="0" pitchFamily="18" typeface="Times New Roman"/>
            </a:rPr>
            <a:t>Proizvodnja (3-12 zaposlenih)</a:t>
          </a:r>
        </a:p>
      </dgm:t>
    </dgm:pt>
    <dgm:pt cxnId="{8E8BFC43-DF2D-425E-94F4-890410A890BF}" type="parTrans" modelId="{0C5BB835-75FC-480E-9413-F59AF755505C}">
      <dgm:prSet/>
      <dgm:spPr/>
      <dgm:t>
        <a:bodyPr/>
        <a:lstStyle/>
        <a:p>
          <a:endParaRPr sz="1200" lang="hr-HR"/>
        </a:p>
      </dgm:t>
    </dgm:pt>
    <dgm:pt cxnId="{8E8BFC43-DF2D-425E-94F4-890410A890BF}" type="sibTrans" modelId="{59C702DF-3FEB-47A9-8479-B2880A17E730}">
      <dgm:prSet/>
      <dgm:spPr/>
      <dgm:t>
        <a:bodyPr/>
        <a:lstStyle/>
        <a:p>
          <a:endParaRPr sz="1200" lang="hr-HR"/>
        </a:p>
      </dgm:t>
    </dgm:pt>
    <dgm:pt type="pres" modelId="{9319A75D-E06F-4530-B4D0-2C455069B6BF}">
      <dgm:prSet presStyleCnt="0" presName="hierChild1" presAssocID="{CDE5DECA-7601-4323-96E3-D25D1930B00A}">
        <dgm:presLayoutVars>
          <dgm:orgChart val="true"/>
          <dgm:chPref val="1"/>
          <dgm:dir/>
          <dgm:animOne val="branch"/>
          <dgm:animLvl val="lvl"/>
          <dgm:resizeHandles/>
        </dgm:presLayoutVars>
      </dgm:prSet>
      <dgm:spPr/>
      <dgm:t>
        <a:bodyPr/>
        <a:lstStyle/>
        <a:p>
          <a:endParaRPr lang="hr-HR"/>
        </a:p>
      </dgm:t>
    </dgm:pt>
    <dgm:pt type="pres" modelId="{75E8BE94-0ACA-4C71-9C9D-C00B3DE37986}">
      <dgm:prSet presStyleCnt="0" presName="hierRoot1" presAssocID="{6A72E13B-C4BF-497B-8327-247883C283BB}">
        <dgm:presLayoutVars>
          <dgm:hierBranch val="init"/>
        </dgm:presLayoutVars>
      </dgm:prSet>
      <dgm:spPr/>
    </dgm:pt>
    <dgm:pt type="pres" modelId="{6023BC91-8115-4A86-90FC-B66B1DBEAEAD}">
      <dgm:prSet presStyleCnt="0" presName="rootComposite1" presAssocID="{6A72E13B-C4BF-497B-8327-247883C283BB}"/>
      <dgm:spPr/>
    </dgm:pt>
    <dgm:pt type="pres" modelId="{C1FB4E5E-C400-4581-97C4-C20888DEF4C8}">
      <dgm:prSet presStyleCnt="1" presStyleIdx="0" presStyleLbl="node0" presName="rootText1" presAssocID="{6A72E13B-C4BF-497B-8327-247883C283BB}">
        <dgm:presLayoutVars>
          <dgm:chPref val="3"/>
        </dgm:presLayoutVars>
      </dgm:prSet>
      <dgm:spPr/>
      <dgm:t>
        <a:bodyPr/>
        <a:lstStyle/>
        <a:p>
          <a:endParaRPr lang="hr-HR"/>
        </a:p>
      </dgm:t>
    </dgm:pt>
    <dgm:pt type="pres" modelId="{A12D7C68-A0C2-4B01-9554-0CCD02D9B42A}">
      <dgm:prSet presStyleCnt="0" presStyleIdx="0" presStyleLbl="node1" presName="rootConnector1" presAssocID="{6A72E13B-C4BF-497B-8327-247883C283BB}"/>
      <dgm:spPr/>
      <dgm:t>
        <a:bodyPr/>
        <a:lstStyle/>
        <a:p>
          <a:endParaRPr lang="hr-HR"/>
        </a:p>
      </dgm:t>
    </dgm:pt>
    <dgm:pt type="pres" modelId="{92BC194E-8F03-443A-8E37-852EA94D2159}">
      <dgm:prSet presStyleCnt="0" presName="hierChild2" presAssocID="{6A72E13B-C4BF-497B-8327-247883C283BB}"/>
      <dgm:spPr/>
    </dgm:pt>
    <dgm:pt type="pres" modelId="{82C1EA90-788F-4395-947E-1F116D69D9E9}">
      <dgm:prSet presStyleCnt="4" presStyleIdx="0" presStyleLbl="parChTrans1D2" presName="Name37" presAssocID="{DF92BA71-F321-4FDC-A62F-DA086DDFC11A}"/>
      <dgm:spPr/>
      <dgm:t>
        <a:bodyPr/>
        <a:lstStyle/>
        <a:p>
          <a:endParaRPr lang="hr-HR"/>
        </a:p>
      </dgm:t>
    </dgm:pt>
    <dgm:pt type="pres" modelId="{45132448-706A-4D45-ABA5-B05088A1C3C0}">
      <dgm:prSet presStyleCnt="0" presName="hierRoot2" presAssocID="{16903579-B916-44D2-A26C-B9453BD59C8C}">
        <dgm:presLayoutVars>
          <dgm:hierBranch val="init"/>
        </dgm:presLayoutVars>
      </dgm:prSet>
      <dgm:spPr/>
    </dgm:pt>
    <dgm:pt type="pres" modelId="{CE31E106-9E1B-4EBF-AACF-4609F00F3686}">
      <dgm:prSet presStyleCnt="0" presName="rootComposite" presAssocID="{16903579-B916-44D2-A26C-B9453BD59C8C}"/>
      <dgm:spPr/>
    </dgm:pt>
    <dgm:pt type="pres" modelId="{56BD098D-22D0-4F87-A266-2C9298E8F600}">
      <dgm:prSet custLinFactNeighborY="54" custLinFactNeighborX="428" presStyleCnt="3" presStyleIdx="0" presStyleLbl="node2" presName="rootText" presAssocID="{16903579-B916-44D2-A26C-B9453BD59C8C}">
        <dgm:presLayoutVars>
          <dgm:chPref val="3"/>
        </dgm:presLayoutVars>
      </dgm:prSet>
      <dgm:spPr/>
      <dgm:t>
        <a:bodyPr/>
        <a:lstStyle/>
        <a:p>
          <a:endParaRPr lang="hr-HR"/>
        </a:p>
      </dgm:t>
    </dgm:pt>
    <dgm:pt type="pres" modelId="{443128F8-AA70-4FE4-ADB9-C608B3A0C475}">
      <dgm:prSet presStyleCnt="3" presStyleIdx="0" presStyleLbl="node2" presName="rootConnector" presAssocID="{16903579-B916-44D2-A26C-B9453BD59C8C}"/>
      <dgm:spPr/>
      <dgm:t>
        <a:bodyPr/>
        <a:lstStyle/>
        <a:p>
          <a:endParaRPr lang="hr-HR"/>
        </a:p>
      </dgm:t>
    </dgm:pt>
    <dgm:pt type="pres" modelId="{95BCF027-235C-4FA1-9049-89BC58FBAFB7}">
      <dgm:prSet presStyleCnt="0" presName="hierChild4" presAssocID="{16903579-B916-44D2-A26C-B9453BD59C8C}"/>
      <dgm:spPr/>
    </dgm:pt>
    <dgm:pt type="pres" modelId="{85D7A62A-87F2-42A0-8518-B4A1C5BE8E76}">
      <dgm:prSet presStyleCnt="0" presName="hierChild5" presAssocID="{16903579-B916-44D2-A26C-B9453BD59C8C}"/>
      <dgm:spPr/>
    </dgm:pt>
    <dgm:pt type="pres" modelId="{18892BA3-4ED2-46AC-9307-BE60403BD03A}">
      <dgm:prSet presStyleCnt="4" presStyleIdx="1" presStyleLbl="parChTrans1D2" presName="Name37" presAssocID="{37A39E36-9F9F-4AAB-9598-9E1E9B72799C}"/>
      <dgm:spPr/>
      <dgm:t>
        <a:bodyPr/>
        <a:lstStyle/>
        <a:p>
          <a:endParaRPr lang="hr-HR"/>
        </a:p>
      </dgm:t>
    </dgm:pt>
    <dgm:pt type="pres" modelId="{E66B556D-5B42-411D-95EC-99E2FB4AD126}">
      <dgm:prSet presStyleCnt="0" presName="hierRoot2" presAssocID="{B83C949C-EB04-448D-AC1B-701737921F4E}">
        <dgm:presLayoutVars>
          <dgm:hierBranch val="init"/>
        </dgm:presLayoutVars>
      </dgm:prSet>
      <dgm:spPr/>
    </dgm:pt>
    <dgm:pt type="pres" modelId="{B82E9111-4AA1-4B0E-8E64-624EB8B08320}">
      <dgm:prSet presStyleCnt="0" presName="rootComposite" presAssocID="{B83C949C-EB04-448D-AC1B-701737921F4E}"/>
      <dgm:spPr/>
    </dgm:pt>
    <dgm:pt type="pres" modelId="{F06DAF15-3505-4C2B-9D5E-8768B57ACC2A}">
      <dgm:prSet presStyleCnt="3" presStyleIdx="1" presStyleLbl="node2" presName="rootText" presAssocID="{B83C949C-EB04-448D-AC1B-701737921F4E}">
        <dgm:presLayoutVars>
          <dgm:chPref val="3"/>
        </dgm:presLayoutVars>
      </dgm:prSet>
      <dgm:spPr/>
      <dgm:t>
        <a:bodyPr/>
        <a:lstStyle/>
        <a:p>
          <a:endParaRPr lang="hr-HR"/>
        </a:p>
      </dgm:t>
    </dgm:pt>
    <dgm:pt type="pres" modelId="{E2F95B8B-F984-4C6B-A64E-3DF07D38CB46}">
      <dgm:prSet presStyleCnt="3" presStyleIdx="1" presStyleLbl="node2" presName="rootConnector" presAssocID="{B83C949C-EB04-448D-AC1B-701737921F4E}"/>
      <dgm:spPr/>
      <dgm:t>
        <a:bodyPr/>
        <a:lstStyle/>
        <a:p>
          <a:endParaRPr lang="hr-HR"/>
        </a:p>
      </dgm:t>
    </dgm:pt>
    <dgm:pt type="pres" modelId="{0F3A43D7-22D8-4040-AE6D-FA9EDF279C29}">
      <dgm:prSet presStyleCnt="0" presName="hierChild4" presAssocID="{B83C949C-EB04-448D-AC1B-701737921F4E}"/>
      <dgm:spPr/>
    </dgm:pt>
    <dgm:pt type="pres" modelId="{BACE85C7-45FF-42D9-85A2-410D9513B367}">
      <dgm:prSet presStyleCnt="0" presName="hierChild5" presAssocID="{B83C949C-EB04-448D-AC1B-701737921F4E}"/>
      <dgm:spPr/>
    </dgm:pt>
    <dgm:pt type="pres" modelId="{7EEB9DB7-FB66-4089-BE03-B6AAF8C4844F}">
      <dgm:prSet presStyleCnt="4" presStyleIdx="2" presStyleLbl="parChTrans1D2" presName="Name37" presAssocID="{848DA5BE-67A6-4B53-9B68-35597980999C}"/>
      <dgm:spPr/>
      <dgm:t>
        <a:bodyPr/>
        <a:lstStyle/>
        <a:p>
          <a:endParaRPr lang="hr-HR"/>
        </a:p>
      </dgm:t>
    </dgm:pt>
    <dgm:pt type="pres" modelId="{B0DE21BD-8011-46E0-8DC1-824AF4902EA9}">
      <dgm:prSet presStyleCnt="0" presName="hierRoot2" presAssocID="{1B18E219-1CFA-4750-8274-3A0D52DB6174}">
        <dgm:presLayoutVars>
          <dgm:hierBranch val="init"/>
        </dgm:presLayoutVars>
      </dgm:prSet>
      <dgm:spPr/>
    </dgm:pt>
    <dgm:pt type="pres" modelId="{2BD20D90-CC6F-464F-961E-66E8406E79A4}">
      <dgm:prSet presStyleCnt="0" presName="rootComposite" presAssocID="{1B18E219-1CFA-4750-8274-3A0D52DB6174}"/>
      <dgm:spPr/>
    </dgm:pt>
    <dgm:pt type="pres" modelId="{5E261A4B-46B9-4992-8FEA-F539BEFA5005}">
      <dgm:prSet presStyleCnt="3" presStyleIdx="2" presStyleLbl="node2" presName="rootText" presAssocID="{1B18E219-1CFA-4750-8274-3A0D52DB6174}">
        <dgm:presLayoutVars>
          <dgm:chPref val="3"/>
        </dgm:presLayoutVars>
      </dgm:prSet>
      <dgm:spPr/>
      <dgm:t>
        <a:bodyPr/>
        <a:lstStyle/>
        <a:p>
          <a:endParaRPr lang="hr-HR"/>
        </a:p>
      </dgm:t>
    </dgm:pt>
    <dgm:pt type="pres" modelId="{152C90C3-4831-4393-A306-9CBBFCFA8124}">
      <dgm:prSet presStyleCnt="3" presStyleIdx="2" presStyleLbl="node2" presName="rootConnector" presAssocID="{1B18E219-1CFA-4750-8274-3A0D52DB6174}"/>
      <dgm:spPr/>
      <dgm:t>
        <a:bodyPr/>
        <a:lstStyle/>
        <a:p>
          <a:endParaRPr lang="hr-HR"/>
        </a:p>
      </dgm:t>
    </dgm:pt>
    <dgm:pt type="pres" modelId="{4ECA0E0E-8392-43A7-8465-CF6934785E64}">
      <dgm:prSet presStyleCnt="0" presName="hierChild4" presAssocID="{1B18E219-1CFA-4750-8274-3A0D52DB6174}"/>
      <dgm:spPr/>
    </dgm:pt>
    <dgm:pt type="pres" modelId="{1CE543F2-D178-445F-826E-B036D820D9AA}">
      <dgm:prSet presStyleCnt="0" presName="hierChild5" presAssocID="{1B18E219-1CFA-4750-8274-3A0D52DB6174}"/>
      <dgm:spPr/>
    </dgm:pt>
    <dgm:pt type="pres" modelId="{A6174BB3-F05F-49CD-8206-B80D88AE512F}">
      <dgm:prSet presStyleCnt="0" presName="hierChild3" presAssocID="{6A72E13B-C4BF-497B-8327-247883C283BB}"/>
      <dgm:spPr/>
    </dgm:pt>
    <dgm:pt type="pres" modelId="{A9BC4C66-87DD-465B-A63F-B4D09863D06C}">
      <dgm:prSet presStyleCnt="4" presStyleIdx="3" presStyleLbl="parChTrans1D2" presName="Name111" presAssocID="{0C5BB835-75FC-480E-9413-F59AF755505C}"/>
      <dgm:spPr/>
      <dgm:t>
        <a:bodyPr/>
        <a:lstStyle/>
        <a:p>
          <a:endParaRPr lang="hr-HR"/>
        </a:p>
      </dgm:t>
    </dgm:pt>
    <dgm:pt type="pres" modelId="{664F1E6C-FE63-40FD-BEF8-87D9779B58AC}">
      <dgm:prSet presStyleCnt="0" presName="hierRoot3" presAssocID="{11D60859-AF24-47E3-ABCF-CD93FBC08079}">
        <dgm:presLayoutVars>
          <dgm:hierBranch val="init"/>
        </dgm:presLayoutVars>
      </dgm:prSet>
      <dgm:spPr/>
    </dgm:pt>
    <dgm:pt type="pres" modelId="{5420B198-5DDC-4928-81D5-B5F51C591351}">
      <dgm:prSet presStyleCnt="0" presName="rootComposite3" presAssocID="{11D60859-AF24-47E3-ABCF-CD93FBC08079}"/>
      <dgm:spPr/>
    </dgm:pt>
    <dgm:pt type="pres" modelId="{3E76AD53-5613-4B2C-912F-CC34FAD9D492}">
      <dgm:prSet custLinFactNeighborY="-5988" custLinFactNeighborX="-4704" presStyleCnt="1" presStyleIdx="0" presStyleLbl="asst1" presName="rootText3" presAssocID="{11D60859-AF24-47E3-ABCF-CD93FBC08079}">
        <dgm:presLayoutVars>
          <dgm:chPref val="3"/>
        </dgm:presLayoutVars>
      </dgm:prSet>
      <dgm:spPr/>
      <dgm:t>
        <a:bodyPr/>
        <a:lstStyle/>
        <a:p>
          <a:endParaRPr lang="hr-HR"/>
        </a:p>
      </dgm:t>
    </dgm:pt>
    <dgm:pt type="pres" modelId="{675BD9C7-7202-4085-BE78-53C97FCD758D}">
      <dgm:prSet presStyleCnt="1" presStyleIdx="0" presStyleLbl="asst1" presName="rootConnector3" presAssocID="{11D60859-AF24-47E3-ABCF-CD93FBC08079}"/>
      <dgm:spPr/>
      <dgm:t>
        <a:bodyPr/>
        <a:lstStyle/>
        <a:p>
          <a:endParaRPr lang="hr-HR"/>
        </a:p>
      </dgm:t>
    </dgm:pt>
    <dgm:pt type="pres" modelId="{885C4CAE-297B-4FBE-8080-CB8B9D115D04}">
      <dgm:prSet presStyleCnt="0" presName="hierChild6" presAssocID="{11D60859-AF24-47E3-ABCF-CD93FBC08079}"/>
      <dgm:spPr/>
    </dgm:pt>
    <dgm:pt type="pres" modelId="{F5C4CCBE-C32E-42DF-9301-3D104DADD2E8}">
      <dgm:prSet presStyleCnt="0" presName="hierChild7" presAssocID="{11D60859-AF24-47E3-ABCF-CD93FBC08079}"/>
      <dgm:spPr/>
    </dgm:pt>
  </dgm:ptLst>
  <dgm:cxnLst>
    <dgm:cxn presId="urn:microsoft.com/office/officeart/2005/8/layout/orgChart1" destOrd="0" srcOrd="0" destId="{9319A75D-E06F-4530-B4D0-2C455069B6BF}" srcId="{CDE5DECA-7601-4323-96E3-D25D1930B00A}" type="presOf" modelId="{17CAFFE6-D2A3-4F81-808E-D2150A1E4BA1}"/>
    <dgm:cxn presId="urn:microsoft.com/office/officeart/2005/8/layout/orgChart1" destOrd="0" srcOrd="0" destId="{F06DAF15-3505-4C2B-9D5E-8768B57ACC2A}" srcId="{B83C949C-EB04-448D-AC1B-701737921F4E}" type="presOf" modelId="{13D86206-4112-4721-8B11-96F0CE4BC89D}"/>
    <dgm:cxn presId="urn:microsoft.com/office/officeart/2005/8/layout/orgChart1" destOrd="0" srcOrd="1" destId="{152C90C3-4831-4393-A306-9CBBFCFA8124}" srcId="{1B18E219-1CFA-4750-8274-3A0D52DB6174}" type="presOf" modelId="{98E893DD-CD66-451F-94F1-9C5539E50B05}"/>
    <dgm:cxn presId="urn:microsoft.com/office/officeart/2005/8/layout/orgChart1" destOrd="0" srcOrd="1" destId="{443128F8-AA70-4FE4-ADB9-C608B3A0C475}" srcId="{16903579-B916-44D2-A26C-B9453BD59C8C}" type="presOf" modelId="{6376CCC7-CA00-4753-BC93-98D0E9DA1F01}"/>
    <dgm:cxn presId="urn:microsoft.com/office/officeart/2005/8/layout/orgChart1" destOrd="0" srcOrd="0" destId="{82C1EA90-788F-4395-947E-1F116D69D9E9}" srcId="{DF92BA71-F321-4FDC-A62F-DA086DDFC11A}" type="presOf" modelId="{9FAB78AC-16DE-4CA5-A071-0503A2713A19}"/>
    <dgm:cxn presId="urn:microsoft.com/office/officeart/2005/8/layout/orgChart1" destOrd="0" srcOrd="0" destId="{5E261A4B-46B9-4992-8FEA-F539BEFA5005}" srcId="{1B18E219-1CFA-4750-8274-3A0D52DB6174}" type="presOf" modelId="{F79D902E-DE23-4040-8B0D-BD51B0457C74}"/>
    <dgm:cxn presId="urn:microsoft.com/office/officeart/2005/8/layout/orgChart1" destOrd="0" srcOrd="0" destId="{7EEB9DB7-FB66-4089-BE03-B6AAF8C4844F}" srcId="{848DA5BE-67A6-4B53-9B68-35597980999C}" type="presOf" modelId="{A255AB7E-F51D-403F-AC90-A45471166905}"/>
    <dgm:cxn sibTransId="{CA3B3B62-B121-4AE4-8F93-3950DFD1F17D}" parTransId="{37A39E36-9F9F-4AAB-9598-9E1E9B72799C}" destOrd="0" srcOrd="1" destId="{B83C949C-EB04-448D-AC1B-701737921F4E}" srcId="{6A72E13B-C4BF-497B-8327-247883C283BB}" modelId="{079D5BCD-F106-40DB-BD8E-77E51FB98C1E}"/>
    <dgm:cxn presId="urn:microsoft.com/office/officeart/2005/8/layout/orgChart1" destOrd="0" srcOrd="1" destId="{675BD9C7-7202-4085-BE78-53C97FCD758D}" srcId="{11D60859-AF24-47E3-ABCF-CD93FBC08079}" type="presOf" modelId="{01C23FE6-9122-4107-AAE1-29642ACEE0C7}"/>
    <dgm:cxn sibTransId="{59C702DF-3FEB-47A9-8479-B2880A17E730}" parTransId="{0C5BB835-75FC-480E-9413-F59AF755505C}" destOrd="0" srcOrd="3" destId="{11D60859-AF24-47E3-ABCF-CD93FBC08079}" srcId="{6A72E13B-C4BF-497B-8327-247883C283BB}" modelId="{8E8BFC43-DF2D-425E-94F4-890410A890BF}"/>
    <dgm:cxn presId="urn:microsoft.com/office/officeart/2005/8/layout/orgChart1" destOrd="0" srcOrd="0" destId="{3E76AD53-5613-4B2C-912F-CC34FAD9D492}" srcId="{11D60859-AF24-47E3-ABCF-CD93FBC08079}" type="presOf" modelId="{1FA646C0-733F-44EF-B37C-7026D20900DB}"/>
    <dgm:cxn presId="urn:microsoft.com/office/officeart/2005/8/layout/orgChart1" destOrd="0" srcOrd="0" destId="{18892BA3-4ED2-46AC-9307-BE60403BD03A}" srcId="{37A39E36-9F9F-4AAB-9598-9E1E9B72799C}" type="presOf" modelId="{2D2AFFF7-2062-4AC1-9B9A-5C8A32EFCDEA}"/>
    <dgm:cxn sibTransId="{6FB29261-64E0-4B05-B9C2-A22A7580B3AE}" parTransId="{E03E60E3-FBF4-4A20-9463-57ECE3D2AECB}" destOrd="0" srcOrd="0" destId="{6A72E13B-C4BF-497B-8327-247883C283BB}" srcId="{CDE5DECA-7601-4323-96E3-D25D1930B00A}" modelId="{8C94A1F1-1F6A-466D-88F0-4B6839AAD77A}"/>
    <dgm:cxn presId="urn:microsoft.com/office/officeart/2005/8/layout/orgChart1" destOrd="0" srcOrd="0" destId="{A9BC4C66-87DD-465B-A63F-B4D09863D06C}" srcId="{0C5BB835-75FC-480E-9413-F59AF755505C}" type="presOf" modelId="{1FB3F24D-A465-4BD2-9AF6-37C190B4767A}"/>
    <dgm:cxn sibTransId="{2E739F38-46D9-4157-8990-D7336776B30F}" parTransId="{DF92BA71-F321-4FDC-A62F-DA086DDFC11A}" destOrd="0" srcOrd="0" destId="{16903579-B916-44D2-A26C-B9453BD59C8C}" srcId="{6A72E13B-C4BF-497B-8327-247883C283BB}" modelId="{A9C44070-AB9E-43A1-BDB8-051A6235A4EE}"/>
    <dgm:cxn presId="urn:microsoft.com/office/officeart/2005/8/layout/orgChart1" destOrd="0" srcOrd="0" destId="{C1FB4E5E-C400-4581-97C4-C20888DEF4C8}" srcId="{6A72E13B-C4BF-497B-8327-247883C283BB}" type="presOf" modelId="{ED6BBC35-85E5-496B-827E-13290C14F05F}"/>
    <dgm:cxn presId="urn:microsoft.com/office/officeart/2005/8/layout/orgChart1" destOrd="0" srcOrd="1" destId="{A12D7C68-A0C2-4B01-9554-0CCD02D9B42A}" srcId="{6A72E13B-C4BF-497B-8327-247883C283BB}" type="presOf" modelId="{CA15FE4A-CF93-473A-9EF5-132D311C0F43}"/>
    <dgm:cxn presId="urn:microsoft.com/office/officeart/2005/8/layout/orgChart1" destOrd="0" srcOrd="1" destId="{E2F95B8B-F984-4C6B-A64E-3DF07D38CB46}" srcId="{B83C949C-EB04-448D-AC1B-701737921F4E}" type="presOf" modelId="{A9B5CCB4-89A1-4004-BB7E-FA233701FD17}"/>
    <dgm:cxn sibTransId="{5CD20CEE-B895-4549-854D-97739F71ADFA}" parTransId="{848DA5BE-67A6-4B53-9B68-35597980999C}" destOrd="0" srcOrd="2" destId="{1B18E219-1CFA-4750-8274-3A0D52DB6174}" srcId="{6A72E13B-C4BF-497B-8327-247883C283BB}" modelId="{F911C01D-D56F-4FF9-9FA5-239EE524FCF7}"/>
    <dgm:cxn presId="urn:microsoft.com/office/officeart/2005/8/layout/orgChart1" destOrd="0" srcOrd="0" destId="{56BD098D-22D0-4F87-A266-2C9298E8F600}" srcId="{16903579-B916-44D2-A26C-B9453BD59C8C}" type="presOf" modelId="{FDC413F7-EB30-4589-9C71-DC5CFEA199F8}"/>
    <dgm:cxn presId="urn:microsoft.com/office/officeart/2005/8/layout/orgChart1" destOrd="0" srcOrd="0" destId="{75E8BE94-0ACA-4C71-9C9D-C00B3DE37986}" srcId="{9319A75D-E06F-4530-B4D0-2C455069B6BF}" type="presParOf" modelId="{A6DBC81B-DA18-4461-B708-BC7C71D09FAA}"/>
    <dgm:cxn presId="urn:microsoft.com/office/officeart/2005/8/layout/orgChart1" destOrd="0" srcOrd="0" destId="{6023BC91-8115-4A86-90FC-B66B1DBEAEAD}" srcId="{75E8BE94-0ACA-4C71-9C9D-C00B3DE37986}" type="presParOf" modelId="{C05A85B2-CD61-490D-BDFB-FD51E7EA0B99}"/>
    <dgm:cxn presId="urn:microsoft.com/office/officeart/2005/8/layout/orgChart1" destOrd="0" srcOrd="0" destId="{C1FB4E5E-C400-4581-97C4-C20888DEF4C8}" srcId="{6023BC91-8115-4A86-90FC-B66B1DBEAEAD}" type="presParOf" modelId="{C1C4D949-2D71-4ECC-9F2B-31D2BF955D74}"/>
    <dgm:cxn presId="urn:microsoft.com/office/officeart/2005/8/layout/orgChart1" destOrd="0" srcOrd="1" destId="{A12D7C68-A0C2-4B01-9554-0CCD02D9B42A}" srcId="{6023BC91-8115-4A86-90FC-B66B1DBEAEAD}" type="presParOf" modelId="{B590DF37-5FFA-408B-80E6-32193FE5E115}"/>
    <dgm:cxn presId="urn:microsoft.com/office/officeart/2005/8/layout/orgChart1" destOrd="0" srcOrd="1" destId="{92BC194E-8F03-443A-8E37-852EA94D2159}" srcId="{75E8BE94-0ACA-4C71-9C9D-C00B3DE37986}" type="presParOf" modelId="{2E7A9172-4DA7-4557-A52E-9A2E2B74BC53}"/>
    <dgm:cxn presId="urn:microsoft.com/office/officeart/2005/8/layout/orgChart1" destOrd="0" srcOrd="0" destId="{82C1EA90-788F-4395-947E-1F116D69D9E9}" srcId="{92BC194E-8F03-443A-8E37-852EA94D2159}" type="presParOf" modelId="{A855411C-6027-4D2C-A439-51F2C5CB2D8F}"/>
    <dgm:cxn presId="urn:microsoft.com/office/officeart/2005/8/layout/orgChart1" destOrd="0" srcOrd="1" destId="{45132448-706A-4D45-ABA5-B05088A1C3C0}" srcId="{92BC194E-8F03-443A-8E37-852EA94D2159}" type="presParOf" modelId="{0E1D02B7-0EA5-4707-9A22-C1BAA90B1A2E}"/>
    <dgm:cxn presId="urn:microsoft.com/office/officeart/2005/8/layout/orgChart1" destOrd="0" srcOrd="0" destId="{CE31E106-9E1B-4EBF-AACF-4609F00F3686}" srcId="{45132448-706A-4D45-ABA5-B05088A1C3C0}" type="presParOf" modelId="{3DA33184-5B35-4DB2-AE46-6C64DCBB2D49}"/>
    <dgm:cxn presId="urn:microsoft.com/office/officeart/2005/8/layout/orgChart1" destOrd="0" srcOrd="0" destId="{56BD098D-22D0-4F87-A266-2C9298E8F600}" srcId="{CE31E106-9E1B-4EBF-AACF-4609F00F3686}" type="presParOf" modelId="{079EAB0E-99A6-48FA-9DEE-1CE85B34E05D}"/>
    <dgm:cxn presId="urn:microsoft.com/office/officeart/2005/8/layout/orgChart1" destOrd="0" srcOrd="1" destId="{443128F8-AA70-4FE4-ADB9-C608B3A0C475}" srcId="{CE31E106-9E1B-4EBF-AACF-4609F00F3686}" type="presParOf" modelId="{C98BDF99-3EF1-4B93-9773-95236C4DBFC3}"/>
    <dgm:cxn presId="urn:microsoft.com/office/officeart/2005/8/layout/orgChart1" destOrd="0" srcOrd="1" destId="{95BCF027-235C-4FA1-9049-89BC58FBAFB7}" srcId="{45132448-706A-4D45-ABA5-B05088A1C3C0}" type="presParOf" modelId="{CE663FF2-8003-48BB-B536-3B4675ED7055}"/>
    <dgm:cxn presId="urn:microsoft.com/office/officeart/2005/8/layout/orgChart1" destOrd="0" srcOrd="2" destId="{85D7A62A-87F2-42A0-8518-B4A1C5BE8E76}" srcId="{45132448-706A-4D45-ABA5-B05088A1C3C0}" type="presParOf" modelId="{D9A6918A-F3EC-4E94-92A0-8A8A698941BF}"/>
    <dgm:cxn presId="urn:microsoft.com/office/officeart/2005/8/layout/orgChart1" destOrd="0" srcOrd="2" destId="{18892BA3-4ED2-46AC-9307-BE60403BD03A}" srcId="{92BC194E-8F03-443A-8E37-852EA94D2159}" type="presParOf" modelId="{90E2E931-9664-4E1A-9E0C-3DF520E129C6}"/>
    <dgm:cxn presId="urn:microsoft.com/office/officeart/2005/8/layout/orgChart1" destOrd="0" srcOrd="3" destId="{E66B556D-5B42-411D-95EC-99E2FB4AD126}" srcId="{92BC194E-8F03-443A-8E37-852EA94D2159}" type="presParOf" modelId="{3373E49B-EAB1-4A99-96B5-F4F4E5077E17}"/>
    <dgm:cxn presId="urn:microsoft.com/office/officeart/2005/8/layout/orgChart1" destOrd="0" srcOrd="0" destId="{B82E9111-4AA1-4B0E-8E64-624EB8B08320}" srcId="{E66B556D-5B42-411D-95EC-99E2FB4AD126}" type="presParOf" modelId="{57C91793-4BF7-4376-A626-76C2966F152C}"/>
    <dgm:cxn presId="urn:microsoft.com/office/officeart/2005/8/layout/orgChart1" destOrd="0" srcOrd="0" destId="{F06DAF15-3505-4C2B-9D5E-8768B57ACC2A}" srcId="{B82E9111-4AA1-4B0E-8E64-624EB8B08320}" type="presParOf" modelId="{9EF77BC8-E8D6-4887-B223-3350B453D6DB}"/>
    <dgm:cxn presId="urn:microsoft.com/office/officeart/2005/8/layout/orgChart1" destOrd="0" srcOrd="1" destId="{E2F95B8B-F984-4C6B-A64E-3DF07D38CB46}" srcId="{B82E9111-4AA1-4B0E-8E64-624EB8B08320}" type="presParOf" modelId="{840B3571-2D6B-4334-A77F-A52D60F0038C}"/>
    <dgm:cxn presId="urn:microsoft.com/office/officeart/2005/8/layout/orgChart1" destOrd="0" srcOrd="1" destId="{0F3A43D7-22D8-4040-AE6D-FA9EDF279C29}" srcId="{E66B556D-5B42-411D-95EC-99E2FB4AD126}" type="presParOf" modelId="{FF6BE73D-E1EA-4F1B-8A83-6955CC7521B0}"/>
    <dgm:cxn presId="urn:microsoft.com/office/officeart/2005/8/layout/orgChart1" destOrd="0" srcOrd="2" destId="{BACE85C7-45FF-42D9-85A2-410D9513B367}" srcId="{E66B556D-5B42-411D-95EC-99E2FB4AD126}" type="presParOf" modelId="{51461D38-3D12-406C-8AD8-065D788D5DB4}"/>
    <dgm:cxn presId="urn:microsoft.com/office/officeart/2005/8/layout/orgChart1" destOrd="0" srcOrd="4" destId="{7EEB9DB7-FB66-4089-BE03-B6AAF8C4844F}" srcId="{92BC194E-8F03-443A-8E37-852EA94D2159}" type="presParOf" modelId="{809BE0D6-68F9-4170-9243-BFC5B495A1E4}"/>
    <dgm:cxn presId="urn:microsoft.com/office/officeart/2005/8/layout/orgChart1" destOrd="0" srcOrd="5" destId="{B0DE21BD-8011-46E0-8DC1-824AF4902EA9}" srcId="{92BC194E-8F03-443A-8E37-852EA94D2159}" type="presParOf" modelId="{C951AEB9-E835-4AD1-9074-D3B7E65BC94C}"/>
    <dgm:cxn presId="urn:microsoft.com/office/officeart/2005/8/layout/orgChart1" destOrd="0" srcOrd="0" destId="{2BD20D90-CC6F-464F-961E-66E8406E79A4}" srcId="{B0DE21BD-8011-46E0-8DC1-824AF4902EA9}" type="presParOf" modelId="{8876E40A-B6BD-458F-8274-A93E179DC5F6}"/>
    <dgm:cxn presId="urn:microsoft.com/office/officeart/2005/8/layout/orgChart1" destOrd="0" srcOrd="0" destId="{5E261A4B-46B9-4992-8FEA-F539BEFA5005}" srcId="{2BD20D90-CC6F-464F-961E-66E8406E79A4}" type="presParOf" modelId="{FD8AB508-4AB1-4E84-B017-710404679217}"/>
    <dgm:cxn presId="urn:microsoft.com/office/officeart/2005/8/layout/orgChart1" destOrd="0" srcOrd="1" destId="{152C90C3-4831-4393-A306-9CBBFCFA8124}" srcId="{2BD20D90-CC6F-464F-961E-66E8406E79A4}" type="presParOf" modelId="{43DF19C3-70AF-4E30-9CC4-C46C6290F5E8}"/>
    <dgm:cxn presId="urn:microsoft.com/office/officeart/2005/8/layout/orgChart1" destOrd="0" srcOrd="1" destId="{4ECA0E0E-8392-43A7-8465-CF6934785E64}" srcId="{B0DE21BD-8011-46E0-8DC1-824AF4902EA9}" type="presParOf" modelId="{21948DE5-4F0D-4A72-8B55-89B5C3D8ECEF}"/>
    <dgm:cxn presId="urn:microsoft.com/office/officeart/2005/8/layout/orgChart1" destOrd="0" srcOrd="2" destId="{1CE543F2-D178-445F-826E-B036D820D9AA}" srcId="{B0DE21BD-8011-46E0-8DC1-824AF4902EA9}" type="presParOf" modelId="{D9577E3E-9FAC-444D-83EB-05DE9B307ED5}"/>
    <dgm:cxn presId="urn:microsoft.com/office/officeart/2005/8/layout/orgChart1" destOrd="0" srcOrd="2" destId="{A6174BB3-F05F-49CD-8206-B80D88AE512F}" srcId="{75E8BE94-0ACA-4C71-9C9D-C00B3DE37986}" type="presParOf" modelId="{7BAC1734-24C2-472E-AF43-4971706D1BCD}"/>
    <dgm:cxn presId="urn:microsoft.com/office/officeart/2005/8/layout/orgChart1" destOrd="0" srcOrd="0" destId="{A9BC4C66-87DD-465B-A63F-B4D09863D06C}" srcId="{A6174BB3-F05F-49CD-8206-B80D88AE512F}" type="presParOf" modelId="{2512A38F-67F9-44C4-9B82-C379BB9D2D6F}"/>
    <dgm:cxn presId="urn:microsoft.com/office/officeart/2005/8/layout/orgChart1" destOrd="0" srcOrd="1" destId="{664F1E6C-FE63-40FD-BEF8-87D9779B58AC}" srcId="{A6174BB3-F05F-49CD-8206-B80D88AE512F}" type="presParOf" modelId="{4B5EC6CA-B1BC-4668-A194-3DB1FC62D6E0}"/>
    <dgm:cxn presId="urn:microsoft.com/office/officeart/2005/8/layout/orgChart1" destOrd="0" srcOrd="0" destId="{5420B198-5DDC-4928-81D5-B5F51C591351}" srcId="{664F1E6C-FE63-40FD-BEF8-87D9779B58AC}" type="presParOf" modelId="{65BB1AEA-AF56-41D3-B6B9-4E7C893F1E7C}"/>
    <dgm:cxn presId="urn:microsoft.com/office/officeart/2005/8/layout/orgChart1" destOrd="0" srcOrd="0" destId="{3E76AD53-5613-4B2C-912F-CC34FAD9D492}" srcId="{5420B198-5DDC-4928-81D5-B5F51C591351}" type="presParOf" modelId="{8A258574-C15B-4209-8AAA-F4102846E9A7}"/>
    <dgm:cxn presId="urn:microsoft.com/office/officeart/2005/8/layout/orgChart1" destOrd="0" srcOrd="1" destId="{675BD9C7-7202-4085-BE78-53C97FCD758D}" srcId="{5420B198-5DDC-4928-81D5-B5F51C591351}" type="presParOf" modelId="{C2DB594B-66CC-444C-97B7-961D17D04009}"/>
    <dgm:cxn presId="urn:microsoft.com/office/officeart/2005/8/layout/orgChart1" destOrd="0" srcOrd="1" destId="{885C4CAE-297B-4FBE-8080-CB8B9D115D04}" srcId="{664F1E6C-FE63-40FD-BEF8-87D9779B58AC}" type="presParOf" modelId="{5149E4F5-41D4-4E14-84D0-F7A35A77CE00}"/>
    <dgm:cxn presId="urn:microsoft.com/office/officeart/2005/8/layout/orgChart1" destOrd="0" srcOrd="2" destId="{F5C4CCBE-C32E-42DF-9301-3D104DADD2E8}" srcId="{664F1E6C-FE63-40FD-BEF8-87D9779B58AC}" type="presParOf" modelId="{9FA55775-A6CA-40FD-A2DC-B9C92B7E9BBD}"/>
  </dgm:cxnLst>
  <dgm:bg/>
  <dgm:whole/>
  <dgm:extLst>
    <a:ext uri="http://schemas.microsoft.com/office/drawing/2008/diagram">
      <dsp:dataModelExt minVer="http://schemas.openxmlformats.org/drawingml/2006/diagram" relId="rId35"/>
    </a:ext>
  </dgm:extLst>
</dgm:dataModel>
</file>

<file path=word/diagrams/drawing1.xml><?xml version="1.0" encoding="utf-8"?>
<dsp:draw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dsp:spTree>
    <dsp:nvGrpSpPr>
      <dsp:cNvPr name="" id="0"/>
      <dsp:cNvGrpSpPr/>
    </dsp:nvGrpSpPr>
    <dsp:grpSpPr/>
    <dsp:sp modelId="{A9BC4C66-87DD-465B-A63F-B4D09863D06C}">
      <dsp:nvSpPr>
        <dsp:cNvPr name="" id="0"/>
        <dsp:cNvSpPr/>
      </dsp:nvSpPr>
      <dsp:spPr>
        <a:xfrm>
          <a:off y="1114015" x="4233431"/>
          <a:ext cy="957675" cx="338568"/>
        </a:xfrm>
        <a:custGeom>
          <a:avLst/>
          <a:gdLst/>
          <a:ahLst/>
          <a:cxnLst/>
          <a:rect b="0" r="0" t="0" l="0"/>
          <a:pathLst>
            <a:path>
              <a:moveTo>
                <a:pt y="0" x="338568"/>
              </a:moveTo>
              <a:lnTo>
                <a:pt y="957675" x="338568"/>
              </a:lnTo>
              <a:lnTo>
                <a:pt y="957675" x="0"/>
              </a:lnTo>
            </a:path>
          </a:pathLst>
        </a:custGeom>
        <a:noFill/>
        <a:ln algn="ctr" cmpd="sng" cap="flat" w="9525">
          <a:solidFill>
            <a:schemeClr val="accent4">
              <a:tint val="90000"/>
              <a:hueOff val="0"/>
              <a:satOff val="0"/>
              <a:lumOff val="0"/>
              <a:alphaOff val="0"/>
            </a:schemeClr>
          </a:solidFill>
          <a:prstDash val="solid"/>
        </a:ln>
        <a:effectLst/>
      </dsp:spPr>
      <dsp:style>
        <a:lnRef idx="1">
          <a:scrgbClr b="0" g="0" r="0"/>
        </a:lnRef>
        <a:fillRef idx="0">
          <a:scrgbClr b="0" g="0" r="0"/>
        </a:fillRef>
        <a:effectRef idx="0">
          <a:scrgbClr b="0" g="0" r="0"/>
        </a:effectRef>
        <a:fontRef idx="minor"/>
      </dsp:style>
    </dsp:sp>
    <dsp:sp modelId="{7EEB9DB7-FB66-4089-BE03-B6AAF8C4844F}">
      <dsp:nvSpPr>
        <dsp:cNvPr name="" id="0"/>
        <dsp:cNvSpPr/>
      </dsp:nvSpPr>
      <dsp:spPr>
        <a:xfrm>
          <a:off y="1114015" x="4572000"/>
          <a:ext cy="2048693" cx="2694477"/>
        </a:xfrm>
        <a:custGeom>
          <a:avLst/>
          <a:gdLst/>
          <a:ahLst/>
          <a:cxnLst/>
          <a:rect b="0" r="0" t="0" l="0"/>
          <a:pathLst>
            <a:path>
              <a:moveTo>
                <a:pt y="0" x="0"/>
              </a:moveTo>
              <a:lnTo>
                <a:pt y="1814875" x="0"/>
              </a:lnTo>
              <a:lnTo>
                <a:pt y="1814875" x="2694477"/>
              </a:lnTo>
              <a:lnTo>
                <a:pt y="2048693" x="2694477"/>
              </a:lnTo>
            </a:path>
          </a:pathLst>
        </a:custGeom>
        <a:noFill/>
        <a:ln algn="ctr" cmpd="sng" cap="flat" w="9525">
          <a:solidFill>
            <a:schemeClr val="accent4">
              <a:tint val="90000"/>
              <a:hueOff val="0"/>
              <a:satOff val="0"/>
              <a:lumOff val="0"/>
              <a:alphaOff val="0"/>
            </a:schemeClr>
          </a:solidFill>
          <a:prstDash val="solid"/>
        </a:ln>
        <a:effectLst/>
      </dsp:spPr>
      <dsp:style>
        <a:lnRef idx="1">
          <a:scrgbClr b="0" g="0" r="0"/>
        </a:lnRef>
        <a:fillRef idx="0">
          <a:scrgbClr b="0" g="0" r="0"/>
        </a:fillRef>
        <a:effectRef idx="0">
          <a:scrgbClr b="0" g="0" r="0"/>
        </a:effectRef>
        <a:fontRef idx="minor"/>
      </dsp:style>
    </dsp:sp>
    <dsp:sp modelId="{18892BA3-4ED2-46AC-9307-BE60403BD03A}">
      <dsp:nvSpPr>
        <dsp:cNvPr name="" id="0"/>
        <dsp:cNvSpPr/>
      </dsp:nvSpPr>
      <dsp:spPr>
        <a:xfrm>
          <a:off y="1114015" x="4526280"/>
          <a:ext cy="2048693" cx="91440"/>
        </a:xfrm>
        <a:custGeom>
          <a:avLst/>
          <a:gdLst/>
          <a:ahLst/>
          <a:cxnLst/>
          <a:rect b="0" r="0" t="0" l="0"/>
          <a:pathLst>
            <a:path>
              <a:moveTo>
                <a:pt y="0" x="45720"/>
              </a:moveTo>
              <a:lnTo>
                <a:pt y="2048693" x="45720"/>
              </a:lnTo>
            </a:path>
          </a:pathLst>
        </a:custGeom>
        <a:noFill/>
        <a:ln algn="ctr" cmpd="sng" cap="flat" w="9525">
          <a:solidFill>
            <a:schemeClr val="accent4">
              <a:tint val="90000"/>
              <a:hueOff val="0"/>
              <a:satOff val="0"/>
              <a:lumOff val="0"/>
              <a:alphaOff val="0"/>
            </a:schemeClr>
          </a:solidFill>
          <a:prstDash val="solid"/>
        </a:ln>
        <a:effectLst/>
      </dsp:spPr>
      <dsp:style>
        <a:lnRef idx="1">
          <a:scrgbClr b="0" g="0" r="0"/>
        </a:lnRef>
        <a:fillRef idx="0">
          <a:scrgbClr b="0" g="0" r="0"/>
        </a:fillRef>
        <a:effectRef idx="0">
          <a:scrgbClr b="0" g="0" r="0"/>
        </a:effectRef>
        <a:fontRef idx="minor"/>
      </dsp:style>
    </dsp:sp>
    <dsp:sp modelId="{82C1EA90-788F-4395-947E-1F116D69D9E9}">
      <dsp:nvSpPr>
        <dsp:cNvPr name="" id="0"/>
        <dsp:cNvSpPr/>
      </dsp:nvSpPr>
      <dsp:spPr>
        <a:xfrm>
          <a:off y="1114015" x="1887053"/>
          <a:ext cy="2049288" cx="2684946"/>
        </a:xfrm>
        <a:custGeom>
          <a:avLst/>
          <a:gdLst/>
          <a:ahLst/>
          <a:cxnLst/>
          <a:rect b="0" r="0" t="0" l="0"/>
          <a:pathLst>
            <a:path>
              <a:moveTo>
                <a:pt y="0" x="2684946"/>
              </a:moveTo>
              <a:lnTo>
                <a:pt y="1815470" x="2684946"/>
              </a:lnTo>
              <a:lnTo>
                <a:pt y="1815470" x="0"/>
              </a:lnTo>
              <a:lnTo>
                <a:pt y="2049288" x="0"/>
              </a:lnTo>
            </a:path>
          </a:pathLst>
        </a:custGeom>
        <a:noFill/>
        <a:ln algn="ctr" cmpd="sng" cap="flat" w="9525">
          <a:solidFill>
            <a:schemeClr val="accent4">
              <a:tint val="90000"/>
              <a:hueOff val="0"/>
              <a:satOff val="0"/>
              <a:lumOff val="0"/>
              <a:alphaOff val="0"/>
            </a:schemeClr>
          </a:solidFill>
          <a:prstDash val="solid"/>
        </a:ln>
        <a:effectLst/>
      </dsp:spPr>
      <dsp:style>
        <a:lnRef idx="1">
          <a:scrgbClr b="0" g="0" r="0"/>
        </a:lnRef>
        <a:fillRef idx="0">
          <a:scrgbClr b="0" g="0" r="0"/>
        </a:fillRef>
        <a:effectRef idx="0">
          <a:scrgbClr b="0" g="0" r="0"/>
        </a:effectRef>
        <a:fontRef idx="minor"/>
      </dsp:style>
    </dsp:sp>
    <dsp:sp modelId="{C1FB4E5E-C400-4581-97C4-C20888DEF4C8}">
      <dsp:nvSpPr>
        <dsp:cNvPr name="" id="0"/>
        <dsp:cNvSpPr/>
      </dsp:nvSpPr>
      <dsp:spPr>
        <a:xfrm>
          <a:off y="595" x="3458579"/>
          <a:ext cy="1113420" cx="2226840"/>
        </a:xfrm>
        <a:prstGeom prst="rect">
          <a:avLst/>
        </a:prstGeom>
        <a:gradFill rotWithShape="false">
          <a:gsLst>
            <a:gs pos="0">
              <a:schemeClr val="accent4">
                <a:alpha val="80000"/>
                <a:hueOff val="0"/>
                <a:satOff val="0"/>
                <a:lumOff val="0"/>
                <a:alphaOff val="0"/>
                <a:shade val="51000"/>
                <a:satMod val="130000"/>
              </a:schemeClr>
            </a:gs>
            <a:gs pos="80000">
              <a:schemeClr val="accent4">
                <a:alpha val="80000"/>
                <a:hueOff val="0"/>
                <a:satOff val="0"/>
                <a:lumOff val="0"/>
                <a:alphaOff val="0"/>
                <a:shade val="93000"/>
                <a:satMod val="130000"/>
              </a:schemeClr>
            </a:gs>
            <a:gs pos="100000">
              <a:schemeClr val="accent4">
                <a:alpha val="80000"/>
                <a:hueOff val="0"/>
                <a:satOff val="0"/>
                <a:lumOff val="0"/>
                <a:alphaOff val="0"/>
                <a:shade val="94000"/>
                <a:satMod val="135000"/>
              </a:schemeClr>
            </a:gs>
          </a:gsLst>
          <a:lin scaled="false" ang="16200000"/>
        </a:gradFill>
        <a:ln>
          <a:noFill/>
        </a:ln>
        <a:effectLst>
          <a:outerShdw rotWithShape="false" dir="5400000" dist="23000" blurRad="40000">
            <a:srgbClr val="000000">
              <a:alpha val="35000"/>
            </a:srgbClr>
          </a:outerShdw>
        </a:effectLst>
      </dsp:spPr>
      <dsp:style>
        <a:lnRef idx="0">
          <a:scrgbClr b="0" g="0" r="0"/>
        </a:lnRef>
        <a:fillRef idx="3">
          <a:scrgbClr b="0" g="0" r="0"/>
        </a:fillRef>
        <a:effectRef idx="2">
          <a:scrgbClr b="0" g="0" r="0"/>
        </a:effectRef>
        <a:fontRef idx="minor">
          <a:schemeClr val="lt1"/>
        </a:fontRef>
      </dsp:style>
      <dsp:txBody>
        <a:bodyPr anchorCtr="false" anchor="ctr" spcCol="1270" numCol="1" bIns="7620" rIns="7620" tIns="7620" lIns="7620" wrap="square" vert="horz" spcFirstLastPara="false">
          <a:noAutofit/>
        </a:bodyPr>
        <a:lstStyle/>
        <a:p>
          <a:pPr defTabSz="533400" algn="ctr" lvl="0">
            <a:lnSpc>
              <a:spcPct val="90000"/>
            </a:lnSpc>
            <a:spcBef>
              <a:spcPct val="0"/>
            </a:spcBef>
            <a:spcAft>
              <a:spcPct val="35000"/>
            </a:spcAft>
          </a:pPr>
          <a:r>
            <a:rPr kern="1200" sz="1200" lang="hr-HR">
              <a:latin charset="0" pitchFamily="18" typeface="Times New Roman"/>
              <a:cs charset="0" pitchFamily="18" typeface="Times New Roman"/>
            </a:rPr>
            <a:t>Direktor</a:t>
          </a:r>
        </a:p>
        <a:p>
          <a:pPr defTabSz="533400" algn="ctr" lvl="0">
            <a:lnSpc>
              <a:spcPct val="90000"/>
            </a:lnSpc>
            <a:spcBef>
              <a:spcPct val="0"/>
            </a:spcBef>
            <a:spcAft>
              <a:spcPct val="35000"/>
            </a:spcAft>
          </a:pPr>
          <a:r>
            <a:rPr kern="1200" sz="1200" lang="hr-HR">
              <a:latin charset="0" pitchFamily="18" typeface="Times New Roman"/>
              <a:cs charset="0" pitchFamily="18" typeface="Times New Roman"/>
            </a:rPr>
            <a:t> (1 zaposleni)</a:t>
          </a:r>
        </a:p>
        <a:p>
          <a:pPr defTabSz="533400" algn="ctr" lvl="0">
            <a:lnSpc>
              <a:spcPct val="90000"/>
            </a:lnSpc>
            <a:spcBef>
              <a:spcPct val="0"/>
            </a:spcBef>
            <a:spcAft>
              <a:spcPct val="35000"/>
            </a:spcAft>
          </a:pPr>
          <a:endParaRPr kern="1200" sz="1200" lang="hr-HR">
            <a:latin charset="0" pitchFamily="18" typeface="Times New Roman"/>
            <a:cs charset="0" pitchFamily="18" typeface="Times New Roman"/>
          </a:endParaRPr>
        </a:p>
      </dsp:txBody>
      <dsp:txXfrm>
        <a:off y="595" x="3458579"/>
        <a:ext cy="1113420" cx="2226840"/>
      </dsp:txXfrm>
    </dsp:sp>
    <dsp:sp modelId="{56BD098D-22D0-4F87-A266-2C9298E8F600}">
      <dsp:nvSpPr>
        <dsp:cNvPr name="" id="0"/>
        <dsp:cNvSpPr/>
      </dsp:nvSpPr>
      <dsp:spPr>
        <a:xfrm>
          <a:off y="3163304" x="773633"/>
          <a:ext cy="1113420" cx="2226840"/>
        </a:xfrm>
        <a:prstGeom prst="rect">
          <a:avLst/>
        </a:prstGeom>
        <a:gradFill rotWithShape="false">
          <a:gsLst>
            <a:gs pos="0">
              <a:schemeClr val="accent4">
                <a:alpha val="70000"/>
                <a:hueOff val="0"/>
                <a:satOff val="0"/>
                <a:lumOff val="0"/>
                <a:alphaOff val="0"/>
                <a:shade val="51000"/>
                <a:satMod val="130000"/>
              </a:schemeClr>
            </a:gs>
            <a:gs pos="80000">
              <a:schemeClr val="accent4">
                <a:alpha val="70000"/>
                <a:hueOff val="0"/>
                <a:satOff val="0"/>
                <a:lumOff val="0"/>
                <a:alphaOff val="0"/>
                <a:shade val="93000"/>
                <a:satMod val="130000"/>
              </a:schemeClr>
            </a:gs>
            <a:gs pos="100000">
              <a:schemeClr val="accent4">
                <a:alpha val="70000"/>
                <a:hueOff val="0"/>
                <a:satOff val="0"/>
                <a:lumOff val="0"/>
                <a:alphaOff val="0"/>
                <a:shade val="94000"/>
                <a:satMod val="135000"/>
              </a:schemeClr>
            </a:gs>
          </a:gsLst>
          <a:lin scaled="false" ang="16200000"/>
        </a:gradFill>
        <a:ln>
          <a:noFill/>
        </a:ln>
        <a:effectLst>
          <a:outerShdw rotWithShape="false" dir="5400000" dist="23000" blurRad="40000">
            <a:srgbClr val="000000">
              <a:alpha val="35000"/>
            </a:srgbClr>
          </a:outerShdw>
        </a:effectLst>
      </dsp:spPr>
      <dsp:style>
        <a:lnRef idx="0">
          <a:scrgbClr b="0" g="0" r="0"/>
        </a:lnRef>
        <a:fillRef idx="3">
          <a:scrgbClr b="0" g="0" r="0"/>
        </a:fillRef>
        <a:effectRef idx="2">
          <a:scrgbClr b="0" g="0" r="0"/>
        </a:effectRef>
        <a:fontRef idx="minor">
          <a:schemeClr val="lt1"/>
        </a:fontRef>
      </dsp:style>
      <dsp:txBody>
        <a:bodyPr anchorCtr="false" anchor="ctr" spcCol="1270" numCol="1" bIns="7620" rIns="7620" tIns="7620" lIns="7620" wrap="square" vert="horz" spcFirstLastPara="false">
          <a:noAutofit/>
        </a:bodyPr>
        <a:lstStyle/>
        <a:p>
          <a:pPr defTabSz="533400" algn="ctr" lvl="0">
            <a:lnSpc>
              <a:spcPct val="90000"/>
            </a:lnSpc>
            <a:spcBef>
              <a:spcPct val="0"/>
            </a:spcBef>
            <a:spcAft>
              <a:spcPct val="35000"/>
            </a:spcAft>
          </a:pPr>
          <a:r>
            <a:rPr kern="1200" sz="1200" lang="hr-HR">
              <a:latin charset="0" pitchFamily="18" typeface="Times New Roman"/>
              <a:cs charset="0" pitchFamily="18" typeface="Times New Roman"/>
            </a:rPr>
            <a:t>Ratarstvo</a:t>
          </a:r>
        </a:p>
      </dsp:txBody>
      <dsp:txXfrm>
        <a:off y="3163304" x="773633"/>
        <a:ext cy="1113420" cx="2226840"/>
      </dsp:txXfrm>
    </dsp:sp>
    <dsp:sp modelId="{F06DAF15-3505-4C2B-9D5E-8768B57ACC2A}">
      <dsp:nvSpPr>
        <dsp:cNvPr name="" id="0"/>
        <dsp:cNvSpPr/>
      </dsp:nvSpPr>
      <dsp:spPr>
        <a:xfrm>
          <a:off y="3162709" x="3458579"/>
          <a:ext cy="1113420" cx="2226840"/>
        </a:xfrm>
        <a:prstGeom prst="rect">
          <a:avLst/>
        </a:prstGeom>
        <a:gradFill rotWithShape="false">
          <a:gsLst>
            <a:gs pos="0">
              <a:schemeClr val="accent4">
                <a:alpha val="70000"/>
                <a:hueOff val="0"/>
                <a:satOff val="0"/>
                <a:lumOff val="0"/>
                <a:alphaOff val="0"/>
                <a:shade val="51000"/>
                <a:satMod val="130000"/>
              </a:schemeClr>
            </a:gs>
            <a:gs pos="80000">
              <a:schemeClr val="accent4">
                <a:alpha val="70000"/>
                <a:hueOff val="0"/>
                <a:satOff val="0"/>
                <a:lumOff val="0"/>
                <a:alphaOff val="0"/>
                <a:shade val="93000"/>
                <a:satMod val="130000"/>
              </a:schemeClr>
            </a:gs>
            <a:gs pos="100000">
              <a:schemeClr val="accent4">
                <a:alpha val="70000"/>
                <a:hueOff val="0"/>
                <a:satOff val="0"/>
                <a:lumOff val="0"/>
                <a:alphaOff val="0"/>
                <a:shade val="94000"/>
                <a:satMod val="135000"/>
              </a:schemeClr>
            </a:gs>
          </a:gsLst>
          <a:lin scaled="false" ang="16200000"/>
        </a:gradFill>
        <a:ln>
          <a:noFill/>
        </a:ln>
        <a:effectLst>
          <a:outerShdw rotWithShape="false" dir="5400000" dist="23000" blurRad="40000">
            <a:srgbClr val="000000">
              <a:alpha val="35000"/>
            </a:srgbClr>
          </a:outerShdw>
        </a:effectLst>
      </dsp:spPr>
      <dsp:style>
        <a:lnRef idx="0">
          <a:scrgbClr b="0" g="0" r="0"/>
        </a:lnRef>
        <a:fillRef idx="3">
          <a:scrgbClr b="0" g="0" r="0"/>
        </a:fillRef>
        <a:effectRef idx="2">
          <a:scrgbClr b="0" g="0" r="0"/>
        </a:effectRef>
        <a:fontRef idx="minor">
          <a:schemeClr val="lt1"/>
        </a:fontRef>
      </dsp:style>
      <dsp:txBody>
        <a:bodyPr anchorCtr="false" anchor="ctr" spcCol="1270" numCol="1" bIns="7620" rIns="7620" tIns="7620" lIns="7620" wrap="square" vert="horz" spcFirstLastPara="false">
          <a:noAutofit/>
        </a:bodyPr>
        <a:lstStyle/>
        <a:p>
          <a:pPr defTabSz="533400" algn="ctr" lvl="0">
            <a:lnSpc>
              <a:spcPct val="90000"/>
            </a:lnSpc>
            <a:spcBef>
              <a:spcPct val="0"/>
            </a:spcBef>
            <a:spcAft>
              <a:spcPct val="35000"/>
            </a:spcAft>
          </a:pPr>
          <a:r>
            <a:rPr kern="1200" sz="1200" lang="hr-HR">
              <a:latin charset="0" pitchFamily="18" typeface="Times New Roman"/>
              <a:cs charset="0" pitchFamily="18" typeface="Times New Roman"/>
            </a:rPr>
            <a:t>Ovčarstvo</a:t>
          </a:r>
        </a:p>
      </dsp:txBody>
      <dsp:txXfrm>
        <a:off y="3162709" x="3458579"/>
        <a:ext cy="1113420" cx="2226840"/>
      </dsp:txXfrm>
    </dsp:sp>
    <dsp:sp modelId="{5E261A4B-46B9-4992-8FEA-F539BEFA5005}">
      <dsp:nvSpPr>
        <dsp:cNvPr name="" id="0"/>
        <dsp:cNvSpPr/>
      </dsp:nvSpPr>
      <dsp:spPr>
        <a:xfrm>
          <a:off y="3162709" x="6153056"/>
          <a:ext cy="1113420" cx="2226840"/>
        </a:xfrm>
        <a:prstGeom prst="rect">
          <a:avLst/>
        </a:prstGeom>
        <a:gradFill rotWithShape="false">
          <a:gsLst>
            <a:gs pos="0">
              <a:schemeClr val="accent4">
                <a:alpha val="70000"/>
                <a:hueOff val="0"/>
                <a:satOff val="0"/>
                <a:lumOff val="0"/>
                <a:alphaOff val="0"/>
                <a:shade val="51000"/>
                <a:satMod val="130000"/>
              </a:schemeClr>
            </a:gs>
            <a:gs pos="80000">
              <a:schemeClr val="accent4">
                <a:alpha val="70000"/>
                <a:hueOff val="0"/>
                <a:satOff val="0"/>
                <a:lumOff val="0"/>
                <a:alphaOff val="0"/>
                <a:shade val="93000"/>
                <a:satMod val="130000"/>
              </a:schemeClr>
            </a:gs>
            <a:gs pos="100000">
              <a:schemeClr val="accent4">
                <a:alpha val="70000"/>
                <a:hueOff val="0"/>
                <a:satOff val="0"/>
                <a:lumOff val="0"/>
                <a:alphaOff val="0"/>
                <a:shade val="94000"/>
                <a:satMod val="135000"/>
              </a:schemeClr>
            </a:gs>
          </a:gsLst>
          <a:lin scaled="false" ang="16200000"/>
        </a:gradFill>
        <a:ln>
          <a:noFill/>
        </a:ln>
        <a:effectLst>
          <a:outerShdw rotWithShape="false" dir="5400000" dist="23000" blurRad="40000">
            <a:srgbClr val="000000">
              <a:alpha val="35000"/>
            </a:srgbClr>
          </a:outerShdw>
        </a:effectLst>
      </dsp:spPr>
      <dsp:style>
        <a:lnRef idx="0">
          <a:scrgbClr b="0" g="0" r="0"/>
        </a:lnRef>
        <a:fillRef idx="3">
          <a:scrgbClr b="0" g="0" r="0"/>
        </a:fillRef>
        <a:effectRef idx="2">
          <a:scrgbClr b="0" g="0" r="0"/>
        </a:effectRef>
        <a:fontRef idx="minor">
          <a:schemeClr val="lt1"/>
        </a:fontRef>
      </dsp:style>
      <dsp:txBody>
        <a:bodyPr anchorCtr="false" anchor="ctr" spcCol="1270" numCol="1" bIns="7620" rIns="7620" tIns="7620" lIns="7620" wrap="square" vert="horz" spcFirstLastPara="false">
          <a:noAutofit/>
        </a:bodyPr>
        <a:lstStyle/>
        <a:p>
          <a:pPr defTabSz="533400" algn="ctr" lvl="0">
            <a:lnSpc>
              <a:spcPct val="90000"/>
            </a:lnSpc>
            <a:spcBef>
              <a:spcPct val="0"/>
            </a:spcBef>
            <a:spcAft>
              <a:spcPct val="35000"/>
            </a:spcAft>
          </a:pPr>
          <a:r>
            <a:rPr kern="1200" sz="1200" lang="hr-HR">
              <a:latin charset="0" pitchFamily="18" typeface="Times New Roman"/>
              <a:cs charset="0" pitchFamily="18" typeface="Times New Roman"/>
            </a:rPr>
            <a:t>Voćarstvo</a:t>
          </a:r>
        </a:p>
      </dsp:txBody>
      <dsp:txXfrm>
        <a:off y="3162709" x="6153056"/>
        <a:ext cy="1113420" cx="2226840"/>
      </dsp:txXfrm>
    </dsp:sp>
    <dsp:sp modelId="{3E76AD53-5613-4B2C-912F-CC34FAD9D492}">
      <dsp:nvSpPr>
        <dsp:cNvPr name="" id="0"/>
        <dsp:cNvSpPr/>
      </dsp:nvSpPr>
      <dsp:spPr>
        <a:xfrm>
          <a:off y="1514980" x="2006590"/>
          <a:ext cy="1113420" cx="2226840"/>
        </a:xfrm>
        <a:prstGeom prst="rect">
          <a:avLst/>
        </a:prstGeom>
        <a:gradFill rotWithShape="false">
          <a:gsLst>
            <a:gs pos="0">
              <a:schemeClr val="accent4">
                <a:alpha val="90000"/>
                <a:hueOff val="0"/>
                <a:satOff val="0"/>
                <a:lumOff val="0"/>
                <a:alphaOff val="0"/>
                <a:shade val="51000"/>
                <a:satMod val="130000"/>
              </a:schemeClr>
            </a:gs>
            <a:gs pos="80000">
              <a:schemeClr val="accent4">
                <a:alpha val="90000"/>
                <a:hueOff val="0"/>
                <a:satOff val="0"/>
                <a:lumOff val="0"/>
                <a:alphaOff val="0"/>
                <a:shade val="93000"/>
                <a:satMod val="130000"/>
              </a:schemeClr>
            </a:gs>
            <a:gs pos="100000">
              <a:schemeClr val="accent4">
                <a:alpha val="90000"/>
                <a:hueOff val="0"/>
                <a:satOff val="0"/>
                <a:lumOff val="0"/>
                <a:alphaOff val="0"/>
                <a:shade val="94000"/>
                <a:satMod val="135000"/>
              </a:schemeClr>
            </a:gs>
          </a:gsLst>
          <a:lin scaled="false" ang="16200000"/>
        </a:gradFill>
        <a:ln>
          <a:noFill/>
        </a:ln>
        <a:effectLst>
          <a:outerShdw rotWithShape="false" dir="5400000" dist="23000" blurRad="40000">
            <a:srgbClr val="000000">
              <a:alpha val="35000"/>
            </a:srgbClr>
          </a:outerShdw>
        </a:effectLst>
      </dsp:spPr>
      <dsp:style>
        <a:lnRef idx="0">
          <a:scrgbClr b="0" g="0" r="0"/>
        </a:lnRef>
        <a:fillRef idx="3">
          <a:scrgbClr b="0" g="0" r="0"/>
        </a:fillRef>
        <a:effectRef idx="2">
          <a:scrgbClr b="0" g="0" r="0"/>
        </a:effectRef>
        <a:fontRef idx="minor">
          <a:schemeClr val="lt1"/>
        </a:fontRef>
      </dsp:style>
      <dsp:txBody>
        <a:bodyPr anchorCtr="false" anchor="ctr" spcCol="1270" numCol="1" bIns="7620" rIns="7620" tIns="7620" lIns="7620" wrap="square" vert="horz" spcFirstLastPara="false">
          <a:noAutofit/>
        </a:bodyPr>
        <a:lstStyle/>
        <a:p>
          <a:pPr defTabSz="533400" algn="ctr" lvl="0">
            <a:lnSpc>
              <a:spcPct val="90000"/>
            </a:lnSpc>
            <a:spcBef>
              <a:spcPct val="0"/>
            </a:spcBef>
            <a:spcAft>
              <a:spcPct val="35000"/>
            </a:spcAft>
          </a:pPr>
          <a:r>
            <a:rPr kern="1200" sz="1200" lang="hr-HR">
              <a:latin charset="0" pitchFamily="18" typeface="Times New Roman"/>
              <a:cs charset="0" pitchFamily="18" typeface="Times New Roman"/>
            </a:rPr>
            <a:t>Proizvodnja (3-12 zaposlenih)</a:t>
          </a:r>
        </a:p>
      </dsp:txBody>
      <dsp:txXfrm>
        <a:off y="1514980" x="2006590"/>
        <a:ext cy="1113420" cx="2226840"/>
      </dsp:txXfrm>
    </dsp:sp>
  </dsp:spTree>
</dsp:drawing>
</file>

<file path=word/diagrams/layout1.xml><?xml version="1.0" encoding="utf-8"?>
<dgm:layoutDef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uniqueId="urn:microsoft.com/office/officeart/2005/8/layout/orgChart1">
  <dgm:title val=""/>
  <dgm:desc val=""/>
  <dgm:catLst>
    <dgm:cat pri="1000" type="hierarchy"/>
    <dgm:cat pri="6000" type="convert"/>
  </dgm:catLst>
  <dgm:sampData>
    <dgm:dataModel>
      <dgm:ptLst>
        <dgm:pt type="doc" modelId="0"/>
        <dgm:pt modelId="1">
          <dgm:prSet phldr="true"/>
        </dgm:pt>
        <dgm:pt type="asst" modelId="2">
          <dgm:prSet phldr="true"/>
        </dgm:pt>
        <dgm:pt modelId="3">
          <dgm:prSet phldr="true"/>
        </dgm:pt>
        <dgm:pt modelId="4">
          <dgm:prSet phldr="true"/>
        </dgm:pt>
        <dgm:pt modelId="5">
          <dgm:prSet phldr="true"/>
        </dgm:pt>
      </dgm:ptLst>
      <dgm:cxnLst>
        <dgm:cxn destOrd="0" srcOrd="0" destId="1" srcId="0" modelId="5"/>
        <dgm:cxn destOrd="0" srcOrd="0" destId="2" srcId="1" modelId="6"/>
        <dgm:cxn destOrd="0" srcOrd="1" destId="3" srcId="1" modelId="7"/>
        <dgm:cxn destOrd="0" srcOrd="2" destId="4" srcId="1" modelId="8"/>
        <dgm:cxn destOrd="0" srcOrd="3" destId="5" srcId="1" modelId="9"/>
      </dgm:cxnLst>
      <dgm:bg/>
      <dgm:whole/>
    </dgm:dataModel>
  </dgm:sampData>
  <dgm:styleData>
    <dgm:dataModel>
      <dgm:ptLst>
        <dgm:pt type="doc" modelId="0"/>
        <dgm:pt modelId="1"/>
        <dgm:pt modelId="12"/>
        <dgm:pt modelId="13"/>
      </dgm:ptLst>
      <dgm:cxnLst>
        <dgm:cxn destOrd="0" srcOrd="0" destId="1" srcId="0" modelId="2"/>
        <dgm:cxn destOrd="0" srcOrd="1" destId="12" srcId="1" modelId="16"/>
        <dgm:cxn destOrd="0" srcOrd="2" destId="13" srcId="1" modelId="17"/>
      </dgm:cxnLst>
      <dgm:bg/>
      <dgm:whole/>
    </dgm:dataModel>
  </dgm:styleData>
  <dgm:clrData>
    <dgm:dataModel>
      <dgm:ptLst>
        <dgm:pt type="doc" modelId="0"/>
        <dgm:pt modelId="1"/>
        <dgm:pt type="asst" modelId="11"/>
        <dgm:pt modelId="12"/>
        <dgm:pt modelId="13"/>
        <dgm:pt modelId="14"/>
      </dgm:ptLst>
      <dgm:cxnLst>
        <dgm:cxn destOrd="0" srcOrd="0" destId="1" srcId="0" modelId="2"/>
        <dgm:cxn destOrd="0" srcOrd="0" destId="11" srcId="1" modelId="15"/>
        <dgm:cxn destOrd="0" srcOrd="1" destId="12" srcId="1" modelId="16"/>
        <dgm:cxn destOrd="0" srcOrd="2" destId="13" srcId="1" modelId="17"/>
        <dgm:cxn destOrd="0" srcOrd="2" destId="14" srcId="1" modelId="18"/>
      </dgm:cxnLst>
      <dgm:bg/>
      <dgm:whole/>
    </dgm:dataModel>
  </dgm:clrData>
  <dgm:layoutNode name="hierChild1">
    <dgm:varLst>
      <dgm:orgChart val="true"/>
      <dgm:chPref val="1"/>
      <dgm:dir/>
      <dgm:animOne val="branch"/>
      <dgm:animLvl val="lvl"/>
      <dgm:resizeHandles/>
    </dgm:varLst>
    <dgm:choose name="Name0">
      <dgm:if val="norm" op="equ" arg="dir" func="var" name="Name1">
        <dgm:alg type="hierChild">
          <dgm:param val="fromL" type="linDir"/>
        </dgm:alg>
      </dgm:if>
      <dgm:else name="Name2">
        <dgm:alg type="hierChild">
          <dgm:param val="fromR" type="linDir"/>
        </dgm:alg>
      </dgm:else>
    </dgm:choose>
    <dgm:shape r:blip="">
      <dgm:adjLst/>
    </dgm:shape>
    <dgm:presOf/>
    <dgm:constrLst>
      <dgm:constr refType="w" forName="rootComposite1" for="des" type="w" fact="10.0"/>
      <dgm:constr refForName="rootComposite1" refFor="des" refType="w" forName="rootComposite1" for="des" type="h" fact="0.5"/>
      <dgm:constr refType="w" forName="rootComposite" for="des" type="w" fact="10.0"/>
      <dgm:constr refForName="rootComposite1" refFor="des" refType="w" forName="rootComposite" for="des" type="h" fact="0.5"/>
      <dgm:constr refType="w" forName="rootComposite3" for="des" type="w" fact="10.0"/>
      <dgm:constr refForName="rootComposite1" refFor="des" refType="w" forName="rootComposite3" for="des" type="h" fact="0.5"/>
      <dgm:constr ptType="node" for="des" type="primFontSz" op="equ"/>
      <dgm:constr for="des" type="sp" op="equ"/>
      <dgm:constr refForName="rootComposite1" refFor="des" refType="w" forName="hierRoot1" for="des" type="sp" fact="0.21"/>
      <dgm:constr refForName="hierRoot1" refFor="des" refType="sp" forName="hierRoot2" for="des" type="sp"/>
      <dgm:constr refForName="hierRoot1" refFor="des" refType="sp" forName="hierRoot3" for="des" type="sp"/>
      <dgm:constr refForName="rootComposite1" refFor="des" refType="w" type="sibSp" fact="0.21"/>
      <dgm:constr refType="sibSp" forName="hierChild2" for="des" type="sibSp"/>
      <dgm:constr refType="sibSp" forName="hierChild3" for="des" type="sibSp"/>
      <dgm:constr refType="sibSp" forName="hierChild4" for="des" type="sibSp"/>
      <dgm:constr refType="sibSp" forName="hierChild5" for="des" type="sibSp"/>
      <dgm:constr refType="sibSp" forName="hierChild6" for="des" type="sibSp"/>
      <dgm:constr refType="sibSp" forName="hierChild7" for="des" type="sibSp"/>
      <dgm:constr refForName="rootComposite1" refFor="des" refType="w" type="secSibSp" fact="0.21"/>
      <dgm:constr refType="secSibSp" forName="hierChild2" for="des" type="secSibSp"/>
      <dgm:constr refType="secSibSp" forName="hierChild3" for="des" type="secSibSp"/>
      <dgm:constr refType="secSibSp" forName="hierChild4" for="des" type="secSibSp"/>
      <dgm:constr refType="secSibSp" forName="hierChild5" for="des" type="secSibSp"/>
      <dgm:constr refType="secSibSp" forName="hierChild6" for="des" type="secSibSp"/>
      <dgm:constr refType="secSibSp" forName="hierChild7" for="des" type="secSibSp"/>
    </dgm:constrLst>
    <dgm:ruleLst/>
    <dgm:forEach axis="ch" name="Name3">
      <dgm:forEach ptType="node" axis="self" name="Name4">
        <dgm:layoutNode name="hierRoot1">
          <dgm:varLst>
            <dgm:hierBranch val="init"/>
          </dgm:varLst>
          <dgm:choose name="Name5">
            <dgm:if val="l" op="equ" arg="hierBranch" func="var" name="Name6">
              <dgm:choose name="Name7">
                <dgm:if ptType="asst" axis="ch" val="1" op="gte" func="cnt" name="Name8">
                  <dgm:alg type="hierRoot">
                    <dgm:param val="tR" type="hierAlign"/>
                  </dgm:alg>
                  <dgm:constrLst>
                    <dgm:constr type="alignOff" val="0.65"/>
                  </dgm:constrLst>
                </dgm:if>
                <dgm:else name="Name9">
                  <dgm:alg type="hierRoot">
                    <dgm:param val="tR" type="hierAlign"/>
                  </dgm:alg>
                  <dgm:constrLst>
                    <dgm:constr type="alignOff" val="0.25"/>
                  </dgm:constrLst>
                </dgm:else>
              </dgm:choose>
            </dgm:if>
            <dgm:if val="r" op="equ" arg="hierBranch" func="var" name="Name10">
              <dgm:choose name="Name11">
                <dgm:if ptType="asst" axis="ch" val="1" op="gte" func="cnt" name="Name12">
                  <dgm:alg type="hierRoot">
                    <dgm:param val="tL" type="hierAlign"/>
                  </dgm:alg>
                  <dgm:constrLst>
                    <dgm:constr type="alignOff" val="0.65"/>
                  </dgm:constrLst>
                </dgm:if>
                <dgm:else name="Name13">
                  <dgm:alg type="hierRoot">
                    <dgm:param val="tL" type="hierAlign"/>
                  </dgm:alg>
                  <dgm:constrLst>
                    <dgm:constr type="alignOff" val="0.25"/>
                  </dgm:constrLst>
                </dgm:else>
              </dgm:choose>
            </dgm:if>
            <dgm:if val="hang" op="equ" arg="hierBranch" func="var" name="Name14">
              <dgm:alg type="hierRoot"/>
              <dgm:constrLst>
                <dgm:constr type="alignOff" val="0.65"/>
              </dgm:constrLst>
            </dgm:if>
            <dgm:else name="Name15">
              <dgm:alg type="hierRoot"/>
              <dgm:constrLst>
                <dgm:constr type="alignOff"/>
                <dgm:constr refType="sp" ptType="parTrans" for="des" type="bendDist" fact="0.5"/>
              </dgm:constrLst>
            </dgm:else>
          </dgm:choose>
          <dgm:shape r:blip="">
            <dgm:adjLst/>
          </dgm:shape>
          <dgm:presOf/>
          <dgm:ruleLst/>
          <dgm:layoutNode name="rootComposite1">
            <dgm:alg type="composite"/>
            <dgm:shape r:blip="">
              <dgm:adjLst/>
            </dgm:shape>
            <dgm:presOf cnt="1" ptType="node" axis="self"/>
            <dgm:choose name="Name16">
              <dgm:if val="init" op="equ" arg="hierBranch" func="var" name="Name17">
                <dgm:constrLst>
                  <dgm:constr forName="rootText1" for="ch" type="l"/>
                  <dgm:constr forName="rootText1" for="ch" type="t"/>
                  <dgm:constr refType="w" forName="rootText1" for="ch" type="w"/>
                  <dgm:constr refType="h" forName="rootText1" for="ch" type="h"/>
                  <dgm:constr forName="rootConnector1" for="ch" type="l"/>
                  <dgm:constr forName="rootConnector1" for="ch" type="t"/>
                  <dgm:constr refForName="rootText1" refFor="ch" refType="w" forName="rootConnector1" for="ch" type="w" fact="0.2"/>
                  <dgm:constr refForName="rootText1" refFor="ch" refType="h" forName="rootConnector1" for="ch" type="h"/>
                </dgm:constrLst>
              </dgm:if>
              <dgm:if val="l" op="equ" arg="hierBranch" func="var" name="Name18">
                <dgm:constrLst>
                  <dgm:constr forName="rootText1" for="ch" type="l"/>
                  <dgm:constr forName="rootText1" for="ch" type="t"/>
                  <dgm:constr refType="w" forName="rootText1" for="ch" type="w"/>
                  <dgm:constr refType="h" forName="rootText1" for="ch" type="h"/>
                  <dgm:constr refType="w" forName="rootConnector1" for="ch" type="r"/>
                  <dgm:constr forName="rootConnector1" for="ch" type="t"/>
                  <dgm:constr refForName="rootText1" refFor="ch" refType="w" forName="rootConnector1" for="ch" type="w" fact="0.2"/>
                  <dgm:constr refForName="rootText1" refFor="ch" refType="h" forName="rootConnector1" for="ch" type="h"/>
                </dgm:constrLst>
              </dgm:if>
              <dgm:if val="r" op="equ" arg="hierBranch" func="var" name="Name19">
                <dgm:constrLst>
                  <dgm:constr forName="rootText1" for="ch" type="l"/>
                  <dgm:constr forName="rootText1" for="ch" type="t"/>
                  <dgm:constr refType="w" forName="rootText1" for="ch" type="w"/>
                  <dgm:constr refType="h" forName="rootText1" for="ch" type="h"/>
                  <dgm:constr forName="rootConnector1" for="ch" type="l"/>
                  <dgm:constr forName="rootConnector1" for="ch" type="t"/>
                  <dgm:constr refForName="rootText1" refFor="ch" refType="w" forName="rootConnector1" for="ch" type="w" fact="0.2"/>
                  <dgm:constr refForName="rootText1" refFor="ch" refType="h" forName="rootConnector1" for="ch" type="h"/>
                </dgm:constrLst>
              </dgm:if>
              <dgm:else name="Name20">
                <dgm:constrLst>
                  <dgm:constr forName="rootText1" for="ch" type="l"/>
                  <dgm:constr forName="rootText1" for="ch" type="t"/>
                  <dgm:constr refType="w" forName="rootText1" for="ch" type="w"/>
                  <dgm:constr refType="h" forName="rootText1" for="ch" type="h"/>
                  <dgm:constr refType="w" forName="rootConnector1" for="ch" type="r"/>
                  <dgm:constr forName="rootConnector1" for="ch" type="t"/>
                  <dgm:constr refForName="rootText1" refFor="ch" refType="w" forName="rootConnector1" for="ch" type="w" fact="0.2"/>
                  <dgm:constr refForName="rootText1" refFor="ch" refType="h" forName="rootConnector1" for="ch" type="h"/>
                </dgm:constrLst>
              </dgm:else>
            </dgm:choose>
            <dgm:ruleLst/>
            <dgm:layoutNode styleLbl="node0" name="rootText1">
              <dgm:varLst>
                <dgm:chPref val="3"/>
              </dgm:varLst>
              <dgm:alg type="tx"/>
              <dgm:shape r:blip="" type="rect">
                <dgm:adjLst/>
              </dgm:shape>
              <dgm:presOf cnt="1" ptType="node" axis="self"/>
              <dgm:constrLst>
                <dgm:constr type="primFontSz" val="65.0"/>
                <dgm:constr refType="primFontSz" type="lMarg" fact="0.05"/>
                <dgm:constr refType="primFontSz" type="rMarg" fact="0.05"/>
                <dgm:constr refType="primFontSz" type="tMarg" fact="0.05"/>
                <dgm:constr refType="primFontSz" type="bMarg" fact="0.05"/>
              </dgm:constrLst>
              <dgm:ruleLst>
                <dgm:rule type="primFontSz" max="NaN" fact="NaN" val="5.0"/>
              </dgm:ruleLst>
            </dgm:layoutNode>
            <dgm:layoutNode moveWith="rootText1" name="rootConnector1">
              <dgm:alg type="sp"/>
              <dgm:shape hideGeom="true" r:blip="" type="rect">
                <dgm:adjLst/>
              </dgm:shape>
              <dgm:presOf cnt="1" ptType="node" axis="self"/>
              <dgm:constrLst/>
              <dgm:ruleLst/>
            </dgm:layoutNode>
          </dgm:layoutNode>
          <dgm:layoutNode name="hierChild2">
            <dgm:choose name="Name21">
              <dgm:if val="l" op="equ" arg="hierBranch" func="var" name="Name22">
                <dgm:alg type="hierChild">
                  <dgm:param val="r" type="chAlign"/>
                  <dgm:param val="fromT" type="linDir"/>
                </dgm:alg>
              </dgm:if>
              <dgm:if val="r" op="equ" arg="hierBranch" func="var" name="Name23">
                <dgm:alg type="hierChild">
                  <dgm:param val="l" type="chAlign"/>
                  <dgm:param val="fromT" type="linDir"/>
                </dgm:alg>
              </dgm:if>
              <dgm:if val="hang" op="equ" arg="hierBranch" func="var" name="Name24">
                <dgm:choose name="Name25">
                  <dgm:if val="norm" op="equ" arg="dir" func="var" name="Name26">
                    <dgm:alg type="hierChild">
                      <dgm:param val="l" type="chAlign"/>
                      <dgm:param val="fromL" type="linDir"/>
                      <dgm:param val="t" type="secChAlign"/>
                      <dgm:param val="fromT" type="secLinDir"/>
                    </dgm:alg>
                  </dgm:if>
                  <dgm:else name="Name27">
                    <dgm:alg type="hierChild">
                      <dgm:param val="l" type="chAlign"/>
                      <dgm:param val="fromR" type="linDir"/>
                      <dgm:param val="t" type="secChAlign"/>
                      <dgm:param val="fromT" type="secLinDir"/>
                    </dgm:alg>
                  </dgm:else>
                </dgm:choose>
              </dgm:if>
              <dgm:else name="Name28">
                <dgm:choose name="Name29">
                  <dgm:if val="norm" op="equ" arg="dir" func="var" name="Name30">
                    <dgm:alg type="hierChild"/>
                  </dgm:if>
                  <dgm:else name="Name31">
                    <dgm:alg type="hierChild">
                      <dgm:param val="fromR" type="linDir"/>
                    </dgm:alg>
                  </dgm:else>
                </dgm:choose>
              </dgm:else>
            </dgm:choose>
            <dgm:shape r:blip="">
              <dgm:adjLst/>
            </dgm:shape>
            <dgm:presOf/>
            <dgm:constrLst/>
            <dgm:ruleLst/>
            <dgm:forEach ptType="nonAsst" axis="ch" name="rep2a">
              <dgm:forEach cnt="1" st="-1" ptType="parTrans" axis="precedSib" name="Name32">
                <dgm:choose name="Name33">
                  <dgm:if val="std" op="equ" arg="hierBranch" func="var" name="Name34">
                    <dgm:layoutNode name="Name35">
                      <dgm:alg type="conn">
                        <dgm:param val="bend" type="connRout"/>
                        <dgm:param val="1D" type="dim"/>
                        <dgm:param val="noArr" type="endSty"/>
                        <dgm:param val="bCtr" type="begPts"/>
                        <dgm:param val="tCtr" type="endPts"/>
                        <dgm:param val="end" type="bendPt"/>
                      </dgm:alg>
                      <dgm:shape zOrderOff="-99999" r:blip="" type="conn">
                        <dgm:adjLst/>
                      </dgm:shape>
                      <dgm:presOf axis="self"/>
                      <dgm:constrLst>
                        <dgm:constr type="begPad"/>
                        <dgm:constr type="endPad"/>
                      </dgm:constrLst>
                      <dgm:ruleLst/>
                    </dgm:layoutNode>
                  </dgm:if>
                  <dgm:if val="init" op="equ" arg="hierBranch" func="var" name="Name36">
                    <dgm:layoutNode name="Name37">
                      <dgm:choose name="Name38">
                        <dgm:if axis="self" val="2" op="lte" func="depth" name="Name39">
                          <dgm:alg type="conn">
                            <dgm:param val="bend" type="connRout"/>
                            <dgm:param val="1D" type="dim"/>
                            <dgm:param val="noArr" type="endSty"/>
                            <dgm:param val="bCtr" type="begPts"/>
                            <dgm:param val="tCtr" type="endPts"/>
                            <dgm:param val="end" type="bendPt"/>
                          </dgm:alg>
                        </dgm:if>
                        <dgm:else name="Name40">
                          <dgm:choose name="Name41">
                            <dgm:if axis="par des" val="1" op="lte" func="maxDepth" name="Name42">
                              <dgm:choose name="Name43">
                                <dgm:if ptType="node asst" axis="par ch" val="1" op="gte" func="cnt" name="Name44">
                                  <dgm:alg type="conn">
                                    <dgm:param val="bend" type="connRout"/>
                                    <dgm:param val="1D" type="dim"/>
                                    <dgm:param val="noArr" type="endSty"/>
                                    <dgm:param val="bCtr" type="begPts"/>
                                    <dgm:param val="midL midR" type="endPts"/>
                                  </dgm:alg>
                                </dgm:if>
                                <dgm:else name="Name45">
                                  <dgm:alg type="conn">
                                    <dgm:param val="bend" type="connRout"/>
                                    <dgm:param val="1D" type="dim"/>
                                    <dgm:param val="noArr" type="endSty"/>
                                    <dgm:param val="bCtr" type="begPts"/>
                                    <dgm:param val="midL midR" type="endPts"/>
                                    <dgm:param val="rootConnector" type="srcNode"/>
                                  </dgm:alg>
                                </dgm:else>
                              </dgm:choose>
                            </dgm:if>
                            <dgm:else name="Name46">
                              <dgm:alg type="conn">
                                <dgm:param val="bend" type="connRout"/>
                                <dgm:param val="1D" type="dim"/>
                                <dgm:param val="noArr" type="endSty"/>
                                <dgm:param val="bCtr" type="begPts"/>
                                <dgm:param val="tCtr" type="endPts"/>
                                <dgm:param val="end" type="bendPt"/>
                              </dgm:alg>
                            </dgm:else>
                          </dgm:choose>
                        </dgm:else>
                      </dgm:choose>
                      <dgm:shape zOrderOff="-99999" r:blip="" type="conn">
                        <dgm:adjLst/>
                      </dgm:shape>
                      <dgm:presOf axis="self"/>
                      <dgm:constrLst>
                        <dgm:constr type="begPad"/>
                        <dgm:constr type="endPad"/>
                      </dgm:constrLst>
                      <dgm:ruleLst/>
                    </dgm:layoutNode>
                  </dgm:if>
                  <dgm:if val="hang" op="equ" arg="hierBranch" func="var" name="Name47">
                    <dgm:layoutNode name="Name48">
                      <dgm:alg type="conn">
                        <dgm:param val="bend" type="connRout"/>
                        <dgm:param val="1D" type="dim"/>
                        <dgm:param val="noArr" type="endSty"/>
                        <dgm:param val="bCtr" type="begPts"/>
                        <dgm:param val="midL midR" type="endPts"/>
                      </dgm:alg>
                      <dgm:shape zOrderOff="-99999" r:blip="" type="conn">
                        <dgm:adjLst/>
                      </dgm:shape>
                      <dgm:presOf axis="self"/>
                      <dgm:constrLst>
                        <dgm:constr type="begPad"/>
                        <dgm:constr type="endPad"/>
                      </dgm:constrLst>
                      <dgm:ruleLst/>
                    </dgm:layoutNode>
                  </dgm:if>
                  <dgm:else name="Name49">
                    <dgm:layoutNode name="Name50">
                      <dgm:choose name="Name51">
                        <dgm:if axis="self" val="2" op="lte" func="depth" name="Name52">
                          <dgm:choose name="Name53">
                            <dgm:if ptType="node asst" axis="par ch" val="1" op="gte" func="cnt" name="Name54">
                              <dgm:alg type="conn">
                                <dgm:param val="bend" type="connRout"/>
                                <dgm:param val="1D" type="dim"/>
                                <dgm:param val="noArr" type="endSty"/>
                                <dgm:param val="bCtr" type="begPts"/>
                                <dgm:param val="midL midR" type="endPts"/>
                              </dgm:alg>
                            </dgm:if>
                            <dgm:else name="Name55">
                              <dgm:alg type="conn">
                                <dgm:param val="bend" type="connRout"/>
                                <dgm:param val="1D" type="dim"/>
                                <dgm:param val="noArr" type="endSty"/>
                                <dgm:param val="bCtr" type="begPts"/>
                                <dgm:param val="midL midR" type="endPts"/>
                                <dgm:param val="rootConnector1" type="srcNode"/>
                              </dgm:alg>
                            </dgm:else>
                          </dgm:choose>
                        </dgm:if>
                        <dgm:else name="Name56">
                          <dgm:choose name="Name57">
                            <dgm:if ptType="node asst" axis="par ch" val="1" op="gte" func="cnt" name="Name58">
                              <dgm:alg type="conn">
                                <dgm:param val="bend" type="connRout"/>
                                <dgm:param val="1D" type="dim"/>
                                <dgm:param val="noArr" type="endSty"/>
                                <dgm:param val="bCtr" type="begPts"/>
                                <dgm:param val="midL midR" type="endPts"/>
                              </dgm:alg>
                            </dgm:if>
                            <dgm:else name="Name59">
                              <dgm:alg type="conn">
                                <dgm:param val="bend" type="connRout"/>
                                <dgm:param val="1D" type="dim"/>
                                <dgm:param val="noArr" type="endSty"/>
                                <dgm:param val="bCtr" type="begPts"/>
                                <dgm:param val="midL midR" type="endPts"/>
                                <dgm:param val="rootConnector" type="srcNode"/>
                              </dgm:alg>
                            </dgm:else>
                          </dgm:choose>
                        </dgm:else>
                      </dgm:choose>
                      <dgm:shape zOrderOff="-99999" r:blip="" type="conn">
                        <dgm:adjLst/>
                      </dgm:shape>
                      <dgm:presOf axis="self"/>
                      <dgm:constrLst>
                        <dgm:constr type="begPad"/>
                        <dgm:constr type="endPad"/>
                      </dgm:constrLst>
                      <dgm:ruleLst/>
                    </dgm:layoutNode>
                  </dgm:else>
                </dgm:choose>
              </dgm:forEach>
              <dgm:layoutNode name="hierRoot2">
                <dgm:varLst>
                  <dgm:hierBranch val="init"/>
                </dgm:varLst>
                <dgm:choose name="Name60">
                  <dgm:if val="l" op="equ" arg="hierBranch" func="var" name="Name61">
                    <dgm:choose name="Name62">
                      <dgm:if ptType="asst" axis="ch" val="1" op="gte" func="cnt" name="Name63">
                        <dgm:alg type="hierRoot">
                          <dgm:param val="tR" type="hierAlign"/>
                        </dgm:alg>
                        <dgm:shape r:blip="">
                          <dgm:adjLst/>
                        </dgm:shape>
                        <dgm:presOf/>
                        <dgm:constrLst>
                          <dgm:constr type="alignOff" val="0.65"/>
                        </dgm:constrLst>
                      </dgm:if>
                      <dgm:else name="Name64">
                        <dgm:alg type="hierRoot">
                          <dgm:param val="tR" type="hierAlign"/>
                        </dgm:alg>
                        <dgm:shape r:blip="">
                          <dgm:adjLst/>
                        </dgm:shape>
                        <dgm:presOf/>
                        <dgm:constrLst>
                          <dgm:constr type="alignOff" val="0.25"/>
                        </dgm:constrLst>
                      </dgm:else>
                    </dgm:choose>
                  </dgm:if>
                  <dgm:if val="r" op="equ" arg="hierBranch" func="var" name="Name65">
                    <dgm:choose name="Name66">
                      <dgm:if ptType="asst" axis="ch" val="1" op="gte" func="cnt" name="Name67">
                        <dgm:alg type="hierRoot">
                          <dgm:param val="tL" type="hierAlign"/>
                        </dgm:alg>
                        <dgm:shape r:blip="">
                          <dgm:adjLst/>
                        </dgm:shape>
                        <dgm:presOf/>
                        <dgm:constrLst>
                          <dgm:constr type="alignOff" val="0.65"/>
                        </dgm:constrLst>
                      </dgm:if>
                      <dgm:else name="Name68">
                        <dgm:alg type="hierRoot">
                          <dgm:param val="tL" type="hierAlign"/>
                        </dgm:alg>
                        <dgm:shape r:blip="">
                          <dgm:adjLst/>
                        </dgm:shape>
                        <dgm:presOf/>
                        <dgm:constrLst>
                          <dgm:constr type="alignOff" val="0.25"/>
                        </dgm:constrLst>
                      </dgm:else>
                    </dgm:choose>
                  </dgm:if>
                  <dgm:if val="std" op="equ" arg="hierBranch" func="var" name="Name69">
                    <dgm:alg type="hierRoot"/>
                    <dgm:shape r:blip="">
                      <dgm:adjLst/>
                    </dgm:shape>
                    <dgm:presOf/>
                    <dgm:constrLst>
                      <dgm:constr type="alignOff"/>
                      <dgm:constr refType="sp" ptType="parTrans" for="des" type="bendDist" fact="0.5"/>
                    </dgm:constrLst>
                  </dgm:if>
                  <dgm:if val="init" op="equ" arg="hierBranch" func="var" name="Name70">
                    <dgm:choose name="Name71">
                      <dgm:if axis="des" val="1" op="lte" func="maxDepth" name="Name72">
                        <dgm:choose name="Name73">
                          <dgm:if ptType="asst" axis="ch" val="1" op="gte" func="cnt" name="Name74">
                            <dgm:alg type="hierRoot">
                              <dgm:param val="tL" type="hierAlign"/>
                            </dgm:alg>
                            <dgm:shape r:blip="">
                              <dgm:adjLst/>
                            </dgm:shape>
                            <dgm:presOf/>
                            <dgm:constrLst>
                              <dgm:constr type="alignOff" val="0.65"/>
                            </dgm:constrLst>
                          </dgm:if>
                          <dgm:else name="Name75">
                            <dgm:alg type="hierRoot">
                              <dgm:param val="tL" type="hierAlign"/>
                            </dgm:alg>
                            <dgm:shape r:blip="">
                              <dgm:adjLst/>
                            </dgm:shape>
                            <dgm:presOf/>
                            <dgm:constrLst>
                              <dgm:constr type="alignOff" val="0.25"/>
                            </dgm:constrLst>
                          </dgm:else>
                        </dgm:choose>
                      </dgm:if>
                      <dgm:else name="Name76">
                        <dgm:alg type="hierRoot"/>
                        <dgm:shape r:blip="">
                          <dgm:adjLst/>
                        </dgm:shape>
                        <dgm:presOf/>
                        <dgm:constrLst>
                          <dgm:constr type="alignOff"/>
                          <dgm:constr refType="sp" ptType="parTrans" for="des" type="bendDist" fact="0.5"/>
                        </dgm:constrLst>
                      </dgm:else>
                    </dgm:choose>
                  </dgm:if>
                  <dgm:else name="Name77">
                    <dgm:alg type="hierRoot"/>
                    <dgm:shape r:blip="">
                      <dgm:adjLst/>
                    </dgm:shape>
                    <dgm:presOf/>
                    <dgm:constrLst>
                      <dgm:constr type="alignOff" val="0.65"/>
                    </dgm:constrLst>
                  </dgm:else>
                </dgm:choose>
                <dgm:ruleLst/>
                <dgm:layoutNode name="rootComposite">
                  <dgm:alg type="composite"/>
                  <dgm:shape r:blip="">
                    <dgm:adjLst/>
                  </dgm:shape>
                  <dgm:presOf cnt="1" ptType="node" axis="self"/>
                  <dgm:choose name="Name78">
                    <dgm:if val="init" op="equ" arg="hierBranch" func="var" name="Name79">
                      <dgm:constrLst>
                        <dgm:constr forName="rootText" for="ch" type="l"/>
                        <dgm:constr forName="rootText" for="ch" type="t"/>
                        <dgm:constr refType="w" forName="rootText" for="ch" type="w"/>
                        <dgm:constr refType="h" forName="rootText" for="ch" type="h"/>
                        <dgm:constr forName="rootConnector" for="ch" type="l"/>
                        <dgm:constr forName="rootConnector" for="ch" type="t"/>
                        <dgm:constr refForName="rootText" refFor="ch" refType="w" forName="rootConnector" for="ch" type="w" fact="0.2"/>
                        <dgm:constr refForName="rootText" refFor="ch" refType="h" forName="rootConnector" for="ch" type="h"/>
                      </dgm:constrLst>
                    </dgm:if>
                    <dgm:if val="l" op="equ" arg="hierBranch" func="var" name="Name80">
                      <dgm:constrLst>
                        <dgm:constr forName="rootText" for="ch" type="l"/>
                        <dgm:constr forName="rootText" for="ch" type="t"/>
                        <dgm:constr refType="w" forName="rootText" for="ch" type="w"/>
                        <dgm:constr refType="h" forName="rootText" for="ch" type="h"/>
                        <dgm:constr refType="w" forName="rootConnector" for="ch" type="r"/>
                        <dgm:constr forName="rootConnector" for="ch" type="t"/>
                        <dgm:constr refForName="rootText" refFor="ch" refType="w" forName="rootConnector" for="ch" type="w" fact="0.2"/>
                        <dgm:constr refForName="rootText" refFor="ch" refType="h" forName="rootConnector" for="ch" type="h"/>
                      </dgm:constrLst>
                    </dgm:if>
                    <dgm:if val="r" op="equ" arg="hierBranch" func="var" name="Name81">
                      <dgm:constrLst>
                        <dgm:constr forName="rootText" for="ch" type="l"/>
                        <dgm:constr forName="rootText" for="ch" type="t"/>
                        <dgm:constr refType="w" forName="rootText" for="ch" type="w"/>
                        <dgm:constr refType="h" forName="rootText" for="ch" type="h"/>
                        <dgm:constr forName="rootConnector" for="ch" type="l"/>
                        <dgm:constr forName="rootConnector" for="ch" type="t"/>
                        <dgm:constr refForName="rootText" refFor="ch" refType="w" forName="rootConnector" for="ch" type="w" fact="0.2"/>
                        <dgm:constr refForName="rootText" refFor="ch" refType="h" forName="rootConnector" for="ch" type="h"/>
                      </dgm:constrLst>
                    </dgm:if>
                    <dgm:else name="Name82">
                      <dgm:constrLst>
                        <dgm:constr forName="rootText" for="ch" type="l"/>
                        <dgm:constr forName="rootText" for="ch" type="t"/>
                        <dgm:constr refType="w" forName="rootText" for="ch" type="w"/>
                        <dgm:constr refType="h" forName="rootText" for="ch" type="h"/>
                        <dgm:constr refType="w" forName="rootConnector" for="ch" type="r"/>
                        <dgm:constr forName="rootConnector" for="ch" type="t"/>
                        <dgm:constr refForName="rootText" refFor="ch" refType="w" forName="rootConnector" for="ch" type="w" fact="0.2"/>
                        <dgm:constr refForName="rootText" refFor="ch" refType="h" forName="rootConnector" for="ch" type="h"/>
                      </dgm:constrLst>
                    </dgm:else>
                  </dgm:choose>
                  <dgm:ruleLst/>
                  <dgm:layoutNode name="rootText">
                    <dgm:varLst>
                      <dgm:chPref val="3"/>
                    </dgm:varLst>
                    <dgm:alg type="tx"/>
                    <dgm:shape r:blip="" type="rect">
                      <dgm:adjLst/>
                    </dgm:shape>
                    <dgm:presOf cnt="1" ptType="node" axis="self"/>
                    <dgm:constrLst>
                      <dgm:constr type="primFontSz" val="65.0"/>
                      <dgm:constr refType="primFontSz" type="lMarg" fact="0.05"/>
                      <dgm:constr refType="primFontSz" type="rMarg" fact="0.05"/>
                      <dgm:constr refType="primFontSz" type="tMarg" fact="0.05"/>
                      <dgm:constr refType="primFontSz" type="bMarg" fact="0.05"/>
                    </dgm:constrLst>
                    <dgm:ruleLst>
                      <dgm:rule type="primFontSz" max="NaN" fact="NaN" val="5.0"/>
                    </dgm:ruleLst>
                  </dgm:layoutNode>
                  <dgm:layoutNode moveWith="rootText" name="rootConnector">
                    <dgm:alg type="sp"/>
                    <dgm:shape hideGeom="true" r:blip="" type="rect">
                      <dgm:adjLst/>
                    </dgm:shape>
                    <dgm:presOf cnt="1" ptType="node" axis="self"/>
                    <dgm:constrLst/>
                    <dgm:ruleLst/>
                  </dgm:layoutNode>
                </dgm:layoutNode>
                <dgm:layoutNode name="hierChild4">
                  <dgm:choose name="Name83">
                    <dgm:if val="l" op="equ" arg="hierBranch" func="var" name="Name84">
                      <dgm:alg type="hierChild">
                        <dgm:param val="r" type="chAlign"/>
                        <dgm:param val="fromT" type="linDir"/>
                      </dgm:alg>
                    </dgm:if>
                    <dgm:if val="r" op="equ" arg="hierBranch" func="var" name="Name85">
                      <dgm:alg type="hierChild">
                        <dgm:param val="l" type="chAlign"/>
                        <dgm:param val="fromT" type="linDir"/>
                      </dgm:alg>
                    </dgm:if>
                    <dgm:if val="hang" op="equ" arg="hierBranch" func="var" name="Name86">
                      <dgm:choose name="Name87">
                        <dgm:if val="norm" op="equ" arg="dir" func="var" name="Name88">
                          <dgm:alg type="hierChild">
                            <dgm:param val="l" type="chAlign"/>
                            <dgm:param val="fromL" type="linDir"/>
                            <dgm:param val="t" type="secChAlign"/>
                            <dgm:param val="fromT" type="secLinDir"/>
                          </dgm:alg>
                        </dgm:if>
                        <dgm:else name="Name89">
                          <dgm:alg type="hierChild">
                            <dgm:param val="l" type="chAlign"/>
                            <dgm:param val="fromR" type="linDir"/>
                            <dgm:param val="t" type="secChAlign"/>
                            <dgm:param val="fromT" type="secLinDir"/>
                          </dgm:alg>
                        </dgm:else>
                      </dgm:choose>
                    </dgm:if>
                    <dgm:if val="std" op="equ" arg="hierBranch" func="var" name="Name90">
                      <dgm:choose name="Name91">
                        <dgm:if val="norm" op="equ" arg="dir" func="var" name="Name92">
                          <dgm:alg type="hierChild"/>
                        </dgm:if>
                        <dgm:else name="Name93">
                          <dgm:alg type="hierChild">
                            <dgm:param val="fromR" type="linDir"/>
                          </dgm:alg>
                        </dgm:else>
                      </dgm:choose>
                    </dgm:if>
                    <dgm:if val="init" op="equ" arg="hierBranch" func="var" name="Name94">
                      <dgm:choose name="Name95">
                        <dgm:if axis="des" val="1" op="lte" func="maxDepth" name="Name96">
                          <dgm:alg type="hierChild">
                            <dgm:param val="l" type="chAlign"/>
                            <dgm:param val="fromT" type="linDir"/>
                          </dgm:alg>
                        </dgm:if>
                        <dgm:else name="Name97">
                          <dgm:choose name="Name98">
                            <dgm:if val="norm" op="equ" arg="dir" func="var" name="Name99">
                              <dgm:alg type="hierChild"/>
                            </dgm:if>
                            <dgm:else name="Name100">
                              <dgm:alg type="hierChild">
                                <dgm:param val="fromR" type="linDir"/>
                              </dgm:alg>
                            </dgm:else>
                          </dgm:choose>
                        </dgm:else>
                      </dgm:choose>
                    </dgm:if>
                    <dgm:else name="Name101"/>
                  </dgm:choose>
                  <dgm:shape r:blip="">
                    <dgm:adjLst/>
                  </dgm:shape>
                  <dgm:presOf/>
                  <dgm:constrLst/>
                  <dgm:ruleLst/>
                  <dgm:forEach ref="rep2a" name="Name102"/>
                </dgm:layoutNode>
                <dgm:layoutNode name="hierChild5">
                  <dgm:choose name="Name103">
                    <dgm:if val="norm" op="equ" arg="dir" func="var" name="Name104">
                      <dgm:alg type="hierChild">
                        <dgm:param val="l" type="chAlign"/>
                        <dgm:param val="fromL" type="linDir"/>
                        <dgm:param val="t" type="secChAlign"/>
                        <dgm:param val="fromT" type="secLinDir"/>
                      </dgm:alg>
                    </dgm:if>
                    <dgm:else name="Name105">
                      <dgm:alg type="hierChild">
                        <dgm:param val="l" type="chAlign"/>
                        <dgm:param val="fromR" type="linDir"/>
                        <dgm:param val="t" type="secChAlign"/>
                        <dgm:param val="fromT" type="secLinDir"/>
                      </dgm:alg>
                    </dgm:else>
                  </dgm:choose>
                  <dgm:shape r:blip="">
                    <dgm:adjLst/>
                  </dgm:shape>
                  <dgm:presOf/>
                  <dgm:constrLst/>
                  <dgm:ruleLst/>
                  <dgm:forEach ref="rep2b" name="Name106"/>
                </dgm:layoutNode>
              </dgm:layoutNode>
            </dgm:forEach>
          </dgm:layoutNode>
          <dgm:layoutNode name="hierChild3">
            <dgm:choose name="Name107">
              <dgm:if val="norm" op="equ" arg="dir" func="var" name="Name108">
                <dgm:alg type="hierChild">
                  <dgm:param val="l" type="chAlign"/>
                  <dgm:param val="fromL" type="linDir"/>
                  <dgm:param val="t" type="secChAlign"/>
                  <dgm:param val="fromT" type="secLinDir"/>
                </dgm:alg>
              </dgm:if>
              <dgm:else name="Name109">
                <dgm:alg type="hierChild">
                  <dgm:param val="l" type="chAlign"/>
                  <dgm:param val="fromR" type="linDir"/>
                  <dgm:param val="t" type="secChAlign"/>
                  <dgm:param val="fromT" type="secLinDir"/>
                </dgm:alg>
              </dgm:else>
            </dgm:choose>
            <dgm:shape r:blip="">
              <dgm:adjLst/>
            </dgm:shape>
            <dgm:presOf/>
            <dgm:constrLst/>
            <dgm:ruleLst/>
            <dgm:forEach ptType="asst" axis="ch" name="rep2b">
              <dgm:forEach cnt="1" st="-1" ptType="parTrans" axis="precedSib" name="Name110">
                <dgm:layoutNode name="Name111">
                  <dgm:alg type="conn">
                    <dgm:param val="bend" type="connRout"/>
                    <dgm:param val="1D" type="dim"/>
                    <dgm:param val="noArr" type="endSty"/>
                    <dgm:param val="bCtr" type="begPts"/>
                    <dgm:param val="midL midR" type="endPts"/>
                  </dgm:alg>
                  <dgm:shape zOrderOff="-99999" r:blip="" type="conn">
                    <dgm:adjLst/>
                  </dgm:shape>
                  <dgm:presOf axis="self"/>
                  <dgm:constrLst>
                    <dgm:constr type="begPad"/>
                    <dgm:constr type="endPad"/>
                  </dgm:constrLst>
                  <dgm:ruleLst/>
                </dgm:layoutNode>
              </dgm:forEach>
              <dgm:layoutNode name="hierRoot3">
                <dgm:varLst>
                  <dgm:hierBranch val="init"/>
                </dgm:varLst>
                <dgm:choose name="Name112">
                  <dgm:if val="l" op="equ" arg="hierBranch" func="var" name="Name113">
                    <dgm:alg type="hierRoot">
                      <dgm:param val="tR" type="hierAlign"/>
                    </dgm:alg>
                    <dgm:shape r:blip="">
                      <dgm:adjLst/>
                    </dgm:shape>
                    <dgm:presOf/>
                    <dgm:constrLst>
                      <dgm:constr type="alignOff" val="0.65"/>
                    </dgm:constrLst>
                  </dgm:if>
                  <dgm:if val="r" op="equ" arg="hierBranch" func="var" name="Name114">
                    <dgm:alg type="hierRoot">
                      <dgm:param val="tL" type="hierAlign"/>
                    </dgm:alg>
                    <dgm:shape r:blip="">
                      <dgm:adjLst/>
                    </dgm:shape>
                    <dgm:presOf/>
                    <dgm:constrLst>
                      <dgm:constr type="alignOff" val="0.65"/>
                    </dgm:constrLst>
                  </dgm:if>
                  <dgm:if val="hang" op="equ" arg="hierBranch" func="var" name="Name115">
                    <dgm:alg type="hierRoot"/>
                    <dgm:shape r:blip="">
                      <dgm:adjLst/>
                    </dgm:shape>
                    <dgm:presOf/>
                    <dgm:constrLst>
                      <dgm:constr type="alignOff" val="0.65"/>
                    </dgm:constrLst>
                  </dgm:if>
                  <dgm:if val="std" op="equ" arg="hierBranch" func="var" name="Name116">
                    <dgm:alg type="hierRoot"/>
                    <dgm:shape r:blip="">
                      <dgm:adjLst/>
                    </dgm:shape>
                    <dgm:presOf/>
                    <dgm:constrLst>
                      <dgm:constr type="alignOff"/>
                      <dgm:constr refType="sp" ptType="parTrans" for="des" type="bendDist" fact="0.5"/>
                    </dgm:constrLst>
                  </dgm:if>
                  <dgm:if val="init" op="equ" arg="hierBranch" func="var" name="Name117">
                    <dgm:choose name="Name118">
                      <dgm:if axis="des" val="1" op="lte" func="maxDepth" name="Name119">
                        <dgm:alg type="hierRoot">
                          <dgm:param val="tL" type="hierAlign"/>
                        </dgm:alg>
                        <dgm:shape r:blip="">
                          <dgm:adjLst/>
                        </dgm:shape>
                        <dgm:presOf/>
                        <dgm:constrLst>
                          <dgm:constr type="alignOff" val="0.65"/>
                        </dgm:constrLst>
                      </dgm:if>
                      <dgm:else name="Name120">
                        <dgm:alg type="hierRoot"/>
                        <dgm:shape r:blip="">
                          <dgm:adjLst/>
                        </dgm:shape>
                        <dgm:presOf/>
                        <dgm:constrLst>
                          <dgm:constr type="alignOff"/>
                          <dgm:constr refType="sp" ptType="parTrans" for="des" type="bendDist" fact="0.5"/>
                        </dgm:constrLst>
                      </dgm:else>
                    </dgm:choose>
                  </dgm:if>
                  <dgm:else name="Name121"/>
                </dgm:choose>
                <dgm:ruleLst/>
                <dgm:layoutNode name="rootComposite3">
                  <dgm:alg type="composite"/>
                  <dgm:shape r:blip="">
                    <dgm:adjLst/>
                  </dgm:shape>
                  <dgm:presOf cnt="1" ptType="node" axis="self"/>
                  <dgm:choose name="Name122">
                    <dgm:if val="init" op="equ" arg="hierBranch" func="var" name="Name123">
                      <dgm:constrLst>
                        <dgm:constr forName="rootText3" for="ch" type="l"/>
                        <dgm:constr forName="rootText3" for="ch" type="t"/>
                        <dgm:constr refType="w" forName="rootText3" for="ch" type="w"/>
                        <dgm:constr refType="h" forName="rootText3" for="ch" type="h"/>
                        <dgm:constr forName="rootConnector3" for="ch" type="l"/>
                        <dgm:constr forName="rootConnector3" for="ch" type="t"/>
                        <dgm:constr refForName="rootText3" refFor="ch" refType="w" forName="rootConnector3" for="ch" type="w" fact="0.2"/>
                        <dgm:constr refForName="rootText3" refFor="ch" refType="h" forName="rootConnector3" for="ch" type="h"/>
                      </dgm:constrLst>
                    </dgm:if>
                    <dgm:if val="l" op="equ" arg="hierBranch" func="var" name="Name124">
                      <dgm:constrLst>
                        <dgm:constr forName="rootText3" for="ch" type="l"/>
                        <dgm:constr forName="rootText3" for="ch" type="t"/>
                        <dgm:constr refType="w" forName="rootText3" for="ch" type="w"/>
                        <dgm:constr refType="h" forName="rootText3" for="ch" type="h"/>
                        <dgm:constr refType="w" forName="rootConnector3" for="ch" type="r"/>
                        <dgm:constr forName="rootConnector3" for="ch" type="t"/>
                        <dgm:constr refForName="rootText3" refFor="ch" refType="w" forName="rootConnector3" for="ch" type="w" fact="0.2"/>
                        <dgm:constr refForName="rootText3" refFor="ch" refType="h" forName="rootConnector3" for="ch" type="h"/>
                      </dgm:constrLst>
                    </dgm:if>
                    <dgm:if val="r" op="equ" arg="hierBranch" func="var" name="Name125">
                      <dgm:constrLst>
                        <dgm:constr forName="rootText3" for="ch" type="l"/>
                        <dgm:constr forName="rootText3" for="ch" type="t"/>
                        <dgm:constr refType="w" forName="rootText3" for="ch" type="w"/>
                        <dgm:constr refType="h" forName="rootText3" for="ch" type="h"/>
                        <dgm:constr forName="rootConnector3" for="ch" type="l"/>
                        <dgm:constr forName="rootConnector3" for="ch" type="t"/>
                        <dgm:constr refForName="rootText3" refFor="ch" refType="w" forName="rootConnector3" for="ch" type="w" fact="0.2"/>
                        <dgm:constr refForName="rootText3" refFor="ch" refType="h" forName="rootConnector3" for="ch" type="h"/>
                      </dgm:constrLst>
                    </dgm:if>
                    <dgm:else name="Name126">
                      <dgm:constrLst>
                        <dgm:constr forName="rootText3" for="ch" type="l"/>
                        <dgm:constr forName="rootText3" for="ch" type="t"/>
                        <dgm:constr refType="w" forName="rootText3" for="ch" type="w"/>
                        <dgm:constr refType="h" forName="rootText3" for="ch" type="h"/>
                        <dgm:constr refType="w" forName="rootConnector3" for="ch" type="r"/>
                        <dgm:constr forName="rootConnector3" for="ch" type="t"/>
                        <dgm:constr refForName="rootText3" refFor="ch" refType="w" forName="rootConnector3" for="ch" type="w" fact="0.2"/>
                        <dgm:constr refForName="rootText3" refFor="ch" refType="h" forName="rootConnector3" for="ch" type="h"/>
                      </dgm:constrLst>
                    </dgm:else>
                  </dgm:choose>
                  <dgm:ruleLst/>
                  <dgm:layoutNode name="rootText3">
                    <dgm:varLst>
                      <dgm:chPref val="3"/>
                    </dgm:varLst>
                    <dgm:alg type="tx"/>
                    <dgm:shape r:blip="" type="rect">
                      <dgm:adjLst/>
                    </dgm:shape>
                    <dgm:presOf cnt="1" ptType="node" axis="self"/>
                    <dgm:constrLst>
                      <dgm:constr type="primFontSz" val="65.0"/>
                      <dgm:constr refType="primFontSz" type="lMarg" fact="0.05"/>
                      <dgm:constr refType="primFontSz" type="rMarg" fact="0.05"/>
                      <dgm:constr refType="primFontSz" type="tMarg" fact="0.05"/>
                      <dgm:constr refType="primFontSz" type="bMarg" fact="0.05"/>
                    </dgm:constrLst>
                    <dgm:ruleLst>
                      <dgm:rule type="primFontSz" max="NaN" fact="NaN" val="5.0"/>
                    </dgm:ruleLst>
                  </dgm:layoutNode>
                  <dgm:layoutNode moveWith="rootText1" name="rootConnector3">
                    <dgm:alg type="sp"/>
                    <dgm:shape hideGeom="true" r:blip="" type="rect">
                      <dgm:adjLst/>
                    </dgm:shape>
                    <dgm:presOf cnt="1" ptType="node" axis="self"/>
                    <dgm:constrLst/>
                    <dgm:ruleLst/>
                  </dgm:layoutNode>
                </dgm:layoutNode>
                <dgm:layoutNode name="hierChild6">
                  <dgm:choose name="Name127">
                    <dgm:if val="l" op="equ" arg="hierBranch" func="var" name="Name128">
                      <dgm:alg type="hierChild">
                        <dgm:param val="r" type="chAlign"/>
                        <dgm:param val="fromT" type="linDir"/>
                      </dgm:alg>
                    </dgm:if>
                    <dgm:if val="r" op="equ" arg="hierBranch" func="var" name="Name129">
                      <dgm:alg type="hierChild">
                        <dgm:param val="l" type="chAlign"/>
                        <dgm:param val="fromT" type="linDir"/>
                      </dgm:alg>
                    </dgm:if>
                    <dgm:if val="hang" op="equ" arg="hierBranch" func="var" name="Name130">
                      <dgm:choose name="Name131">
                        <dgm:if val="norm" op="equ" arg="dir" func="var" name="Name132">
                          <dgm:alg type="hierChild">
                            <dgm:param val="l" type="chAlign"/>
                            <dgm:param val="fromL" type="linDir"/>
                            <dgm:param val="t" type="secChAlign"/>
                            <dgm:param val="fromT" type="secLinDir"/>
                          </dgm:alg>
                        </dgm:if>
                        <dgm:else name="Name133">
                          <dgm:alg type="hierChild">
                            <dgm:param val="l" type="chAlign"/>
                            <dgm:param val="fromR" type="linDir"/>
                            <dgm:param val="t" type="secChAlign"/>
                            <dgm:param val="fromT" type="secLinDir"/>
                          </dgm:alg>
                        </dgm:else>
                      </dgm:choose>
                    </dgm:if>
                    <dgm:if val="std" op="equ" arg="hierBranch" func="var" name="Name134">
                      <dgm:choose name="Name135">
                        <dgm:if val="norm" op="equ" arg="dir" func="var" name="Name136">
                          <dgm:alg type="hierChild"/>
                        </dgm:if>
                        <dgm:else name="Name137">
                          <dgm:alg type="hierChild">
                            <dgm:param val="fromR" type="linDir"/>
                          </dgm:alg>
                        </dgm:else>
                      </dgm:choose>
                    </dgm:if>
                    <dgm:if val="init" op="equ" arg="hierBranch" func="var" name="Name138">
                      <dgm:choose name="Name139">
                        <dgm:if axis="des" val="1" op="lte" func="maxDepth" name="Name140">
                          <dgm:alg type="hierChild">
                            <dgm:param val="l" type="chAlign"/>
                            <dgm:param val="fromT" type="linDir"/>
                          </dgm:alg>
                        </dgm:if>
                        <dgm:else name="Name141">
                          <dgm:alg type="hierChild"/>
                        </dgm:else>
                      </dgm:choose>
                    </dgm:if>
                    <dgm:else name="Name142"/>
                  </dgm:choose>
                  <dgm:shape r:blip="">
                    <dgm:adjLst/>
                  </dgm:shape>
                  <dgm:presOf/>
                  <dgm:constrLst/>
                  <dgm:ruleLst/>
                  <dgm:forEach ref="rep2a" name="Name143"/>
                </dgm:layoutNode>
                <dgm:layoutNode name="hierChild7">
                  <dgm:choose name="Name144">
                    <dgm:if val="norm" op="equ" arg="dir" func="var" name="Name145">
                      <dgm:alg type="hierChild">
                        <dgm:param val="l" type="chAlign"/>
                        <dgm:param val="fromL" type="linDir"/>
                        <dgm:param val="t" type="secChAlign"/>
                        <dgm:param val="fromT" type="secLinDir"/>
                      </dgm:alg>
                    </dgm:if>
                    <dgm:else name="Name146">
                      <dgm:alg type="hierChild">
                        <dgm:param val="l" type="chAlign"/>
                        <dgm:param val="fromR" type="linDir"/>
                        <dgm:param val="t" type="secChAlign"/>
                        <dgm:param val="fromT" type="secLinDir"/>
                      </dgm:alg>
                    </dgm:else>
                  </dgm:choose>
                  <dgm:shape r:blip="">
                    <dgm:adjLst/>
                  </dgm:shape>
                  <dgm:presOf/>
                  <dgm:constrLst/>
                  <dgm:ruleLst/>
                  <dgm:forEach ref="rep2b" name="Name147"/>
                </dgm:layoutNode>
              </dgm:layoutNode>
            </dgm:forEach>
          </dgm:layoutNode>
        </dgm:layoutNode>
      </dgm:forEach>
    </dgm:forEach>
  </dgm:layoutNode>
</dgm:layoutDef>
</file>

<file path=word/diagrams/quickStyle1.xml><?xml version="1.0" encoding="utf-8"?>
<dgm:styleDef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uniqueId="urn:microsoft.com/office/officeart/2005/8/quickstyle/simple4">
  <dgm:title val=""/>
  <dgm:desc val=""/>
  <dgm:catLst>
    <dgm:cat pri="10400" type="simple"/>
  </dgm:catLst>
  <dgm:scene3d>
    <a:camera prst="orthographicFront"/>
    <a:lightRig dir="t" rig="threePt"/>
  </dgm:scene3d>
  <dgm:styleLbl name="node0">
    <dgm:scene3d>
      <a:camera prst="orthographicFront"/>
      <a:lightRig dir="t" rig="threePt"/>
    </dgm:scene3d>
    <dgm:sp3d/>
    <dgm:txPr/>
    <dgm:style>
      <a:lnRef idx="0">
        <a:scrgbClr b="0" g="0" r="0"/>
      </a:lnRef>
      <a:fillRef idx="3">
        <a:scrgbClr b="0" g="0" r="0"/>
      </a:fillRef>
      <a:effectRef idx="2">
        <a:scrgbClr b="0" g="0" r="0"/>
      </a:effectRef>
      <a:fontRef idx="minor">
        <a:schemeClr val="lt1"/>
      </a:fontRef>
    </dgm:style>
  </dgm:styleLbl>
  <dgm:styleLbl name="lnNode1">
    <dgm:scene3d>
      <a:camera prst="orthographicFront"/>
      <a:lightRig dir="t" rig="threePt"/>
    </dgm:scene3d>
    <dgm:sp3d/>
    <dgm:txPr/>
    <dgm:style>
      <a:lnRef idx="1">
        <a:scrgbClr b="0" g="0" r="0"/>
      </a:lnRef>
      <a:fillRef idx="3">
        <a:scrgbClr b="0" g="0" r="0"/>
      </a:fillRef>
      <a:effectRef idx="2">
        <a:scrgbClr b="0" g="0" r="0"/>
      </a:effectRef>
      <a:fontRef idx="minor">
        <a:schemeClr val="lt1"/>
      </a:fontRef>
    </dgm:style>
  </dgm:styleLbl>
  <dgm:styleLbl name="vennNode1">
    <dgm:scene3d>
      <a:camera prst="orthographicFront"/>
      <a:lightRig dir="t" rig="threePt"/>
    </dgm:scene3d>
    <dgm:sp3d/>
    <dgm:txPr/>
    <dgm:style>
      <a:lnRef idx="0">
        <a:scrgbClr b="0" g="0" r="0"/>
      </a:lnRef>
      <a:fillRef idx="3">
        <a:scrgbClr b="0" g="0" r="0"/>
      </a:fillRef>
      <a:effectRef idx="0">
        <a:scrgbClr b="0" g="0" r="0"/>
      </a:effectRef>
      <a:fontRef idx="minor">
        <a:schemeClr val="tx1"/>
      </a:fontRef>
    </dgm:style>
  </dgm:styleLbl>
  <dgm:styleLbl name="alignNode1">
    <dgm:scene3d>
      <a:camera prst="orthographicFront"/>
      <a:lightRig dir="t" rig="threePt"/>
    </dgm:scene3d>
    <dgm:sp3d/>
    <dgm:txPr/>
    <dgm:style>
      <a:lnRef idx="1">
        <a:scrgbClr b="0" g="0" r="0"/>
      </a:lnRef>
      <a:fillRef idx="3">
        <a:scrgbClr b="0" g="0" r="0"/>
      </a:fillRef>
      <a:effectRef idx="2">
        <a:scrgbClr b="0" g="0" r="0"/>
      </a:effectRef>
      <a:fontRef idx="minor">
        <a:schemeClr val="lt1"/>
      </a:fontRef>
    </dgm:style>
  </dgm:styleLbl>
  <dgm:styleLbl name="node1">
    <dgm:scene3d>
      <a:camera prst="orthographicFront"/>
      <a:lightRig dir="t" rig="threePt"/>
    </dgm:scene3d>
    <dgm:sp3d/>
    <dgm:txPr/>
    <dgm:style>
      <a:lnRef idx="0">
        <a:scrgbClr b="0" g="0" r="0"/>
      </a:lnRef>
      <a:fillRef idx="3">
        <a:scrgbClr b="0" g="0" r="0"/>
      </a:fillRef>
      <a:effectRef idx="2">
        <a:scrgbClr b="0" g="0" r="0"/>
      </a:effectRef>
      <a:fontRef idx="minor">
        <a:schemeClr val="lt1"/>
      </a:fontRef>
    </dgm:style>
  </dgm:styleLbl>
  <dgm:styleLbl name="node2">
    <dgm:scene3d>
      <a:camera prst="orthographicFront"/>
      <a:lightRig dir="t" rig="threePt"/>
    </dgm:scene3d>
    <dgm:sp3d/>
    <dgm:txPr/>
    <dgm:style>
      <a:lnRef idx="0">
        <a:scrgbClr b="0" g="0" r="0"/>
      </a:lnRef>
      <a:fillRef idx="3">
        <a:scrgbClr b="0" g="0" r="0"/>
      </a:fillRef>
      <a:effectRef idx="2">
        <a:scrgbClr b="0" g="0" r="0"/>
      </a:effectRef>
      <a:fontRef idx="minor">
        <a:schemeClr val="lt1"/>
      </a:fontRef>
    </dgm:style>
  </dgm:styleLbl>
  <dgm:styleLbl name="node3">
    <dgm:scene3d>
      <a:camera prst="orthographicFront"/>
      <a:lightRig dir="t" rig="threePt"/>
    </dgm:scene3d>
    <dgm:sp3d/>
    <dgm:txPr/>
    <dgm:style>
      <a:lnRef idx="0">
        <a:scrgbClr b="0" g="0" r="0"/>
      </a:lnRef>
      <a:fillRef idx="3">
        <a:scrgbClr b="0" g="0" r="0"/>
      </a:fillRef>
      <a:effectRef idx="2">
        <a:scrgbClr b="0" g="0" r="0"/>
      </a:effectRef>
      <a:fontRef idx="minor">
        <a:schemeClr val="lt1"/>
      </a:fontRef>
    </dgm:style>
  </dgm:styleLbl>
  <dgm:styleLbl name="node4">
    <dgm:scene3d>
      <a:camera prst="orthographicFront"/>
      <a:lightRig dir="t" rig="threePt"/>
    </dgm:scene3d>
    <dgm:sp3d/>
    <dgm:txPr/>
    <dgm:style>
      <a:lnRef idx="0">
        <a:scrgbClr b="0" g="0" r="0"/>
      </a:lnRef>
      <a:fillRef idx="3">
        <a:scrgbClr b="0" g="0" r="0"/>
      </a:fillRef>
      <a:effectRef idx="2">
        <a:scrgbClr b="0" g="0" r="0"/>
      </a:effectRef>
      <a:fontRef idx="minor">
        <a:schemeClr val="lt1"/>
      </a:fontRef>
    </dgm:style>
  </dgm:styleLbl>
  <dgm:styleLbl name="fgImgPlace1">
    <dgm:scene3d>
      <a:camera prst="orthographicFront"/>
      <a:lightRig dir="t" rig="threePt"/>
    </dgm:scene3d>
    <dgm:sp3d/>
    <dgm:txPr/>
    <dgm:style>
      <a:lnRef idx="0">
        <a:scrgbClr b="0" g="0" r="0"/>
      </a:lnRef>
      <a:fillRef idx="1">
        <a:scrgbClr b="0" g="0" r="0"/>
      </a:fillRef>
      <a:effectRef idx="2">
        <a:scrgbClr b="0" g="0" r="0"/>
      </a:effectRef>
      <a:fontRef idx="minor"/>
    </dgm:style>
  </dgm:styleLbl>
  <dgm:styleLbl name="alignImgPlace1">
    <dgm:scene3d>
      <a:camera prst="orthographicFront"/>
      <a:lightRig dir="t" rig="threePt"/>
    </dgm:scene3d>
    <dgm:sp3d/>
    <dgm:txPr/>
    <dgm:style>
      <a:lnRef idx="0">
        <a:scrgbClr b="0" g="0" r="0"/>
      </a:lnRef>
      <a:fillRef idx="1">
        <a:scrgbClr b="0" g="0" r="0"/>
      </a:fillRef>
      <a:effectRef idx="2">
        <a:scrgbClr b="0" g="0" r="0"/>
      </a:effectRef>
      <a:fontRef idx="minor"/>
    </dgm:style>
  </dgm:styleLbl>
  <dgm:styleLbl name="bgImgPlace1">
    <dgm:scene3d>
      <a:camera prst="orthographicFront"/>
      <a:lightRig dir="t" rig="threePt"/>
    </dgm:scene3d>
    <dgm:sp3d/>
    <dgm:txPr/>
    <dgm:style>
      <a:lnRef idx="0">
        <a:scrgbClr b="0" g="0" r="0"/>
      </a:lnRef>
      <a:fillRef idx="1">
        <a:scrgbClr b="0" g="0" r="0"/>
      </a:fillRef>
      <a:effectRef idx="2">
        <a:scrgbClr b="0" g="0" r="0"/>
      </a:effectRef>
      <a:fontRef idx="minor"/>
    </dgm:style>
  </dgm:styleLbl>
  <dgm:styleLbl name="sibTrans2D1">
    <dgm:scene3d>
      <a:camera prst="orthographicFront"/>
      <a:lightRig dir="t" rig="threePt"/>
    </dgm:scene3d>
    <dgm:sp3d/>
    <dgm:txPr/>
    <dgm:style>
      <a:lnRef idx="0">
        <a:scrgbClr b="0" g="0" r="0"/>
      </a:lnRef>
      <a:fillRef idx="3">
        <a:scrgbClr b="0" g="0" r="0"/>
      </a:fillRef>
      <a:effectRef idx="2">
        <a:scrgbClr b="0" g="0" r="0"/>
      </a:effectRef>
      <a:fontRef idx="minor">
        <a:schemeClr val="lt1"/>
      </a:fontRef>
    </dgm:style>
  </dgm:styleLbl>
  <dgm:styleLbl name="fgSibTrans2D1">
    <dgm:scene3d>
      <a:camera prst="orthographicFront"/>
      <a:lightRig dir="t" rig="threePt"/>
    </dgm:scene3d>
    <dgm:sp3d/>
    <dgm:txPr/>
    <dgm:style>
      <a:lnRef idx="0">
        <a:scrgbClr b="0" g="0" r="0"/>
      </a:lnRef>
      <a:fillRef idx="3">
        <a:scrgbClr b="0" g="0" r="0"/>
      </a:fillRef>
      <a:effectRef idx="2">
        <a:scrgbClr b="0" g="0" r="0"/>
      </a:effectRef>
      <a:fontRef idx="minor">
        <a:schemeClr val="lt1"/>
      </a:fontRef>
    </dgm:style>
  </dgm:styleLbl>
  <dgm:styleLbl name="bgSibTrans2D1">
    <dgm:scene3d>
      <a:camera prst="orthographicFront"/>
      <a:lightRig dir="t" rig="threePt"/>
    </dgm:scene3d>
    <dgm:sp3d/>
    <dgm:txPr/>
    <dgm:style>
      <a:lnRef idx="0">
        <a:scrgbClr b="0" g="0" r="0"/>
      </a:lnRef>
      <a:fillRef idx="3">
        <a:scrgbClr b="0" g="0" r="0"/>
      </a:fillRef>
      <a:effectRef idx="2">
        <a:scrgbClr b="0" g="0" r="0"/>
      </a:effectRef>
      <a:fontRef idx="minor">
        <a:schemeClr val="lt1"/>
      </a:fontRef>
    </dgm:style>
  </dgm:styleLbl>
  <dgm:styleLbl name="sibTrans1D1">
    <dgm:scene3d>
      <a:camera prst="orthographicFront"/>
      <a:lightRig dir="t" rig="threePt"/>
    </dgm:scene3d>
    <dgm:sp3d/>
    <dgm:txPr/>
    <dgm:style>
      <a:lnRef idx="1">
        <a:scrgbClr b="0" g="0" r="0"/>
      </a:lnRef>
      <a:fillRef idx="0">
        <a:scrgbClr b="0" g="0" r="0"/>
      </a:fillRef>
      <a:effectRef idx="0">
        <a:scrgbClr b="0" g="0" r="0"/>
      </a:effectRef>
      <a:fontRef idx="minor"/>
    </dgm:style>
  </dgm:styleLbl>
  <dgm:styleLbl name="callout">
    <dgm:scene3d>
      <a:camera prst="orthographicFront"/>
      <a:lightRig dir="t" rig="threePt"/>
    </dgm:scene3d>
    <dgm:sp3d/>
    <dgm:txPr/>
    <dgm:style>
      <a:lnRef idx="2">
        <a:scrgbClr b="0" g="0" r="0"/>
      </a:lnRef>
      <a:fillRef idx="1">
        <a:scrgbClr b="0" g="0" r="0"/>
      </a:fillRef>
      <a:effectRef idx="1">
        <a:scrgbClr b="0" g="0" r="0"/>
      </a:effectRef>
      <a:fontRef idx="minor"/>
    </dgm:style>
  </dgm:styleLbl>
  <dgm:styleLbl name="asst0">
    <dgm:scene3d>
      <a:camera prst="orthographicFront"/>
      <a:lightRig dir="t" rig="threePt"/>
    </dgm:scene3d>
    <dgm:sp3d/>
    <dgm:txPr/>
    <dgm:style>
      <a:lnRef idx="0">
        <a:scrgbClr b="0" g="0" r="0"/>
      </a:lnRef>
      <a:fillRef idx="3">
        <a:scrgbClr b="0" g="0" r="0"/>
      </a:fillRef>
      <a:effectRef idx="2">
        <a:scrgbClr b="0" g="0" r="0"/>
      </a:effectRef>
      <a:fontRef idx="minor">
        <a:schemeClr val="lt1"/>
      </a:fontRef>
    </dgm:style>
  </dgm:styleLbl>
  <dgm:styleLbl name="asst1">
    <dgm:scene3d>
      <a:camera prst="orthographicFront"/>
      <a:lightRig dir="t" rig="threePt"/>
    </dgm:scene3d>
    <dgm:sp3d/>
    <dgm:txPr/>
    <dgm:style>
      <a:lnRef idx="0">
        <a:scrgbClr b="0" g="0" r="0"/>
      </a:lnRef>
      <a:fillRef idx="3">
        <a:scrgbClr b="0" g="0" r="0"/>
      </a:fillRef>
      <a:effectRef idx="2">
        <a:scrgbClr b="0" g="0" r="0"/>
      </a:effectRef>
      <a:fontRef idx="minor">
        <a:schemeClr val="lt1"/>
      </a:fontRef>
    </dgm:style>
  </dgm:styleLbl>
  <dgm:styleLbl name="asst2">
    <dgm:scene3d>
      <a:camera prst="orthographicFront"/>
      <a:lightRig dir="t" rig="threePt"/>
    </dgm:scene3d>
    <dgm:sp3d/>
    <dgm:txPr/>
    <dgm:style>
      <a:lnRef idx="0">
        <a:scrgbClr b="0" g="0" r="0"/>
      </a:lnRef>
      <a:fillRef idx="3">
        <a:scrgbClr b="0" g="0" r="0"/>
      </a:fillRef>
      <a:effectRef idx="2">
        <a:scrgbClr b="0" g="0" r="0"/>
      </a:effectRef>
      <a:fontRef idx="minor">
        <a:schemeClr val="lt1"/>
      </a:fontRef>
    </dgm:style>
  </dgm:styleLbl>
  <dgm:styleLbl name="asst3">
    <dgm:scene3d>
      <a:camera prst="orthographicFront"/>
      <a:lightRig dir="t" rig="threePt"/>
    </dgm:scene3d>
    <dgm:sp3d/>
    <dgm:txPr/>
    <dgm:style>
      <a:lnRef idx="0">
        <a:scrgbClr b="0" g="0" r="0"/>
      </a:lnRef>
      <a:fillRef idx="3">
        <a:scrgbClr b="0" g="0" r="0"/>
      </a:fillRef>
      <a:effectRef idx="2">
        <a:scrgbClr b="0" g="0" r="0"/>
      </a:effectRef>
      <a:fontRef idx="minor">
        <a:schemeClr val="lt1"/>
      </a:fontRef>
    </dgm:style>
  </dgm:styleLbl>
  <dgm:styleLbl name="asst4">
    <dgm:scene3d>
      <a:camera prst="orthographicFront"/>
      <a:lightRig dir="t" rig="threePt"/>
    </dgm:scene3d>
    <dgm:sp3d/>
    <dgm:txPr/>
    <dgm:style>
      <a:lnRef idx="0">
        <a:scrgbClr b="0" g="0" r="0"/>
      </a:lnRef>
      <a:fillRef idx="3">
        <a:scrgbClr b="0" g="0" r="0"/>
      </a:fillRef>
      <a:effectRef idx="2">
        <a:scrgbClr b="0" g="0" r="0"/>
      </a:effectRef>
      <a:fontRef idx="minor">
        <a:schemeClr val="lt1"/>
      </a:fontRef>
    </dgm:style>
  </dgm:styleLbl>
  <dgm:styleLbl name="parChTrans2D1">
    <dgm:scene3d>
      <a:camera prst="orthographicFront"/>
      <a:lightRig dir="t" rig="threePt"/>
    </dgm:scene3d>
    <dgm:sp3d/>
    <dgm:txPr/>
    <dgm:style>
      <a:lnRef idx="0">
        <a:scrgbClr b="0" g="0" r="0"/>
      </a:lnRef>
      <a:fillRef idx="3">
        <a:scrgbClr b="0" g="0" r="0"/>
      </a:fillRef>
      <a:effectRef idx="2">
        <a:scrgbClr b="0" g="0" r="0"/>
      </a:effectRef>
      <a:fontRef idx="minor">
        <a:schemeClr val="lt1"/>
      </a:fontRef>
    </dgm:style>
  </dgm:styleLbl>
  <dgm:styleLbl name="parChTrans2D2">
    <dgm:scene3d>
      <a:camera prst="orthographicFront"/>
      <a:lightRig dir="t" rig="threePt"/>
    </dgm:scene3d>
    <dgm:sp3d/>
    <dgm:txPr/>
    <dgm:style>
      <a:lnRef idx="0">
        <a:scrgbClr b="0" g="0" r="0"/>
      </a:lnRef>
      <a:fillRef idx="3">
        <a:scrgbClr b="0" g="0" r="0"/>
      </a:fillRef>
      <a:effectRef idx="2">
        <a:scrgbClr b="0" g="0" r="0"/>
      </a:effectRef>
      <a:fontRef idx="minor">
        <a:schemeClr val="lt1"/>
      </a:fontRef>
    </dgm:style>
  </dgm:styleLbl>
  <dgm:styleLbl name="parChTrans2D3">
    <dgm:scene3d>
      <a:camera prst="orthographicFront"/>
      <a:lightRig dir="t" rig="threePt"/>
    </dgm:scene3d>
    <dgm:sp3d/>
    <dgm:txPr/>
    <dgm:style>
      <a:lnRef idx="1">
        <a:scrgbClr b="0" g="0" r="0"/>
      </a:lnRef>
      <a:fillRef idx="3">
        <a:scrgbClr b="0" g="0" r="0"/>
      </a:fillRef>
      <a:effectRef idx="2">
        <a:scrgbClr b="0" g="0" r="0"/>
      </a:effectRef>
      <a:fontRef idx="minor">
        <a:schemeClr val="lt1"/>
      </a:fontRef>
    </dgm:style>
  </dgm:styleLbl>
  <dgm:styleLbl name="parChTrans2D4">
    <dgm:scene3d>
      <a:camera prst="orthographicFront"/>
      <a:lightRig dir="t" rig="threePt"/>
    </dgm:scene3d>
    <dgm:sp3d/>
    <dgm:txPr/>
    <dgm:style>
      <a:lnRef idx="1">
        <a:scrgbClr b="0" g="0" r="0"/>
      </a:lnRef>
      <a:fillRef idx="3">
        <a:scrgbClr b="0" g="0" r="0"/>
      </a:fillRef>
      <a:effectRef idx="2">
        <a:scrgbClr b="0" g="0" r="0"/>
      </a:effectRef>
      <a:fontRef idx="minor">
        <a:schemeClr val="lt1"/>
      </a:fontRef>
    </dgm:style>
  </dgm:styleLbl>
  <dgm:styleLbl name="parChTrans1D1">
    <dgm:scene3d>
      <a:camera prst="orthographicFront"/>
      <a:lightRig dir="t" rig="threePt"/>
    </dgm:scene3d>
    <dgm:sp3d/>
    <dgm:txPr/>
    <dgm:style>
      <a:lnRef idx="1">
        <a:scrgbClr b="0" g="0" r="0"/>
      </a:lnRef>
      <a:fillRef idx="0">
        <a:scrgbClr b="0" g="0" r="0"/>
      </a:fillRef>
      <a:effectRef idx="0">
        <a:scrgbClr b="0" g="0" r="0"/>
      </a:effectRef>
      <a:fontRef idx="minor"/>
    </dgm:style>
  </dgm:styleLbl>
  <dgm:styleLbl name="parChTrans1D2">
    <dgm:scene3d>
      <a:camera prst="orthographicFront"/>
      <a:lightRig dir="t" rig="threePt"/>
    </dgm:scene3d>
    <dgm:sp3d/>
    <dgm:txPr/>
    <dgm:style>
      <a:lnRef idx="1">
        <a:scrgbClr b="0" g="0" r="0"/>
      </a:lnRef>
      <a:fillRef idx="0">
        <a:scrgbClr b="0" g="0" r="0"/>
      </a:fillRef>
      <a:effectRef idx="0">
        <a:scrgbClr b="0" g="0" r="0"/>
      </a:effectRef>
      <a:fontRef idx="minor"/>
    </dgm:style>
  </dgm:styleLbl>
  <dgm:styleLbl name="parChTrans1D3">
    <dgm:scene3d>
      <a:camera prst="orthographicFront"/>
      <a:lightRig dir="t" rig="threePt"/>
    </dgm:scene3d>
    <dgm:sp3d/>
    <dgm:txPr/>
    <dgm:style>
      <a:lnRef idx="1">
        <a:scrgbClr b="0" g="0" r="0"/>
      </a:lnRef>
      <a:fillRef idx="0">
        <a:scrgbClr b="0" g="0" r="0"/>
      </a:fillRef>
      <a:effectRef idx="0">
        <a:scrgbClr b="0" g="0" r="0"/>
      </a:effectRef>
      <a:fontRef idx="minor"/>
    </dgm:style>
  </dgm:styleLbl>
  <dgm:styleLbl name="parChTrans1D4">
    <dgm:scene3d>
      <a:camera prst="orthographicFront"/>
      <a:lightRig dir="t" rig="threePt"/>
    </dgm:scene3d>
    <dgm:sp3d/>
    <dgm:txPr/>
    <dgm:style>
      <a:lnRef idx="1">
        <a:scrgbClr b="0" g="0" r="0"/>
      </a:lnRef>
      <a:fillRef idx="0">
        <a:scrgbClr b="0" g="0" r="0"/>
      </a:fillRef>
      <a:effectRef idx="0">
        <a:scrgbClr b="0" g="0" r="0"/>
      </a:effectRef>
      <a:fontRef idx="minor"/>
    </dgm:style>
  </dgm:styleLbl>
  <dgm:styleLbl name="fgAcc1">
    <dgm:scene3d>
      <a:camera prst="orthographicFront"/>
      <a:lightRig dir="t" rig="threePt"/>
    </dgm:scene3d>
    <dgm:sp3d/>
    <dgm:txPr/>
    <dgm:style>
      <a:lnRef idx="1">
        <a:scrgbClr b="0" g="0" r="0"/>
      </a:lnRef>
      <a:fillRef idx="1">
        <a:scrgbClr b="0" g="0" r="0"/>
      </a:fillRef>
      <a:effectRef idx="0">
        <a:scrgbClr b="0" g="0" r="0"/>
      </a:effectRef>
      <a:fontRef idx="minor"/>
    </dgm:style>
  </dgm:styleLbl>
  <dgm:styleLbl name="conFgAcc1">
    <dgm:scene3d>
      <a:camera prst="orthographicFront"/>
      <a:lightRig dir="t" rig="threePt"/>
    </dgm:scene3d>
    <dgm:sp3d/>
    <dgm:txPr/>
    <dgm:style>
      <a:lnRef idx="1">
        <a:scrgbClr b="0" g="0" r="0"/>
      </a:lnRef>
      <a:fillRef idx="1">
        <a:scrgbClr b="0" g="0" r="0"/>
      </a:fillRef>
      <a:effectRef idx="0">
        <a:scrgbClr b="0" g="0" r="0"/>
      </a:effectRef>
      <a:fontRef idx="minor"/>
    </dgm:style>
  </dgm:styleLbl>
  <dgm:styleLbl name="alignAcc1">
    <dgm:scene3d>
      <a:camera prst="orthographicFront"/>
      <a:lightRig dir="t" rig="threePt"/>
    </dgm:scene3d>
    <dgm:sp3d/>
    <dgm:txPr/>
    <dgm:style>
      <a:lnRef idx="1">
        <a:scrgbClr b="0" g="0" r="0"/>
      </a:lnRef>
      <a:fillRef idx="1">
        <a:scrgbClr b="0" g="0" r="0"/>
      </a:fillRef>
      <a:effectRef idx="0">
        <a:scrgbClr b="0" g="0" r="0"/>
      </a:effectRef>
      <a:fontRef idx="minor"/>
    </dgm:style>
  </dgm:styleLbl>
  <dgm:styleLbl name="trAlignAcc1">
    <dgm:scene3d>
      <a:camera prst="orthographicFront"/>
      <a:lightRig dir="t" rig="threePt"/>
    </dgm:scene3d>
    <dgm:sp3d/>
    <dgm:txPr/>
    <dgm:style>
      <a:lnRef idx="1">
        <a:scrgbClr b="0" g="0" r="0"/>
      </a:lnRef>
      <a:fillRef idx="1">
        <a:scrgbClr b="0" g="0" r="0"/>
      </a:fillRef>
      <a:effectRef idx="0">
        <a:scrgbClr b="0" g="0" r="0"/>
      </a:effectRef>
      <a:fontRef idx="minor"/>
    </dgm:style>
  </dgm:styleLbl>
  <dgm:styleLbl name="bgAcc1">
    <dgm:scene3d>
      <a:camera prst="orthographicFront"/>
      <a:lightRig dir="t" rig="threePt"/>
    </dgm:scene3d>
    <dgm:sp3d/>
    <dgm:txPr/>
    <dgm:style>
      <a:lnRef idx="1">
        <a:scrgbClr b="0" g="0" r="0"/>
      </a:lnRef>
      <a:fillRef idx="1">
        <a:scrgbClr b="0" g="0" r="0"/>
      </a:fillRef>
      <a:effectRef idx="0">
        <a:scrgbClr b="0" g="0" r="0"/>
      </a:effectRef>
      <a:fontRef idx="minor"/>
    </dgm:style>
  </dgm:styleLbl>
  <dgm:styleLbl name="solidFgAcc1">
    <dgm:scene3d>
      <a:camera prst="orthographicFront"/>
      <a:lightRig dir="t" rig="threePt"/>
    </dgm:scene3d>
    <dgm:sp3d/>
    <dgm:txPr/>
    <dgm:style>
      <a:lnRef idx="1">
        <a:scrgbClr b="0" g="0" r="0"/>
      </a:lnRef>
      <a:fillRef idx="1">
        <a:scrgbClr b="0" g="0" r="0"/>
      </a:fillRef>
      <a:effectRef idx="0">
        <a:scrgbClr b="0" g="0" r="0"/>
      </a:effectRef>
      <a:fontRef idx="minor"/>
    </dgm:style>
  </dgm:styleLbl>
  <dgm:styleLbl name="solidAlignAcc1">
    <dgm:scene3d>
      <a:camera prst="orthographicFront"/>
      <a:lightRig dir="t" rig="threePt"/>
    </dgm:scene3d>
    <dgm:sp3d/>
    <dgm:txPr/>
    <dgm:style>
      <a:lnRef idx="1">
        <a:scrgbClr b="0" g="0" r="0"/>
      </a:lnRef>
      <a:fillRef idx="1">
        <a:scrgbClr b="0" g="0" r="0"/>
      </a:fillRef>
      <a:effectRef idx="0">
        <a:scrgbClr b="0" g="0" r="0"/>
      </a:effectRef>
      <a:fontRef idx="minor"/>
    </dgm:style>
  </dgm:styleLbl>
  <dgm:styleLbl name="solidBgAcc1">
    <dgm:scene3d>
      <a:camera prst="orthographicFront"/>
      <a:lightRig dir="t" rig="threePt"/>
    </dgm:scene3d>
    <dgm:sp3d/>
    <dgm:txPr/>
    <dgm:style>
      <a:lnRef idx="1">
        <a:scrgbClr b="0" g="0" r="0"/>
      </a:lnRef>
      <a:fillRef idx="1">
        <a:scrgbClr b="0" g="0" r="0"/>
      </a:fillRef>
      <a:effectRef idx="0">
        <a:scrgbClr b="0" g="0" r="0"/>
      </a:effectRef>
      <a:fontRef idx="minor"/>
    </dgm:style>
  </dgm:styleLbl>
  <dgm:styleLbl name="fgAccFollowNode1">
    <dgm:scene3d>
      <a:camera prst="orthographicFront"/>
      <a:lightRig dir="t" rig="threePt"/>
    </dgm:scene3d>
    <dgm:sp3d/>
    <dgm:txPr/>
    <dgm:style>
      <a:lnRef idx="1">
        <a:scrgbClr b="0" g="0" r="0"/>
      </a:lnRef>
      <a:fillRef idx="1">
        <a:scrgbClr b="0" g="0" r="0"/>
      </a:fillRef>
      <a:effectRef idx="0">
        <a:scrgbClr b="0" g="0" r="0"/>
      </a:effectRef>
      <a:fontRef idx="minor"/>
    </dgm:style>
  </dgm:styleLbl>
  <dgm:styleLbl name="alignAccFollowNode1">
    <dgm:scene3d>
      <a:camera prst="orthographicFront"/>
      <a:lightRig dir="t" rig="threePt"/>
    </dgm:scene3d>
    <dgm:sp3d/>
    <dgm:txPr/>
    <dgm:style>
      <a:lnRef idx="1">
        <a:scrgbClr b="0" g="0" r="0"/>
      </a:lnRef>
      <a:fillRef idx="1">
        <a:scrgbClr b="0" g="0" r="0"/>
      </a:fillRef>
      <a:effectRef idx="0">
        <a:scrgbClr b="0" g="0" r="0"/>
      </a:effectRef>
      <a:fontRef idx="minor"/>
    </dgm:style>
  </dgm:styleLbl>
  <dgm:styleLbl name="bgAccFollowNode1">
    <dgm:scene3d>
      <a:camera prst="orthographicFront"/>
      <a:lightRig dir="t" rig="threePt"/>
    </dgm:scene3d>
    <dgm:sp3d/>
    <dgm:txPr/>
    <dgm:style>
      <a:lnRef idx="1">
        <a:scrgbClr b="0" g="0" r="0"/>
      </a:lnRef>
      <a:fillRef idx="1">
        <a:scrgbClr b="0" g="0" r="0"/>
      </a:fillRef>
      <a:effectRef idx="0">
        <a:scrgbClr b="0" g="0" r="0"/>
      </a:effectRef>
      <a:fontRef idx="minor"/>
    </dgm:style>
  </dgm:styleLbl>
  <dgm:styleLbl name="fgAcc0">
    <dgm:scene3d>
      <a:camera prst="orthographicFront"/>
      <a:lightRig dir="t" rig="threePt"/>
    </dgm:scene3d>
    <dgm:sp3d/>
    <dgm:txPr/>
    <dgm:style>
      <a:lnRef idx="1">
        <a:scrgbClr b="0" g="0" r="0"/>
      </a:lnRef>
      <a:fillRef idx="1">
        <a:scrgbClr b="0" g="0" r="0"/>
      </a:fillRef>
      <a:effectRef idx="0">
        <a:scrgbClr b="0" g="0" r="0"/>
      </a:effectRef>
      <a:fontRef idx="minor"/>
    </dgm:style>
  </dgm:styleLbl>
  <dgm:styleLbl name="fgAcc2">
    <dgm:scene3d>
      <a:camera prst="orthographicFront"/>
      <a:lightRig dir="t" rig="threePt"/>
    </dgm:scene3d>
    <dgm:sp3d/>
    <dgm:txPr/>
    <dgm:style>
      <a:lnRef idx="1">
        <a:scrgbClr b="0" g="0" r="0"/>
      </a:lnRef>
      <a:fillRef idx="1">
        <a:scrgbClr b="0" g="0" r="0"/>
      </a:fillRef>
      <a:effectRef idx="0">
        <a:scrgbClr b="0" g="0" r="0"/>
      </a:effectRef>
      <a:fontRef idx="minor"/>
    </dgm:style>
  </dgm:styleLbl>
  <dgm:styleLbl name="fgAcc3">
    <dgm:scene3d>
      <a:camera prst="orthographicFront"/>
      <a:lightRig dir="t" rig="threePt"/>
    </dgm:scene3d>
    <dgm:sp3d/>
    <dgm:txPr/>
    <dgm:style>
      <a:lnRef idx="1">
        <a:scrgbClr b="0" g="0" r="0"/>
      </a:lnRef>
      <a:fillRef idx="1">
        <a:scrgbClr b="0" g="0" r="0"/>
      </a:fillRef>
      <a:effectRef idx="0">
        <a:scrgbClr b="0" g="0" r="0"/>
      </a:effectRef>
      <a:fontRef idx="minor"/>
    </dgm:style>
  </dgm:styleLbl>
  <dgm:styleLbl name="fgAcc4">
    <dgm:scene3d>
      <a:camera prst="orthographicFront"/>
      <a:lightRig dir="t" rig="threePt"/>
    </dgm:scene3d>
    <dgm:sp3d/>
    <dgm:txPr/>
    <dgm:style>
      <a:lnRef idx="1">
        <a:scrgbClr b="0" g="0" r="0"/>
      </a:lnRef>
      <a:fillRef idx="1">
        <a:scrgbClr b="0" g="0" r="0"/>
      </a:fillRef>
      <a:effectRef idx="0">
        <a:scrgbClr b="0" g="0" r="0"/>
      </a:effectRef>
      <a:fontRef idx="minor"/>
    </dgm:style>
  </dgm:styleLbl>
  <dgm:styleLbl name="bgShp">
    <dgm:scene3d>
      <a:camera prst="orthographicFront"/>
      <a:lightRig dir="t" rig="threePt"/>
    </dgm:scene3d>
    <dgm:sp3d/>
    <dgm:txPr/>
    <dgm:style>
      <a:lnRef idx="0">
        <a:scrgbClr b="0" g="0" r="0"/>
      </a:lnRef>
      <a:fillRef idx="1">
        <a:scrgbClr b="0" g="0" r="0"/>
      </a:fillRef>
      <a:effectRef idx="2">
        <a:scrgbClr b="0" g="0" r="0"/>
      </a:effectRef>
      <a:fontRef idx="minor"/>
    </dgm:style>
  </dgm:styleLbl>
  <dgm:styleLbl name="dkBgShp">
    <dgm:scene3d>
      <a:camera prst="orthographicFront"/>
      <a:lightRig dir="t" rig="threePt"/>
    </dgm:scene3d>
    <dgm:sp3d/>
    <dgm:txPr/>
    <dgm:style>
      <a:lnRef idx="0">
        <a:scrgbClr b="0" g="0" r="0"/>
      </a:lnRef>
      <a:fillRef idx="1">
        <a:scrgbClr b="0" g="0" r="0"/>
      </a:fillRef>
      <a:effectRef idx="2">
        <a:scrgbClr b="0" g="0" r="0"/>
      </a:effectRef>
      <a:fontRef idx="minor"/>
    </dgm:style>
  </dgm:styleLbl>
  <dgm:styleLbl name="trBgShp">
    <dgm:scene3d>
      <a:camera prst="orthographicFront"/>
      <a:lightRig dir="t" rig="threePt"/>
    </dgm:scene3d>
    <dgm:sp3d/>
    <dgm:txPr/>
    <dgm:style>
      <a:lnRef idx="0">
        <a:scrgbClr b="0" g="0" r="0"/>
      </a:lnRef>
      <a:fillRef idx="1">
        <a:scrgbClr b="0" g="0" r="0"/>
      </a:fillRef>
      <a:effectRef idx="0">
        <a:scrgbClr b="0" g="0" r="0"/>
      </a:effectRef>
      <a:fontRef idx="minor"/>
    </dgm:style>
  </dgm:styleLbl>
  <dgm:styleLbl name="fgShp">
    <dgm:scene3d>
      <a:camera prst="orthographicFront"/>
      <a:lightRig dir="t" rig="threePt"/>
    </dgm:scene3d>
    <dgm:sp3d/>
    <dgm:txPr/>
    <dgm:style>
      <a:lnRef idx="0">
        <a:scrgbClr b="0" g="0" r="0"/>
      </a:lnRef>
      <a:fillRef idx="3">
        <a:scrgbClr b="0" g="0" r="0"/>
      </a:fillRef>
      <a:effectRef idx="2">
        <a:scrgbClr b="0" g="0" r="0"/>
      </a:effectRef>
      <a:fontRef idx="minor"/>
    </dgm:style>
  </dgm:styleLbl>
  <dgm:styleLbl name="revTx">
    <dgm:scene3d>
      <a:camera prst="orthographicFront"/>
      <a:lightRig dir="t" rig="threePt"/>
    </dgm:scene3d>
    <dgm:sp3d/>
    <dgm:txPr/>
    <dgm:style>
      <a:lnRef idx="0">
        <a:scrgbClr b="0" g="0" r="0"/>
      </a:lnRef>
      <a:fillRef idx="0">
        <a:scrgbClr b="0" g="0" r="0"/>
      </a:fillRef>
      <a:effectRef idx="0">
        <a:scrgbClr b="0" g="0" r="0"/>
      </a:effectRef>
      <a:fontRef idx="minor"/>
    </dgm:style>
  </dgm:styleLbl>
</dgm:styleDef>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rujna 2016.</izvorni_sadrzaj>
    <derivirana_varijabla naziv="DomainObject.DatumDonosenjaOdluke_1">16.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St-1338/2016-7</izvorni_sadrzaj>
    <derivirana_varijabla naziv="DomainObject.Oznaka_1">St-1338/2016-7</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40</izvorni_sadrzaj>
    <derivirana_varijabla naziv="DomainObject.BrojStranica_1">40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1338</izvorni_sadrzaj>
    <derivirana_varijabla naziv="DomainObject.Predmet.Broj_1">1338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St-1338/2016</izvorni_sadrzaj>
    <derivirana_varijabla naziv="DomainObject.Predmet.OznakaBroj_1">St-1338/2016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računovodstvo dostavilo obavijest o
upl. 5.000,00 kn 10.08.2016.</izvorni_sadrzaj>
    <derivirana_varijabla naziv="DomainObject.Predmet.PrimjedbaSuca_1">računovodstvo dostavilo obavijest o
upl. 5.000,00 kn 10.08.2016.</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RATARSTVO društvo s ograničenom odgovornošću za poljoprivrednu proizvodnju i trgovinu</izvorni_sadrzaj>
    <derivirana_varijabla naziv="DomainObject.Predmet.StrankaFormated_1">  RATARSTVO društvo s ograničenom odgovornošću za poljoprivrednu proizvodnju i trgovinu</derivirana_varijabla>
  </DomainObject.Predmet.StrankaFormated>
  <DomainObject.Predmet.StrankaFormatedOIB>
    <izvorni_sadrzaj>  RATARSTVO društvo s ograničenom odgovornošću za poljoprivrednu proizvodnju i trgovinu, OIB 39141474711</izvorni_sadrzaj>
    <derivirana_varijabla naziv="DomainObject.Predmet.StrankaFormatedOIB_1">  RATARSTVO društvo s ograničenom odgovornošću za poljoprivrednu proizvodnju i trgovinu, OIB 39141474711</derivirana_varijabla>
  </DomainObject.Predmet.StrankaFormatedOIB>
  <DomainObject.Predmet.StrankaFormatedWithAdress>
    <izvorni_sadrzaj> RATARSTVO društvo s ograničenom odgovornošću za poljoprivrednu proizvodnju i trgovinu, Matice Hrvatske 4/I, 43000 Bjelovar</izvorni_sadrzaj>
    <derivirana_varijabla naziv="DomainObject.Predmet.StrankaFormatedWithAdress_1"> RATARSTVO društvo s ograničenom odgovornošću za poljoprivrednu proizvodnju i trgovinu, Matice Hrvatske 4/I, 43000 Bjelovar</derivirana_varijabla>
  </DomainObject.Predmet.StrankaFormatedWithAdress>
  <DomainObject.Predmet.StrankaFormatedWithAdressOIB>
    <izvorni_sadrzaj> RATARSTVO društvo s ograničenom odgovornošću za poljoprivrednu proizvodnju i trgovinu, OIB 39141474711, Matice Hrvatske 4/I, 43000 Bjelovar</izvorni_sadrzaj>
    <derivirana_varijabla naziv="DomainObject.Predmet.StrankaFormatedWithAdressOIB_1"> RATARSTVO društvo s ograničenom odgovornošću za poljoprivrednu proizvodnju i trgovinu, OIB 39141474711, Matice Hrvatske 4/I, 43000 Bjelovar</derivirana_varijabla>
  </DomainObject.Predmet.StrankaFormatedWithAdressOIB>
  <DomainObject.Predmet.StrankaWithAdress>
    <izvorni_sadrzaj>RATARSTVO društvo s ograničenom odgovornošću za poljoprivrednu proizvodnju i trgovinu Matice Hrvatske 4/I,43000 Bjelovar</izvorni_sadrzaj>
    <derivirana_varijabla naziv="DomainObject.Predmet.StrankaWithAdress_1">RATARSTVO društvo s ograničenom odgovornošću za poljoprivrednu proizvodnju i trgovinu Matice Hrvatske 4/I,43000 Bjelovar</derivirana_varijabla>
  </DomainObject.Predmet.StrankaWithAdress>
  <DomainObject.Predmet.StrankaWithAdressOIB>
    <izvorni_sadrzaj>RATARSTVO društvo s ograničenom odgovornošću za poljoprivrednu proizvodnju i trgovinu, OIB 39141474711, Matice Hrvatske 4/I,43000 Bjelovar</izvorni_sadrzaj>
    <derivirana_varijabla naziv="DomainObject.Predmet.StrankaWithAdressOIB_1">RATARSTVO društvo s ograničenom odgovornošću za poljoprivrednu proizvodnju i trgovinu, OIB 39141474711, Matice Hrvatske 4/I,43000 Bjelovar</derivirana_varijabla>
  </DomainObject.Predmet.StrankaWithAdressOIB>
  <DomainObject.Predmet.StrankaNazivFormated>
    <izvorni_sadrzaj>RATARSTVO društvo s ograničenom odgovornošću za poljoprivrednu proizvodnju i trgovinu</izvorni_sadrzaj>
    <derivirana_varijabla naziv="DomainObject.Predmet.StrankaNazivFormated_1">RATARSTVO društvo s ograničenom odgovornošću za poljoprivrednu proizvodnju i trgovinu</derivirana_varijabla>
  </DomainObject.Predmet.StrankaNazivFormated>
  <DomainObject.Predmet.StrankaNazivFormatedOIB>
    <izvorni_sadrzaj>RATARSTVO društvo s ograničenom odgovornošću za poljoprivrednu proizvodnju i trgovinu, OIB 39141474711</izvorni_sadrzaj>
    <derivirana_varijabla naziv="DomainObject.Predmet.StrankaNazivFormatedOIB_1">RATARSTVO društvo s ograničenom odgovornošću za poljoprivrednu proizvodnju i trgovinu, OIB 39141474711</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RATARSTVO društvo s ograničenom odgovornošću za poljoprivrednu proizvodnju i trgovinu</item>
    </izvorni_sadrzaj>
    <derivirana_varijabla naziv="DomainObject.Predmet.StrankaListFormated_1">
      <item>RATARSTVO društvo s ograničenom odgovornošću za poljoprivrednu proizvodnju i trgovinu</item>
    </derivirana_varijabla>
  </DomainObject.Predmet.StrankaListFormated>
  <DomainObject.Predmet.StrankaListFormatedOIB>
    <izvorni_sadrzaj>
      <item>RATARSTVO društvo s ograničenom odgovornošću za poljoprivrednu proizvodnju i trgovinu, OIB 39141474711</item>
    </izvorni_sadrzaj>
    <derivirana_varijabla naziv="DomainObject.Predmet.StrankaListFormatedOIB_1">
      <item>RATARSTVO društvo s ograničenom odgovornošću za poljoprivrednu proizvodnju i trgovinu, OIB 39141474711</item>
    </derivirana_varijabla>
  </DomainObject.Predmet.StrankaListFormatedOIB>
  <DomainObject.Predmet.StrankaListFormatedWithAdress>
    <izvorni_sadrzaj>
      <item>RATARSTVO društvo s ograničenom odgovornošću za poljoprivrednu proizvodnju i trgovinu, Matice Hrvatske 4/I, 43000 Bjelovar</item>
    </izvorni_sadrzaj>
    <derivirana_varijabla naziv="DomainObject.Predmet.StrankaListFormatedWithAdress_1">
      <item>RATARSTVO društvo s ograničenom odgovornošću za poljoprivrednu proizvodnju i trgovinu, Matice Hrvatske 4/I, 43000 Bjelovar</item>
    </derivirana_varijabla>
  </DomainObject.Predmet.StrankaListFormatedWithAdress>
  <DomainObject.Predmet.StrankaListFormatedWithAdressOIB>
    <izvorni_sadrzaj>
      <item>RATARSTVO društvo s ograničenom odgovornošću za poljoprivrednu proizvodnju i trgovinu, OIB 39141474711, Matice Hrvatske 4/I, 43000 Bjelovar</item>
    </izvorni_sadrzaj>
    <derivirana_varijabla naziv="DomainObject.Predmet.StrankaListFormatedWithAdressOIB_1">
      <item>RATARSTVO društvo s ograničenom odgovornošću za poljoprivrednu proizvodnju i trgovinu, OIB 39141474711, Matice Hrvatske 4/I, 43000 Bjelovar</item>
    </derivirana_varijabla>
  </DomainObject.Predmet.StrankaListFormatedWithAdressOIB>
  <DomainObject.Predmet.StrankaListNazivFormated>
    <izvorni_sadrzaj>
      <item>RATARSTVO društvo s ograničenom odgovornošću za poljoprivrednu proizvodnju i trgovinu</item>
    </izvorni_sadrzaj>
    <derivirana_varijabla naziv="DomainObject.Predmet.StrankaListNazivFormated_1">
      <item>RATARSTVO društvo s ograničenom odgovornošću za poljoprivrednu proizvodnju i trgovinu</item>
    </derivirana_varijabla>
  </DomainObject.Predmet.StrankaListNazivFormated>
  <DomainObject.Predmet.StrankaListNazivFormatedOIB>
    <izvorni_sadrzaj>
      <item>RATARSTVO društvo s ograničenom odgovornošću za poljoprivrednu proizvodnju i trgovinu, OIB 39141474711</item>
    </izvorni_sadrzaj>
    <derivirana_varijabla naziv="DomainObject.Predmet.StrankaListNazivFormatedOIB_1">
      <item>RATARSTVO društvo s ograničenom odgovornošću za poljoprivrednu proizvodnju i trgovinu, OIB 39141474711</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Pavao Mrkonjić, odvjetnik</item>
    </izvorni_sadrzaj>
    <derivirana_varijabla naziv="DomainObject.Predmet.OstaliListFormated_1">
      <item>Pavao Mrkonjić, odvjetnik</item>
    </derivirana_varijabla>
  </DomainObject.Predmet.OstaliListFormated>
  <DomainObject.Predmet.OstaliListFormatedOIB>
    <izvorni_sadrzaj>
      <item>Pavao Mrkonjić, odvjetnik</item>
    </izvorni_sadrzaj>
    <derivirana_varijabla naziv="DomainObject.Predmet.OstaliListFormatedOIB_1">
      <item>Pavao Mrkonjić, odvjetnik</item>
    </derivirana_varijabla>
  </DomainObject.Predmet.OstaliListFormatedOIB>
  <DomainObject.Predmet.OstaliListFormatedWithAdress>
    <izvorni_sadrzaj>
      <item>Pavao Mrkonjić, odvjetnik, Ante Topić Mimare 24, 10000 Zagreb</item>
    </izvorni_sadrzaj>
    <derivirana_varijabla naziv="DomainObject.Predmet.OstaliListFormatedWithAdress_1">
      <item>Pavao Mrkonjić, odvjetnik, Ante Topić Mimare 24, 10000 Zagreb</item>
    </derivirana_varijabla>
  </DomainObject.Predmet.OstaliListFormatedWithAdress>
  <DomainObject.Predmet.OstaliListFormatedWithAdressOIB>
    <izvorni_sadrzaj>
      <item>Pavao Mrkonjić, odvjetnik, Ante Topić Mimare 24, 10000 Zagreb</item>
    </izvorni_sadrzaj>
    <derivirana_varijabla naziv="DomainObject.Predmet.OstaliListFormatedWithAdressOIB_1">
      <item>Pavao Mrkonjić, odvjetnik, Ante Topić Mimare 24, 10000 Zagreb</item>
    </derivirana_varijabla>
  </DomainObject.Predmet.OstaliListFormatedWithAdressOIB>
  <DomainObject.Predmet.OstaliListNazivFormated>
    <izvorni_sadrzaj>
      <item>Pavao Mrkonjić, odvjetnik</item>
    </izvorni_sadrzaj>
    <derivirana_varijabla naziv="DomainObject.Predmet.OstaliListNazivFormated_1">
      <item>Pavao Mrkonjić, odvjetnik</item>
    </derivirana_varijabla>
  </DomainObject.Predmet.OstaliListNazivFormated>
  <DomainObject.Predmet.OstaliListNazivFormatedOIB>
    <izvorni_sadrzaj>
      <item>Pavao Mrkonjić, odvjetnik</item>
    </izvorni_sadrzaj>
    <derivirana_varijabla naziv="DomainObject.Predmet.OstaliListNazivFormatedOIB_1">
      <item>Pavao Mrkonjić, odvjetnik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rujna 2016.</izvorni_sadrzaj>
    <derivirana_varijabla naziv="DomainObject.Datum_1">16. rujna 2016.</derivirana_varijabla>
  </DomainObject.Datum>
  <DomainObject.PoslovniBrojDokumenta>
    <izvorni_sadrzaj>St-1338/2016-7</izvorni_sadrzaj>
    <derivirana_varijabla naziv="DomainObject.PoslovniBrojDokumenta_1">St-1338/2016-7</derivirana_varijabla>
  </DomainObject.PoslovniBrojDokumenta>
  <DomainObject.Predmet.StrankaIDrugi>
    <izvorni_sadrzaj>RATARSTVO društvo s ograničenom odgovornošću za poljoprivrednu proizvodnju i trgovinu</izvorni_sadrzaj>
    <derivirana_varijabla naziv="DomainObject.Predmet.StrankaIDrugi_1">RATARSTVO društvo s ograničenom odgovornošću za poljoprivrednu proizvodnju i trgovinu</derivirana_varijabla>
  </DomainObject.Predmet.StrankaIDrugi>
  <DomainObject.Predmet.ProtustrankaIDrugi>
    <izvorni_sadrzaj/>
    <derivirana_varijabla naziv="DomainObject.Predmet.ProtustrankaIDrugi_1"/>
  </DomainObject.Predmet.ProtustrankaIDrugi>
  <DomainObject.Predmet.StrankaIDrugiAdressOIB>
    <izvorni_sadrzaj>RATARSTVO društvo s ograničenom odgovornošću za poljoprivrednu proizvodnju i trgovinu, OIB 39141474711, Matice Hrvatske 4/I, 43000 Bjelovar</izvorni_sadrzaj>
    <derivirana_varijabla naziv="DomainObject.Predmet.StrankaIDrugiAdressOIB_1">RATARSTVO društvo s ograničenom odgovornošću za poljoprivrednu proizvodnju i trgovinu, OIB 39141474711, Matice Hrvatske 4/I,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RATARSTVO društvo s ograničenom odgovornošću za poljoprivrednu proizvodnju i trgovinu</item>
      <item>Pavao Mrkonjić, odvjetnik</item>
    </izvorni_sadrzaj>
    <derivirana_varijabla naziv="DomainObject.Predmet.SudioniciListNaziv_1">
      <item>RATARSTVO društvo s ograničenom odgovornošću za poljoprivrednu proizvodnju i trgovinu</item>
      <item>Pavao Mrkonjić, odvjetnik</item>
    </derivirana_varijabla>
  </DomainObject.Predmet.SudioniciListNaziv>
  <DomainObject.Predmet.SudioniciListAdressOIB>
    <izvorni_sadrzaj>
      <item>RATARSTVO društvo s ograničenom odgovornošću za poljoprivrednu proizvodnju i trgovinu, OIB 39141474711, Matice Hrvatske 4/I,43000 Bjelovar</item>
      <item>Pavao Mrkonjić, odvjetnik, Ante Topić Mimare 24,10000 Zagreb</item>
    </izvorni_sadrzaj>
    <derivirana_varijabla naziv="DomainObject.Predmet.SudioniciListAdressOIB_1">
      <item>RATARSTVO društvo s ograničenom odgovornošću za poljoprivrednu proizvodnju i trgovinu, OIB 39141474711, Matice Hrvatske 4/I,43000 Bjelovar</item>
      <item>Pavao Mrkonjić, odvjetnik, Ante Topić Mimare 24,10000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FFE29E-0877-414D-949B-67640E4E4E6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51</properties:Pages>
  <properties:Words>7844</properties:Words>
  <properties:Characters>47753</properties:Characters>
  <properties:Lines>2829</properties:Lines>
  <properties:Paragraphs>1704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55142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2016-09-16T08:32:00Z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51</vt:i4>
  </prop:property>
  <prop:property name="Naslov" pid="5" fmtid="{D5CDD505-2E9C-101B-9397-08002B2CF9AE}">
    <vt:lpwstr>St-1338/2016-7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