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0083" w14:paraId="5e60083" w:rsidRDefault="00A53892" w:rsidP="00A53892" w:rsidR="00A53892" w:rsidRPr="006F44C4">
      <w:pPr>
        <w:jc w:val="both"/>
        <w15:collapsed w:val="false"/>
      </w:pPr>
      <w:bookmarkStart w:name="_GoBack" w:id="0"/>
      <w:bookmarkEnd w:id="0"/>
      <w:r>
        <w:rPr>
          <w:bCs/>
        </w:rPr>
        <w:t xml:space="preserve">                       </w:t>
      </w:r>
      <w:r>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A53892" w:rsidP="00A53892" w:rsidR="00A53892" w:rsidRPr="006F44C4">
      <w:pPr>
        <w:jc w:val="both"/>
      </w:pPr>
      <w:r w:rsidRPr="006F44C4">
        <w:t xml:space="preserve">       REPUBLIKA HRVATSKA</w:t>
      </w:r>
    </w:p>
    <w:p w:rsidRDefault="00A53892" w:rsidP="00A53892" w:rsidR="00A53892" w:rsidRPr="006F44C4">
      <w:pPr>
        <w:jc w:val="both"/>
      </w:pPr>
      <w:r w:rsidRPr="006F44C4">
        <w:t>TRGOVAČKI SUD U VARAŽDINU</w:t>
      </w:r>
    </w:p>
    <w:p w:rsidRDefault="00A53892" w:rsidP="00063095" w:rsidR="00430FBC">
      <w:pPr>
        <w:rPr>
          <w:bCs/>
        </w:rPr>
      </w:pPr>
      <w:r>
        <w:t xml:space="preserve">                   </w:t>
      </w:r>
      <w:r w:rsidRPr="006F44C4">
        <w:t>B. Radić 2</w:t>
      </w:r>
      <w:r w:rsidRPr="006F44C4">
        <w:rPr>
          <w:bCs/>
        </w:rPr>
        <w:t xml:space="preserve">                   </w:t>
      </w:r>
    </w:p>
    <w:p w:rsidRDefault="00C10ED0" w:rsidP="00063095" w:rsidR="00C10ED0">
      <w:pPr>
        <w:rPr>
          <w:bCs/>
        </w:rPr>
      </w:pPr>
    </w:p>
    <w:p w:rsidRDefault="00C10ED0" w:rsidP="00063095" w:rsidR="00C10ED0">
      <w:pPr>
        <w:rPr>
          <w:bCs/>
        </w:rPr>
      </w:pPr>
    </w:p>
    <w:p w:rsidRDefault="00C10ED0" w:rsidP="00063095" w:rsidR="00C10ED0"/>
    <w:p w:rsidRDefault="00430FBC" w:rsidP="00430FBC" w:rsidR="00063095">
      <w:pPr>
        <w:jc w:val="center"/>
      </w:pPr>
      <w:r>
        <w:t>U   I M E   R E P U B L I K E   H R V A T S K E</w:t>
      </w:r>
    </w:p>
    <w:p w:rsidRDefault="00430FBC" w:rsidP="00430FBC" w:rsidR="00430FBC">
      <w:pPr>
        <w:jc w:val="center"/>
      </w:pPr>
    </w:p>
    <w:p w:rsidRDefault="00430FBC" w:rsidP="00430FBC" w:rsidR="00430FBC">
      <w:pPr>
        <w:jc w:val="center"/>
      </w:pPr>
      <w:r>
        <w:t>R J E Š E NJ E</w:t>
      </w:r>
    </w:p>
    <w:p w:rsidRDefault="00A53892" w:rsidP="00430FBC" w:rsidR="00A53892">
      <w:pPr>
        <w:jc w:val="center"/>
      </w:pPr>
    </w:p>
    <w:p w:rsidRDefault="00430FBC" w:rsidP="00A53892" w:rsidR="00430FBC"/>
    <w:p w:rsidRDefault="00C10ED0" w:rsidP="00A53892" w:rsidR="00C10ED0"/>
    <w:p w:rsidRDefault="00430FBC" w:rsidP="00A53892" w:rsidR="00430FBC">
      <w:pPr>
        <w:jc w:val="both"/>
      </w:pPr>
      <w:r>
        <w:tab/>
        <w:t>Trgovački sud u Varaždinu, po sucu toga suda Kseniji Flack-Makitan, u predstečajnom postupku koji se vodi nad dužnikom</w:t>
      </w:r>
      <w:r w:rsidR="00B06CD4">
        <w:t xml:space="preserve"> TOTAL MEDIA d.o.o., Trnovec, Gospodarska 1, OIB: </w:t>
      </w:r>
      <w:r w:rsidR="00B06CD4" w:rsidRPr="00B06CD4">
        <w:t>14225462824</w:t>
      </w:r>
      <w:r>
        <w:t xml:space="preserve">, nakon održanog ročišta </w:t>
      </w:r>
      <w:r w:rsidR="00B06CD4">
        <w:t>20</w:t>
      </w:r>
      <w:r w:rsidR="00C10ED0">
        <w:t>. ožujka 2017</w:t>
      </w:r>
      <w:r w:rsidR="00B06CD4">
        <w:t xml:space="preserve">., </w:t>
      </w:r>
      <w:r>
        <w:t>radi ispitivanja tražbina, na temelju ta</w:t>
      </w:r>
      <w:r w:rsidR="008622D8">
        <w:t xml:space="preserve">blice ispitanih tražbina, dana </w:t>
      </w:r>
      <w:r w:rsidR="00C10ED0">
        <w:t>5. travnja</w:t>
      </w:r>
      <w:r>
        <w:t xml:space="preserve"> 2017.,</w:t>
      </w:r>
    </w:p>
    <w:p w:rsidRDefault="00A53892" w:rsidP="00A53892" w:rsidR="00A53892">
      <w:pPr>
        <w:jc w:val="both"/>
      </w:pPr>
    </w:p>
    <w:p w:rsidRDefault="00A53892" w:rsidP="00430FBC" w:rsidR="00A53892"/>
    <w:p w:rsidRDefault="00C10ED0" w:rsidP="00430FBC" w:rsidR="00C10ED0"/>
    <w:p w:rsidRDefault="00430FBC" w:rsidP="00430FBC" w:rsidR="00430FBC">
      <w:pPr>
        <w:jc w:val="center"/>
      </w:pPr>
      <w:r>
        <w:t>r i j e š i o   j e</w:t>
      </w:r>
    </w:p>
    <w:p w:rsidRDefault="00A53892" w:rsidP="00430FBC" w:rsidR="00A53892">
      <w:pPr>
        <w:jc w:val="center"/>
      </w:pPr>
    </w:p>
    <w:p w:rsidRDefault="00C10ED0" w:rsidP="00430FBC" w:rsidR="00C10ED0">
      <w:pPr>
        <w:jc w:val="center"/>
      </w:pPr>
    </w:p>
    <w:p w:rsidRDefault="00430FBC" w:rsidP="00A53892" w:rsidR="00430FBC"/>
    <w:p w:rsidRDefault="00430FBC" w:rsidP="00B06CD4" w:rsidR="00FD565C" w:rsidRPr="00B06CD4">
      <w:pPr>
        <w:jc w:val="both"/>
      </w:pPr>
      <w:r>
        <w:tab/>
        <w:t xml:space="preserve">I. U predstečajnom postupku koji se vodi nad </w:t>
      </w:r>
      <w:r w:rsidRPr="00430FBC">
        <w:t>dužnikom</w:t>
      </w:r>
      <w:r w:rsidR="00B06CD4">
        <w:t xml:space="preserve"> TOTAL MEDIA d.o.o., Trnovec, Gospodarska 1, OIB: </w:t>
      </w:r>
      <w:r w:rsidR="00B06CD4" w:rsidRPr="00B06CD4">
        <w:t>14225462824</w:t>
      </w:r>
      <w:r w:rsidRPr="00430FBC">
        <w:t>,</w:t>
      </w:r>
      <w:r w:rsidR="002C5D60">
        <w:t xml:space="preserve"> utvrđuju se sljedeće tražbine vjerovnika prijavljene u ovom predstečajnom postupku</w:t>
      </w:r>
      <w:r w:rsidR="00C10ED0">
        <w:t>:</w:t>
      </w:r>
    </w:p>
    <w:p w:rsidRDefault="00C10ED0" w:rsidP="00B06CD4" w:rsidR="00C10ED0">
      <w:pPr>
        <w:spacing w:after="200"/>
        <w:jc w:val="both"/>
      </w:pPr>
    </w:p>
    <w:tbl>
      <w:tblPr>
        <w:tblW w:type="dxa" w:w="9464"/>
        <w:jc w:val="center"/>
        <w:tblLook w:val="04A0" w:noVBand="1" w:noHBand="0" w:lastColumn="0" w:firstColumn="1" w:lastRow="0" w:firstRow="1"/>
      </w:tblPr>
      <w:tblGrid>
        <w:gridCol w:w="639"/>
        <w:gridCol w:w="1978"/>
        <w:gridCol w:w="2256"/>
        <w:gridCol w:w="1266"/>
        <w:gridCol w:w="1561"/>
        <w:gridCol w:w="1105"/>
        <w:gridCol w:w="1361"/>
      </w:tblGrid>
      <w:tr w:rsidTr="00B06CD4" w:rsidR="00B06CD4" w:rsidRPr="008071D9">
        <w:trPr>
          <w:trHeight w:val="878"/>
          <w:jc w:val="center"/>
        </w:trPr>
        <w:tc>
          <w:tcPr>
            <w:tcW w:type="auto" w:w="0"/>
            <w:tcBorders>
              <w:top w:val="nil"/>
              <w:left w:val="nil"/>
              <w:bottom w:val="nil"/>
              <w:right w:val="nil"/>
            </w:tcBorders>
            <w:shd w:fill="auto" w:color="auto" w:val="clear"/>
            <w:noWrap/>
            <w:vAlign w:val="bottom"/>
            <w:hideMark/>
          </w:tcPr>
          <w:p w:rsidRDefault="00B06CD4" w:rsidP="00B06CD4" w:rsidR="00B06CD4" w:rsidRPr="008071D9"/>
        </w:tc>
        <w:tc>
          <w:tcPr>
            <w:tcW w:type="auto" w:w="0"/>
            <w:gridSpan w:val="2"/>
            <w:tcBorders>
              <w:top w:val="nil"/>
              <w:left w:val="nil"/>
              <w:bottom w:val="nil"/>
              <w:right w:val="nil"/>
            </w:tcBorders>
            <w:shd w:fill="auto" w:color="auto" w:val="clear"/>
            <w:noWrap/>
            <w:vAlign w:val="center"/>
            <w:hideMark/>
          </w:tcPr>
          <w:p w:rsidRDefault="00B06CD4" w:rsidP="00B06CD4" w:rsidR="00B06CD4" w:rsidRPr="008071D9">
            <w:pPr>
              <w:rPr>
                <w:color w:val="000000"/>
                <w:sz w:val="20"/>
                <w:szCs w:val="20"/>
              </w:rPr>
            </w:pPr>
          </w:p>
        </w:tc>
        <w:tc>
          <w:tcPr>
            <w:tcW w:type="auto" w:w="0"/>
            <w:tcBorders>
              <w:top w:val="nil"/>
              <w:left w:val="nil"/>
              <w:bottom w:val="nil"/>
              <w:right w:val="nil"/>
            </w:tcBorders>
            <w:shd w:fill="auto" w:color="auto" w:val="clear"/>
            <w:noWrap/>
            <w:vAlign w:val="bottom"/>
            <w:hideMark/>
          </w:tcPr>
          <w:p w:rsidRDefault="00B06CD4" w:rsidP="00B06CD4" w:rsidR="00B06CD4" w:rsidRPr="008071D9">
            <w:pPr>
              <w:rPr>
                <w:color w:val="000000"/>
                <w:sz w:val="20"/>
                <w:szCs w:val="20"/>
              </w:rPr>
            </w:pPr>
          </w:p>
        </w:tc>
        <w:tc>
          <w:tcPr>
            <w:tcW w:type="auto" w:w="0"/>
            <w:tcBorders>
              <w:top w:val="nil"/>
              <w:left w:val="nil"/>
              <w:bottom w:val="nil"/>
              <w:right w:val="nil"/>
            </w:tcBorders>
            <w:shd w:fill="auto" w:color="auto" w:val="clear"/>
            <w:noWrap/>
            <w:vAlign w:val="bottom"/>
            <w:hideMark/>
          </w:tcPr>
          <w:p w:rsidRDefault="00B06CD4" w:rsidP="00B06CD4" w:rsidR="00B06CD4" w:rsidRPr="008071D9">
            <w:pPr>
              <w:rPr>
                <w:sz w:val="20"/>
                <w:szCs w:val="20"/>
              </w:rPr>
            </w:pPr>
          </w:p>
        </w:tc>
        <w:tc>
          <w:tcPr>
            <w:tcW w:type="auto" w:w="0"/>
            <w:tcBorders>
              <w:top w:val="nil"/>
              <w:left w:val="nil"/>
              <w:bottom w:val="nil"/>
              <w:right w:val="nil"/>
            </w:tcBorders>
            <w:shd w:fill="auto" w:color="auto" w:val="clear"/>
            <w:noWrap/>
            <w:vAlign w:val="bottom"/>
            <w:hideMark/>
          </w:tcPr>
          <w:p w:rsidRDefault="00B06CD4" w:rsidP="00B06CD4" w:rsidR="00B06CD4" w:rsidRPr="008071D9">
            <w:pPr>
              <w:rPr>
                <w:sz w:val="20"/>
                <w:szCs w:val="20"/>
              </w:rPr>
            </w:pPr>
          </w:p>
        </w:tc>
        <w:tc>
          <w:tcPr>
            <w:tcW w:type="dxa" w:w="1361"/>
            <w:tcBorders>
              <w:top w:val="nil"/>
              <w:left w:val="nil"/>
              <w:bottom w:val="nil"/>
              <w:right w:val="nil"/>
            </w:tcBorders>
            <w:shd w:fill="auto" w:color="auto" w:val="clear"/>
            <w:noWrap/>
            <w:vAlign w:val="bottom"/>
            <w:hideMark/>
          </w:tcPr>
          <w:p w:rsidRDefault="00B06CD4" w:rsidP="00B06CD4" w:rsidR="00B06CD4" w:rsidRPr="008071D9">
            <w:pPr>
              <w:jc w:val="center"/>
              <w:rPr>
                <w:sz w:val="20"/>
                <w:szCs w:val="20"/>
              </w:rPr>
            </w:pPr>
          </w:p>
        </w:tc>
      </w:tr>
      <w:tr w:rsidTr="00B06CD4" w:rsidR="00B06CD4" w:rsidRPr="008071D9">
        <w:trPr>
          <w:trHeight w:val="1002"/>
          <w:jc w:val="center"/>
        </w:trPr>
        <w:tc>
          <w:tcPr>
            <w:tcW w:type="auto" w:w="0"/>
            <w:tcBorders>
              <w:top w:space="0" w:sz="4" w:color="auto" w:val="single"/>
              <w:left w:space="0" w:sz="4" w:color="auto" w:val="single"/>
              <w:bottom w:space="0" w:sz="4" w:color="auto" w:val="single"/>
              <w:right w:space="0" w:sz="4" w:color="auto" w:val="single"/>
            </w:tcBorders>
            <w:shd w:fill="8DB4E2" w:color="000000" w:val="clear"/>
            <w:noWrap/>
            <w:vAlign w:val="center"/>
            <w:hideMark/>
          </w:tcPr>
          <w:p w:rsidRDefault="00B06CD4" w:rsidP="00B06CD4" w:rsidR="00B06CD4" w:rsidRPr="008071D9">
            <w:pPr>
              <w:jc w:val="center"/>
              <w:rPr>
                <w:b/>
                <w:bCs/>
                <w:color w:val="000000"/>
                <w:sz w:val="20"/>
                <w:szCs w:val="20"/>
              </w:rPr>
            </w:pPr>
            <w:r w:rsidRPr="008071D9">
              <w:rPr>
                <w:b/>
                <w:bCs/>
                <w:color w:val="000000"/>
                <w:sz w:val="20"/>
                <w:szCs w:val="20"/>
              </w:rPr>
              <w:t>RBR</w:t>
            </w:r>
          </w:p>
        </w:tc>
        <w:tc>
          <w:tcPr>
            <w:tcW w:type="auto" w:w="0"/>
            <w:tcBorders>
              <w:top w:space="0" w:sz="4" w:color="auto" w:val="single"/>
              <w:left w:val="nil"/>
              <w:bottom w:space="0" w:sz="4" w:color="auto" w:val="single"/>
              <w:right w:space="0" w:sz="4" w:color="auto" w:val="single"/>
            </w:tcBorders>
            <w:shd w:fill="8DB4E2" w:color="000000" w:val="clear"/>
            <w:noWrap/>
            <w:vAlign w:val="center"/>
            <w:hideMark/>
          </w:tcPr>
          <w:p w:rsidRDefault="00B06CD4" w:rsidP="00B06CD4" w:rsidR="00B06CD4" w:rsidRPr="008071D9">
            <w:pPr>
              <w:jc w:val="center"/>
              <w:rPr>
                <w:b/>
                <w:bCs/>
                <w:color w:val="000000"/>
                <w:sz w:val="20"/>
                <w:szCs w:val="20"/>
              </w:rPr>
            </w:pPr>
            <w:r w:rsidRPr="008071D9">
              <w:rPr>
                <w:b/>
                <w:bCs/>
                <w:color w:val="000000"/>
                <w:sz w:val="20"/>
                <w:szCs w:val="20"/>
              </w:rPr>
              <w:t>OIB VJEROVNIKA</w:t>
            </w:r>
          </w:p>
        </w:tc>
        <w:tc>
          <w:tcPr>
            <w:tcW w:type="auto" w:w="0"/>
            <w:tcBorders>
              <w:top w:space="0" w:sz="4" w:color="auto" w:val="single"/>
              <w:left w:val="nil"/>
              <w:bottom w:space="0" w:sz="4" w:color="auto" w:val="single"/>
              <w:right w:space="0" w:sz="4" w:color="auto" w:val="single"/>
            </w:tcBorders>
            <w:shd w:fill="8DB4E2" w:color="000000" w:val="clear"/>
            <w:noWrap/>
            <w:vAlign w:val="center"/>
            <w:hideMark/>
          </w:tcPr>
          <w:p w:rsidRDefault="00B06CD4" w:rsidP="00B06CD4" w:rsidR="00B06CD4" w:rsidRPr="008071D9">
            <w:pPr>
              <w:jc w:val="center"/>
              <w:rPr>
                <w:b/>
                <w:bCs/>
                <w:color w:val="000000"/>
                <w:sz w:val="20"/>
                <w:szCs w:val="20"/>
              </w:rPr>
            </w:pPr>
            <w:r w:rsidRPr="008071D9">
              <w:rPr>
                <w:b/>
                <w:bCs/>
                <w:color w:val="000000"/>
                <w:sz w:val="20"/>
                <w:szCs w:val="20"/>
              </w:rPr>
              <w:t>NAZIV VJEROVNIKA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06CD4" w:rsidP="00B06CD4" w:rsidR="00B06CD4" w:rsidRPr="008071D9">
            <w:pPr>
              <w:jc w:val="center"/>
              <w:rPr>
                <w:b/>
                <w:bCs/>
                <w:color w:val="000000"/>
                <w:sz w:val="20"/>
                <w:szCs w:val="20"/>
              </w:rPr>
            </w:pPr>
            <w:r w:rsidRPr="008071D9">
              <w:rPr>
                <w:b/>
                <w:bCs/>
                <w:color w:val="000000"/>
                <w:sz w:val="20"/>
                <w:szCs w:val="20"/>
              </w:rPr>
              <w:t>IZNOS OBVEZE PREMA IZVJEŠĆU DUŽNIKA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06CD4" w:rsidP="00B06CD4" w:rsidR="00B06CD4" w:rsidRPr="008071D9">
            <w:pPr>
              <w:jc w:val="center"/>
              <w:rPr>
                <w:b/>
                <w:bCs/>
                <w:color w:val="000000"/>
                <w:sz w:val="20"/>
                <w:szCs w:val="20"/>
              </w:rPr>
            </w:pPr>
            <w:r w:rsidRPr="008071D9">
              <w:rPr>
                <w:b/>
                <w:bCs/>
                <w:color w:val="000000"/>
                <w:sz w:val="20"/>
                <w:szCs w:val="20"/>
              </w:rPr>
              <w:t>IZNOS TRAŽBINE PREMA PRIJAVI VJEROVNIKA</w:t>
            </w:r>
          </w:p>
        </w:tc>
        <w:tc>
          <w:tcPr>
            <w:tcW w:type="auto" w:w="0"/>
            <w:tcBorders>
              <w:top w:space="0" w:sz="4" w:color="auto" w:val="single"/>
              <w:left w:val="nil"/>
              <w:bottom w:space="0" w:sz="4" w:color="auto" w:val="single"/>
              <w:right w:space="0" w:sz="4" w:color="auto" w:val="single"/>
            </w:tcBorders>
            <w:shd w:fill="8DB4E2" w:color="000000" w:val="clear"/>
            <w:vAlign w:val="center"/>
            <w:hideMark/>
          </w:tcPr>
          <w:p w:rsidRDefault="00B06CD4" w:rsidP="00B06CD4" w:rsidR="00B06CD4" w:rsidRPr="008071D9">
            <w:pPr>
              <w:jc w:val="center"/>
              <w:rPr>
                <w:b/>
                <w:bCs/>
                <w:color w:val="000000"/>
                <w:sz w:val="20"/>
                <w:szCs w:val="20"/>
              </w:rPr>
            </w:pPr>
            <w:r w:rsidRPr="008071D9">
              <w:rPr>
                <w:b/>
                <w:bCs/>
                <w:color w:val="000000"/>
                <w:sz w:val="20"/>
                <w:szCs w:val="20"/>
              </w:rPr>
              <w:t>OVRŠNA ISPRAVA (DA/NE)</w:t>
            </w:r>
          </w:p>
        </w:tc>
        <w:tc>
          <w:tcPr>
            <w:tcW w:type="dxa" w:w="1361"/>
            <w:tcBorders>
              <w:top w:space="0" w:sz="4" w:color="auto" w:val="single"/>
              <w:left w:val="nil"/>
              <w:bottom w:space="0" w:sz="4" w:color="auto" w:val="single"/>
              <w:right w:space="0" w:sz="4" w:color="auto" w:val="single"/>
            </w:tcBorders>
            <w:shd w:fill="8DB4E2" w:color="000000" w:val="clear"/>
            <w:vAlign w:val="center"/>
            <w:hideMark/>
          </w:tcPr>
          <w:p w:rsidRDefault="00B06CD4" w:rsidP="00B06CD4" w:rsidR="00B06CD4" w:rsidRPr="008071D9">
            <w:pPr>
              <w:jc w:val="center"/>
              <w:rPr>
                <w:b/>
                <w:bCs/>
                <w:color w:val="000000"/>
                <w:sz w:val="20"/>
                <w:szCs w:val="20"/>
              </w:rPr>
            </w:pPr>
            <w:r w:rsidRPr="008071D9">
              <w:rPr>
                <w:b/>
                <w:bCs/>
                <w:color w:val="000000"/>
                <w:sz w:val="20"/>
                <w:szCs w:val="20"/>
              </w:rPr>
              <w:t>UTVRĐENI IZNOS TRAŽBINE</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75261382416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ART STUDIO AZINOVIĆ, društvo sa ograničenom odgovornošću za tiskarsku djelatnost i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1.412,50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1.412,50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22748036619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GORAN BEG</w:t>
            </w:r>
            <w:r>
              <w:rPr>
                <w:sz w:val="20"/>
                <w:szCs w:val="20"/>
              </w:rPr>
              <w:t>, Zagreb</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15.554,54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15.554,54</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17981771148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BIGRAF, d.o.o. za trgovinu i proizvodnju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107.486,59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107.486,59</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04232665556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BIROTISAK d.o.o. za grafičku i izdavačku djelatnost, trgovinu, turizam i poslovno-tehničke usluge, izvoz-uvoz</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1.900,00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1.900,00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26187994862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CROATIA osiguranje d.d.</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3.342,00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3.342,00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65740522406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empressa j.d.o.o. za izdavačku i tiskarsku djelatnost</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2.980,00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2.980,00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01913481578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EUROPAPIER ADRIA društvo s ograničenom odgovornošću za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15.944,17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15.944,17</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68963092190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GARMIN HRVATSKA društvo s ograničenom odgovornošću za profesionalnu elektroniku i geodetske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3.148,88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3.148,88</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45842366077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GODRA d.o.o. za građenje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18.642,87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18.642,87</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38528382934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GRAFIK PETIT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6.016,69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6.016,69</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25187588059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GRAFIK. NET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1.622.114,67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1.859.657,72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1.859.657,72</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25187588059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GRAFIK. NET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147.915,49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147.915,49</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69807300935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TIHANA GRUBER</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869,00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869,00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14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21361729232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HEP - ESCO d.o.o. za vođenje i financiranje projekata energetske učinkovitosti</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5.130,90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5.130,90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43965974818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HEP ELEKTRA d.o.o. za opskrbu električnom energijom</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15.047,10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15.047,10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46830600751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HEP-Operator distribucijskog sustava d.o.o. za distribuciju i opskrbu električne energije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11.444,67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11.444,67</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58169949002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KARMEN HORVATIĆ-VLAŠIĆ</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206,25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206,25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79414426924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HRVATSKI BOKSAČKI SAVEZ</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875,00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875,00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19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78843912793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HYPER DIZAJN društvo s ograničenom odgovornošću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1.187,50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1.187,50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32642260178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IGEPA PLANA društvo s ograničenom odgovornošću za trgovinu i zastupanje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4.088,61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4.088,61</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98954883280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IMPRESSIO CVITKOVIĆ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597,26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597,26</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22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12974080059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ITALSERRANDE ROLOVRATA PROIZVODNJA društvo s ograničenom odgovornošću za proizvodnju metalnih proizvoda i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187,50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187,50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44790033037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ZORAN IVANKOVIĆ</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52.372,12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52.372,12</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94335451436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 &amp; K PROMOCIJA marketing i propaganda, d.o.o.</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146,25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146,25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27979387947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KAPITAL trgovačko društvo za trgovinu, proizvodnju, promet i usluge d.o.o.</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1.285,15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1.285,15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10624739315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KASTRAPELI d.o.o. za savjetovanje i poduku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161,25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161,25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28004850215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MARIJA KELAVA</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4.607,25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4.607,25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28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96851889035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KELIPROM j.d.o.o. za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31.422,73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31.422,73</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29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36274770483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KNJIGOTISAK BERČUK d.o.o. za grafičke usluge, vanjsku i unutrašnju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354,95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354,95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28100429034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KODKON INDUSTRIJSKA AUTOMATIKA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1.875,00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1.875,00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13897423444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KOPRIVA-GRAF, d.o.o. za izdavačko-grafičku djelatnost</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206,25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206,25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97421470542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ANDREJ KOSTIĆ</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26.083,06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26.083,06</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98296172877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IVAN KRALJ</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510,00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510,00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00799038805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LDK-PROMET, društvo s ograničenom odgovornošću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29.366,78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29.366,78</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57579819162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ŽELJKA MAROSLAVAC</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1.632,50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1.632,50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23899664584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MAVI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17.805,00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17.805,00</w:t>
            </w:r>
          </w:p>
        </w:tc>
      </w:tr>
      <w:tr w:rsidTr="00B06CD4" w:rsidR="00B06CD4" w:rsidRPr="008071D9">
        <w:trPr>
          <w:trHeight w:val="1230"/>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37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63901722905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MP-PAPIROGRAF društvo s ograničenom odgovornošću za trgovinu i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912,50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912,50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16576606407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NITO MOTO društvo s ograničenom odgovornošću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2.250,00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2.250,00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39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72527272233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NOVAGRAF grafičke usluge d.o.o. za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5.287,50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5.287,50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37088034640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OBID društvo s ograničenom odgovornošću za ugostiteljstvo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2.537,50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2.537,50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71865295642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ORBI, društvo s ograničenom odgovornošću za proizvodnju i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4.983,00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4.983,00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52546576489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ORBIS IMPRESSIO društvo s ograničenom odgovornošću za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13.791,13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13.791,13</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07275785182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PRINT GRUPA društvo s ograničenom odgovornošću za grafičko-izdavačku djelatnost</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25.389,49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25.389,49</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85231271327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PRODIGITAL društvo s ograničenom odgovornošću za proizvodnju i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46.250,00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46.250,00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45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96974759536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PULJANE, poljoprivredna zadruga</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12.000,00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12.000,00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95549017341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REDAK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3.104,97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3.104,97</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99368728175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REPROGRAPH d.o.o. za trgovinu, nakladništvo i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7.493,45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7.493,45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REPUBLIKA HRVATSKA MINISTARSTVO FINANCIJA</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1.126.680,05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1.100.785,82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1.100.785,82</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49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35409850545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SANCTA DOMENICA društvo s ograničenom odgovornošću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5.419,97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5.419,97</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21618284239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SAND d.o.o. za grafičke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292,00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292,00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79929352594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SENING d.o.o. za projektiranje i građenje, unutrašnju i vanjsku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3.184,38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3.184,38</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31989866591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STAJER-GRAF, tiskara i izdavaštvo, društvo s ograničenom odgovornošću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10.624,37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10.624,37</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53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36920935001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DRAGAN ŠARIĆ</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1.853,75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1.853,75</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89675547748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TRGO FORTUNA, trgovina i usluge, d.o.o.</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3.230,00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3.230,00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55</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27354458932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UČILIŠTE QUANTUM - ustanova za obrazovanje odraslih</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3.500,00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3.500,00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18736141210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UniCredit Leasing Croatia društvo s ograničenom odgovornošću za leasing</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13.182,00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 xml:space="preserve">da </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13.182,00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78766214588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VELEFORM, društvo s ograničenom odgovornošću za proizvodnju alata i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550,00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550,00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72704766886</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VELEUČILIŠTE VERN</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776,00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776,00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59</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ZAGREBAČKI HOLDING, društvo s ograničenom odgovornošću za javni prijevoz, opskrbu vodom, održavanje čistoće, putnička agencija, šport, upravljanje objektima i poslovanje nekretninama</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2.079,43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2.079,43</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lastRenderedPageBreak/>
              <w:t>60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32559438722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ZINAM d.o.o. Zastupstvo, informatika, nakladništvo, automatika i marketing</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5.136,64</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5.136,64</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61</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80627693538</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ZNANJE društvo s ograničenom odgovornošću za nakladničku, tiskarsku djelatnost i trgovinu</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142.496,03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142.496,03</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B06CD4" w:rsidP="00B06CD4" w:rsidR="00B06CD4" w:rsidRPr="008071D9">
            <w:pPr>
              <w:jc w:val="center"/>
              <w:rPr>
                <w:color w:val="000000"/>
                <w:sz w:val="20"/>
                <w:szCs w:val="20"/>
              </w:rPr>
            </w:pPr>
            <w:r w:rsidRPr="008071D9">
              <w:rPr>
                <w:color w:val="000000"/>
                <w:sz w:val="20"/>
                <w:szCs w:val="20"/>
              </w:rPr>
              <w:t>62</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99681874173</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ZONA SJEVER društvo s ograničenom odgovornošću za usluge</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1.250,00</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sz w:val="20"/>
                <w:szCs w:val="20"/>
              </w:rPr>
            </w:pPr>
            <w:r w:rsidRPr="008071D9">
              <w:rPr>
                <w:sz w:val="20"/>
                <w:szCs w:val="20"/>
              </w:rPr>
              <w:t> </w:t>
            </w:r>
          </w:p>
        </w:tc>
        <w:tc>
          <w:tcPr>
            <w:tcW w:type="auto" w:w="0"/>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rPr>
                <w:rFonts w:cs="Calibri" w:hAnsi="Calibri" w:ascii="Calibri"/>
                <w:color w:val="000000"/>
              </w:rPr>
            </w:pPr>
            <w:r w:rsidRPr="008071D9">
              <w:rPr>
                <w:rFonts w:cs="Calibri" w:hAnsi="Calibri" w:ascii="Calibri"/>
                <w:color w:val="000000"/>
              </w:rPr>
              <w:t>ne</w:t>
            </w:r>
          </w:p>
        </w:tc>
        <w:tc>
          <w:tcPr>
            <w:tcW w:type="dxa" w:w="1361"/>
            <w:tcBorders>
              <w:top w:val="nil"/>
              <w:left w:val="nil"/>
              <w:bottom w:space="0" w:sz="4" w:color="auto" w:val="single"/>
              <w:right w:space="0" w:sz="4" w:color="auto" w:val="single"/>
            </w:tcBorders>
            <w:shd w:fill="auto" w:color="auto" w:val="clear"/>
            <w:vAlign w:val="center"/>
            <w:hideMark/>
          </w:tcPr>
          <w:p w:rsidRDefault="00B06CD4" w:rsidP="00B06CD4" w:rsidR="00B06CD4" w:rsidRPr="008071D9">
            <w:pPr>
              <w:jc w:val="right"/>
              <w:rPr>
                <w:sz w:val="20"/>
                <w:szCs w:val="20"/>
              </w:rPr>
            </w:pPr>
            <w:r w:rsidRPr="008071D9">
              <w:rPr>
                <w:sz w:val="20"/>
                <w:szCs w:val="20"/>
              </w:rPr>
              <w:t>1.250,00</w:t>
            </w:r>
          </w:p>
        </w:tc>
      </w:tr>
      <w:tr w:rsidTr="00B06CD4" w:rsidR="00B06CD4" w:rsidRPr="008071D9">
        <w:trPr>
          <w:trHeight w:val="998"/>
          <w:jc w:val="center"/>
        </w:trPr>
        <w:tc>
          <w:tcPr>
            <w:tcW w:type="auto" w:w="0"/>
            <w:tcBorders>
              <w:top w:val="nil"/>
              <w:left w:space="0" w:sz="4" w:color="auto" w:val="single"/>
              <w:bottom w:space="0" w:sz="4" w:color="auto" w:val="single"/>
              <w:right w:space="0" w:sz="4" w:color="auto" w:val="single"/>
            </w:tcBorders>
            <w:shd w:fill="8DB4E2" w:color="000000" w:val="clear"/>
            <w:noWrap/>
            <w:vAlign w:val="center"/>
            <w:hideMark/>
          </w:tcPr>
          <w:p w:rsidRDefault="00B06CD4" w:rsidP="00B06CD4" w:rsidR="00B06CD4" w:rsidRPr="008071D9">
            <w:pPr>
              <w:jc w:val="center"/>
              <w:rPr>
                <w:b/>
                <w:bCs/>
                <w:color w:val="000000"/>
                <w:sz w:val="20"/>
                <w:szCs w:val="20"/>
              </w:rPr>
            </w:pPr>
            <w:r w:rsidRPr="008071D9">
              <w:rPr>
                <w:b/>
                <w:bCs/>
                <w:color w:val="000000"/>
                <w:sz w:val="20"/>
                <w:szCs w:val="20"/>
              </w:rPr>
              <w:t> </w:t>
            </w:r>
          </w:p>
        </w:tc>
        <w:tc>
          <w:tcPr>
            <w:tcW w:type="auto" w:w="0"/>
            <w:tcBorders>
              <w:top w:val="nil"/>
              <w:left w:val="nil"/>
              <w:bottom w:space="0" w:sz="4" w:color="auto" w:val="single"/>
              <w:right w:space="0" w:sz="4" w:color="auto" w:val="single"/>
            </w:tcBorders>
            <w:shd w:fill="8DB4E2" w:color="000000" w:val="clear"/>
            <w:noWrap/>
            <w:vAlign w:val="center"/>
            <w:hideMark/>
          </w:tcPr>
          <w:p w:rsidRDefault="00B06CD4" w:rsidP="00B06CD4" w:rsidR="00B06CD4" w:rsidRPr="008071D9">
            <w:pPr>
              <w:rPr>
                <w:b/>
                <w:bCs/>
                <w:color w:val="000000"/>
                <w:sz w:val="20"/>
                <w:szCs w:val="20"/>
              </w:rPr>
            </w:pPr>
            <w:r w:rsidRPr="008071D9">
              <w:rPr>
                <w:b/>
                <w:bCs/>
                <w:color w:val="000000"/>
                <w:sz w:val="20"/>
                <w:szCs w:val="20"/>
              </w:rPr>
              <w:t> </w:t>
            </w:r>
          </w:p>
        </w:tc>
        <w:tc>
          <w:tcPr>
            <w:tcW w:type="auto" w:w="0"/>
            <w:tcBorders>
              <w:top w:val="nil"/>
              <w:left w:val="nil"/>
              <w:bottom w:space="0" w:sz="4" w:color="auto" w:val="single"/>
              <w:right w:space="0" w:sz="4" w:color="auto" w:val="single"/>
            </w:tcBorders>
            <w:shd w:fill="8DB4E2" w:color="000000" w:val="clear"/>
            <w:noWrap/>
            <w:vAlign w:val="center"/>
            <w:hideMark/>
          </w:tcPr>
          <w:p w:rsidRDefault="00B06CD4" w:rsidP="00B06CD4" w:rsidR="00B06CD4" w:rsidRPr="008071D9">
            <w:pPr>
              <w:jc w:val="center"/>
              <w:rPr>
                <w:b/>
                <w:bCs/>
                <w:color w:val="000000"/>
                <w:sz w:val="20"/>
                <w:szCs w:val="20"/>
              </w:rPr>
            </w:pPr>
            <w:r w:rsidRPr="008071D9">
              <w:rPr>
                <w:b/>
                <w:bCs/>
                <w:color w:val="000000"/>
                <w:sz w:val="20"/>
                <w:szCs w:val="20"/>
              </w:rPr>
              <w:t>UKUPNO</w:t>
            </w:r>
          </w:p>
        </w:tc>
        <w:tc>
          <w:tcPr>
            <w:tcW w:type="auto" w:w="0"/>
            <w:tcBorders>
              <w:top w:val="nil"/>
              <w:left w:val="nil"/>
              <w:bottom w:space="0" w:sz="4" w:color="auto" w:val="single"/>
              <w:right w:space="0" w:sz="4" w:color="auto" w:val="single"/>
            </w:tcBorders>
            <w:shd w:fill="8DB4E2" w:color="000000" w:val="clear"/>
            <w:noWrap/>
            <w:vAlign w:val="center"/>
            <w:hideMark/>
          </w:tcPr>
          <w:p w:rsidRDefault="00B06CD4" w:rsidP="00B06CD4" w:rsidR="00B06CD4" w:rsidRPr="008071D9">
            <w:pPr>
              <w:jc w:val="right"/>
              <w:rPr>
                <w:b/>
                <w:bCs/>
                <w:color w:val="000000"/>
                <w:sz w:val="20"/>
                <w:szCs w:val="20"/>
              </w:rPr>
            </w:pPr>
            <w:r w:rsidRPr="008071D9">
              <w:rPr>
                <w:b/>
                <w:bCs/>
                <w:color w:val="000000"/>
                <w:sz w:val="20"/>
                <w:szCs w:val="20"/>
              </w:rPr>
              <w:t>3.577.818,11</w:t>
            </w:r>
          </w:p>
        </w:tc>
        <w:tc>
          <w:tcPr>
            <w:tcW w:type="auto" w:w="0"/>
            <w:tcBorders>
              <w:top w:val="nil"/>
              <w:left w:val="nil"/>
              <w:bottom w:space="0" w:sz="4" w:color="auto" w:val="single"/>
              <w:right w:space="0" w:sz="4" w:color="auto" w:val="single"/>
            </w:tcBorders>
            <w:shd w:fill="8DB4E2" w:color="000000" w:val="clear"/>
            <w:noWrap/>
            <w:vAlign w:val="center"/>
            <w:hideMark/>
          </w:tcPr>
          <w:p w:rsidRDefault="00B06CD4" w:rsidP="00B06CD4" w:rsidR="00B06CD4" w:rsidRPr="008071D9">
            <w:pPr>
              <w:rPr>
                <w:b/>
                <w:bCs/>
                <w:color w:val="000000"/>
                <w:sz w:val="20"/>
                <w:szCs w:val="20"/>
              </w:rPr>
            </w:pPr>
            <w:r w:rsidRPr="008071D9">
              <w:rPr>
                <w:b/>
                <w:bCs/>
                <w:color w:val="000000"/>
                <w:sz w:val="20"/>
                <w:szCs w:val="20"/>
              </w:rPr>
              <w:t> </w:t>
            </w:r>
          </w:p>
        </w:tc>
        <w:tc>
          <w:tcPr>
            <w:tcW w:type="auto" w:w="0"/>
            <w:tcBorders>
              <w:top w:val="nil"/>
              <w:left w:val="nil"/>
              <w:bottom w:space="0" w:sz="4" w:color="auto" w:val="single"/>
              <w:right w:space="0" w:sz="4" w:color="auto" w:val="single"/>
            </w:tcBorders>
            <w:shd w:fill="8DB4E2" w:color="000000" w:val="clear"/>
            <w:noWrap/>
            <w:vAlign w:val="center"/>
            <w:hideMark/>
          </w:tcPr>
          <w:p w:rsidRDefault="00B06CD4" w:rsidP="00B06CD4" w:rsidR="00B06CD4" w:rsidRPr="008071D9">
            <w:pPr>
              <w:jc w:val="center"/>
              <w:rPr>
                <w:b/>
                <w:bCs/>
                <w:color w:val="000000"/>
                <w:sz w:val="20"/>
                <w:szCs w:val="20"/>
              </w:rPr>
            </w:pPr>
            <w:r w:rsidRPr="008071D9">
              <w:rPr>
                <w:b/>
                <w:bCs/>
                <w:color w:val="000000"/>
                <w:sz w:val="20"/>
                <w:szCs w:val="20"/>
              </w:rPr>
              <w:t> </w:t>
            </w:r>
          </w:p>
        </w:tc>
        <w:tc>
          <w:tcPr>
            <w:tcW w:type="dxa" w:w="1361"/>
            <w:tcBorders>
              <w:top w:val="nil"/>
              <w:left w:val="nil"/>
              <w:bottom w:space="0" w:sz="4" w:color="auto" w:val="single"/>
              <w:right w:space="0" w:sz="4" w:color="auto" w:val="single"/>
            </w:tcBorders>
            <w:shd w:fill="8DB4E2" w:color="000000" w:val="clear"/>
            <w:noWrap/>
            <w:vAlign w:val="center"/>
            <w:hideMark/>
          </w:tcPr>
          <w:p w:rsidRDefault="00B06CD4" w:rsidP="00B06CD4" w:rsidR="00B06CD4" w:rsidRPr="008071D9">
            <w:pPr>
              <w:jc w:val="right"/>
              <w:rPr>
                <w:b/>
                <w:bCs/>
                <w:color w:val="000000"/>
                <w:sz w:val="20"/>
                <w:szCs w:val="20"/>
              </w:rPr>
            </w:pPr>
            <w:r w:rsidRPr="008071D9">
              <w:rPr>
                <w:b/>
                <w:bCs/>
                <w:color w:val="000000"/>
                <w:sz w:val="20"/>
                <w:szCs w:val="20"/>
              </w:rPr>
              <w:t>3.809.823,46</w:t>
            </w:r>
          </w:p>
        </w:tc>
      </w:tr>
    </w:tbl>
    <w:p w:rsidRDefault="00B06CD4" w:rsidP="00BF4F90" w:rsidR="00B06CD4">
      <w:pPr>
        <w:spacing w:after="200"/>
        <w:jc w:val="both"/>
      </w:pPr>
    </w:p>
    <w:p w:rsidRDefault="00B06CD4" w:rsidP="00BF4F90" w:rsidR="00B06CD4">
      <w:pPr>
        <w:spacing w:after="200"/>
        <w:jc w:val="both"/>
      </w:pPr>
    </w:p>
    <w:p w:rsidRDefault="008A72EC" w:rsidP="00BF4F90" w:rsidR="0055212C">
      <w:pPr>
        <w:spacing w:after="200"/>
        <w:jc w:val="both"/>
      </w:pPr>
      <w:r>
        <w:t xml:space="preserve">II. </w:t>
      </w:r>
      <w:r w:rsidR="0055212C">
        <w:t>Ovo rješenje objaviti će se na mrežnoj stranici e-Oglasna ploča sudova</w:t>
      </w:r>
      <w:r w:rsidR="00F9529F">
        <w:t>.</w:t>
      </w:r>
    </w:p>
    <w:p w:rsidRDefault="00C10ED0" w:rsidP="00BF4F90" w:rsidR="00772794">
      <w:pPr>
        <w:spacing w:after="200"/>
        <w:jc w:val="both"/>
      </w:pPr>
      <w:r>
        <w:t>I</w:t>
      </w:r>
      <w:r w:rsidR="00B06CD4">
        <w:t>II</w:t>
      </w:r>
      <w:r w:rsidR="00F8001E">
        <w:t xml:space="preserve">. </w:t>
      </w:r>
      <w:r w:rsidR="005A7EF2">
        <w:t>U ovome predmetu zakazuje se ročište za glasovanje o planu restrukturiranja</w:t>
      </w:r>
      <w:r w:rsidR="00457275">
        <w:t xml:space="preserve"> dužnika</w:t>
      </w:r>
      <w:r w:rsidR="00B06CD4">
        <w:t xml:space="preserve"> TOTAL MEDIA d.o.o., Trnovec, Gospodarska 1, OIB: 14225462824</w:t>
      </w:r>
      <w:r w:rsidR="00457275">
        <w:t>,</w:t>
      </w:r>
      <w:r w:rsidR="008622D8">
        <w:t xml:space="preserve"> kod ovoga suda, soba broj 232/II,</w:t>
      </w:r>
      <w:r w:rsidR="00457275">
        <w:t xml:space="preserve"> </w:t>
      </w:r>
      <w:r w:rsidR="005A7EF2">
        <w:t xml:space="preserve">za dan </w:t>
      </w:r>
      <w:r w:rsidR="00B06CD4">
        <w:rPr>
          <w:b/>
        </w:rPr>
        <w:t>17. svibnja 2017. u 09</w:t>
      </w:r>
      <w:r w:rsidR="005A7EF2" w:rsidRPr="00C10ED0">
        <w:rPr>
          <w:b/>
        </w:rPr>
        <w:t>,00</w:t>
      </w:r>
      <w:r w:rsidR="00457275" w:rsidRPr="00C10ED0">
        <w:rPr>
          <w:b/>
        </w:rPr>
        <w:t xml:space="preserve"> sati</w:t>
      </w:r>
      <w:r w:rsidR="005A7EF2">
        <w:t>, te se ovaj poziv</w:t>
      </w:r>
      <w:r w:rsidR="00457275">
        <w:t xml:space="preserve"> vjerovnicima ovog dužnika </w:t>
      </w:r>
      <w:r w:rsidR="005A7EF2">
        <w:t>objavljuje na mrežnoj stranici e-</w:t>
      </w:r>
      <w:r w:rsidR="008622D8">
        <w:t>Oglasna ploča</w:t>
      </w:r>
      <w:r w:rsidR="005A7EF2">
        <w:t xml:space="preserve"> sudova. Na pravo glasa vjerovnika o planu restrukturiranja na odgovarajući se način primjenjuju pravila Stečajnog zakona o utvrđivanju prava glasa u stečajnom planu</w:t>
      </w:r>
      <w:r w:rsidR="00457275">
        <w:t xml:space="preserve">.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rsidR="008622D8">
        <w:t>zapisnik koji potpisuju dužnik i</w:t>
      </w:r>
      <w:r w:rsidR="00457275">
        <w:t xml:space="preserve"> povjerenik.</w:t>
      </w:r>
    </w:p>
    <w:p w:rsidRDefault="00331AE1" w:rsidP="00B06CD4" w:rsidR="00772794">
      <w:pPr>
        <w:spacing w:after="200"/>
        <w:jc w:val="center"/>
      </w:pPr>
      <w:r>
        <w:lastRenderedPageBreak/>
        <w:t>Obrazloženje</w:t>
      </w:r>
    </w:p>
    <w:p w:rsidRDefault="00B06CD4" w:rsidP="00B06CD4" w:rsidR="00B06CD4">
      <w:pPr>
        <w:spacing w:after="200"/>
        <w:jc w:val="center"/>
      </w:pPr>
    </w:p>
    <w:p w:rsidRDefault="00331AE1" w:rsidP="00B06CD4" w:rsidR="00331AE1">
      <w:pPr>
        <w:jc w:val="both"/>
      </w:pPr>
      <w:r>
        <w:tab/>
        <w:t>U ovom predstečajnom postupku koji se vodi nad dužnikom</w:t>
      </w:r>
      <w:r w:rsidR="00B06CD4">
        <w:t xml:space="preserve"> TOTAL MEDIA d.o.o., Trnovec, Gospodarska 1, OIB: 14225462824</w:t>
      </w:r>
      <w:r>
        <w:t>, na ročištu održanom</w:t>
      </w:r>
      <w:r w:rsidR="00B06CD4">
        <w:t xml:space="preserve"> 20</w:t>
      </w:r>
      <w:r w:rsidR="00C10ED0">
        <w:t>. ožujka 2017</w:t>
      </w:r>
      <w:r>
        <w:t xml:space="preserve">. sud je na temelju izjašnjenja dužnika i povjerenika </w:t>
      </w:r>
      <w:r w:rsidR="00B06CD4">
        <w:t xml:space="preserve">Vesne Baranašić Horvat </w:t>
      </w:r>
      <w:r>
        <w:t>sačinio tablicu ispitanih tražbina</w:t>
      </w:r>
      <w:r w:rsidR="00642112">
        <w:t>,</w:t>
      </w:r>
      <w:r>
        <w:t xml:space="preserve"> u koju je za svaku pojedinu tražbinu unio u kojem je iznosu utvrđena</w:t>
      </w:r>
      <w:r w:rsidR="00642112">
        <w:t>. U skladu sa time sud je</w:t>
      </w:r>
      <w:r w:rsidR="001B5B85">
        <w:t xml:space="preserve"> u toč.</w:t>
      </w:r>
      <w:r w:rsidR="00642112">
        <w:t xml:space="preserve"> </w:t>
      </w:r>
      <w:r w:rsidR="00B06CD4">
        <w:t>I.</w:t>
      </w:r>
      <w:r w:rsidR="001B5B85">
        <w:t xml:space="preserve"> izreke ovog</w:t>
      </w:r>
      <w:r w:rsidR="00B06CD4">
        <w:t xml:space="preserve"> rješenja odlučio o utvrđenim </w:t>
      </w:r>
      <w:r w:rsidR="001369D9">
        <w:t>tražbinama</w:t>
      </w:r>
      <w:r w:rsidR="001B5B85">
        <w:t xml:space="preserve">, </w:t>
      </w:r>
      <w:r>
        <w:t>u skladu s čl.</w:t>
      </w:r>
      <w:r w:rsidR="00642112">
        <w:t xml:space="preserve"> 50., </w:t>
      </w:r>
      <w:r w:rsidR="001B5B85">
        <w:t xml:space="preserve">266. i 267. </w:t>
      </w:r>
      <w:r>
        <w:t xml:space="preserve">Stečajnog zakona </w:t>
      </w:r>
      <w:r w:rsidR="001B5B85">
        <w:t xml:space="preserve">(Narodne novine broj 71/15). </w:t>
      </w:r>
    </w:p>
    <w:p w:rsidRDefault="00B06CD4" w:rsidP="00B06CD4" w:rsidR="00B06CD4">
      <w:pPr>
        <w:jc w:val="both"/>
      </w:pPr>
    </w:p>
    <w:p w:rsidRDefault="001B5B85" w:rsidP="008622D8" w:rsidR="00772794">
      <w:pPr>
        <w:spacing w:after="200"/>
        <w:jc w:val="both"/>
      </w:pPr>
      <w:r>
        <w:tab/>
      </w:r>
      <w:r w:rsidR="00457275">
        <w:t>S obzirom na ograničenje vremenskog trajanja ovog predstečajnog postupka propisanog čl.</w:t>
      </w:r>
      <w:r w:rsidR="00642112">
        <w:t xml:space="preserve"> </w:t>
      </w:r>
      <w:r w:rsidR="00457275">
        <w:t>63. SZ, sud je radi ekonomičnosti postupanja u o</w:t>
      </w:r>
      <w:r w:rsidR="006B015D">
        <w:t xml:space="preserve">vom predmetu zakazao odmah i </w:t>
      </w:r>
      <w:r w:rsidR="00457275">
        <w:t>ročište za glasovanje o planu restrukturiranja dužnika, te uputio vjerovnike o načinu ostvarivanja prava na glasovanje kako je to propisano čl.</w:t>
      </w:r>
      <w:r w:rsidR="00642112">
        <w:t xml:space="preserve"> </w:t>
      </w:r>
      <w:r w:rsidR="00A53892">
        <w:t>55.-58 SZ.</w:t>
      </w:r>
    </w:p>
    <w:p w:rsidRDefault="001369D9" w:rsidP="00A53892" w:rsidR="00642112">
      <w:pPr>
        <w:spacing w:after="200"/>
        <w:jc w:val="center"/>
      </w:pPr>
      <w:r>
        <w:t>U Varaždinu, 5. travnja</w:t>
      </w:r>
      <w:r w:rsidR="00A53892">
        <w:t xml:space="preserve"> 2017.</w:t>
      </w:r>
    </w:p>
    <w:p w:rsidRDefault="00E81679" w:rsidP="00E81679" w:rsidR="00E81679">
      <w:pPr>
        <w:spacing w:after="200"/>
        <w:ind w:firstLine="708" w:left="9204"/>
        <w:jc w:val="both"/>
      </w:pPr>
      <w:r>
        <w:t>SUDAC</w:t>
      </w:r>
    </w:p>
    <w:p w:rsidRDefault="00F151C1" w:rsidP="00E81679" w:rsidR="00F151C1">
      <w:pPr>
        <w:spacing w:after="200"/>
        <w:ind w:firstLine="708" w:left="9204"/>
        <w:jc w:val="both"/>
      </w:pPr>
    </w:p>
    <w:p w:rsidRDefault="00E81679" w:rsidP="00E81679" w:rsidR="00E81679">
      <w:pPr>
        <w:spacing w:after="200"/>
        <w:ind w:firstLine="708" w:left="8496"/>
        <w:jc w:val="both"/>
      </w:pPr>
      <w:r>
        <w:t>Ksenija Flack-Makitan, v.r.</w:t>
      </w:r>
    </w:p>
    <w:p w:rsidRDefault="00B06CD4" w:rsidP="00B06CD4" w:rsidR="00B06CD4">
      <w:pPr>
        <w:spacing w:after="200"/>
        <w:ind w:firstLine="708" w:left="7788"/>
        <w:jc w:val="both"/>
      </w:pPr>
    </w:p>
    <w:p w:rsidRDefault="00A53892" w:rsidP="00B06CD4" w:rsidR="00B06CD4">
      <w:pPr>
        <w:jc w:val="both"/>
      </w:pPr>
      <w:r>
        <w:t>POUKA O PRAVNOM LIJEKU</w:t>
      </w:r>
      <w:r w:rsidR="00F9529F">
        <w:t>:</w:t>
      </w:r>
    </w:p>
    <w:p w:rsidRDefault="00F9529F" w:rsidP="00B06CD4" w:rsidR="00A53892">
      <w:pPr>
        <w:jc w:val="both"/>
      </w:pPr>
      <w:r>
        <w:t xml:space="preserve">Protiv ovog rješenja pravo na žalbu ima dužnik i svaki vjerovnik u dijelu koji se odnosi na njegovu prijavljenu tražbinu i tražbinu koju je osporio.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 </w:t>
      </w:r>
    </w:p>
    <w:p w:rsidRDefault="00B06CD4" w:rsidP="00B06CD4" w:rsidR="00B06CD4">
      <w:pPr>
        <w:jc w:val="both"/>
      </w:pPr>
    </w:p>
    <w:p w:rsidRDefault="00772794" w:rsidP="00B06CD4" w:rsidR="00A53892">
      <w:pPr>
        <w:jc w:val="both"/>
      </w:pPr>
      <w:r>
        <w:t>DNA:</w:t>
      </w:r>
    </w:p>
    <w:p w:rsidRDefault="00A53892" w:rsidP="00B06CD4" w:rsidR="00A53892">
      <w:pPr>
        <w:pStyle w:val="Odlomakpopisa"/>
        <w:numPr>
          <w:ilvl w:val="0"/>
          <w:numId w:val="6"/>
        </w:numPr>
        <w:jc w:val="both"/>
      </w:pPr>
      <w:r>
        <w:t xml:space="preserve">Povjereniku </w:t>
      </w:r>
      <w:r w:rsidR="00B06CD4">
        <w:t>Vesna Baranašić Horvat, Matice hrvatske 6, Čakovec</w:t>
      </w:r>
    </w:p>
    <w:p w:rsidRDefault="00A53892" w:rsidP="00B06CD4" w:rsidR="00772794">
      <w:pPr>
        <w:pStyle w:val="Odlomakpopisa"/>
        <w:numPr>
          <w:ilvl w:val="0"/>
          <w:numId w:val="6"/>
        </w:numPr>
        <w:spacing w:after="200"/>
        <w:jc w:val="both"/>
      </w:pPr>
      <w:r>
        <w:t>E-Oglasna ploča suda</w:t>
      </w:r>
    </w:p>
    <w:sectPr w:rsidSect="005D2253" w:rsidR="00772794">
      <w:headerReference w:type="default" r:id="rId11"/>
      <w:headerReference w:type="first" r:id="rId12"/>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976" w:rsidP="00063095" w:rsidR="00126976">
      <w:r>
        <w:separator/>
      </w:r>
    </w:p>
  </w:endnote>
  <w:endnote w:id="0" w:type="continuationSeparator">
    <w:p w:rsidRDefault="00126976" w:rsidP="00063095" w:rsidR="001269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976" w:rsidP="00063095" w:rsidR="00126976">
      <w:r>
        <w:separator/>
      </w:r>
    </w:p>
  </w:footnote>
  <w:footnote w:id="0" w:type="continuationSeparator">
    <w:p w:rsidRDefault="00126976" w:rsidP="00063095" w:rsidR="001269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336568"/>
      <w:docPartObj>
        <w:docPartGallery w:val="Page Numbers (Top of Page)"/>
        <w:docPartUnique/>
      </w:docPartObj>
    </w:sdtPr>
    <w:sdtEndPr/>
    <w:sdtContent>
      <w:p w:rsidRDefault="00B06CD4" w:rsidR="00B06CD4">
        <w:pPr>
          <w:pStyle w:val="Zaglavlje"/>
          <w:jc w:val="center"/>
        </w:pPr>
        <w:r>
          <w:fldChar w:fldCharType="begin"/>
        </w:r>
        <w:r>
          <w:instrText>PAGE   \* MERGEFORMAT</w:instrText>
        </w:r>
        <w:r>
          <w:fldChar w:fldCharType="separate"/>
        </w:r>
        <w:r w:rsidR="00F151C1">
          <w:rPr>
            <w:noProof/>
          </w:rPr>
          <w:t>11</w:t>
        </w:r>
        <w:r>
          <w:fldChar w:fldCharType="end"/>
        </w:r>
      </w:p>
    </w:sdtContent>
  </w:sdt>
  <w:p w:rsidRDefault="00B06CD4" w:rsidR="00B06CD4">
    <w:pPr>
      <w:pStyle w:val="Zaglavlje"/>
    </w:pPr>
    <w:r>
      <w:tab/>
    </w:r>
    <w:r>
      <w:tab/>
    </w:r>
    <w:r>
      <w:tab/>
    </w:r>
    <w:r>
      <w:tab/>
    </w:r>
    <w:r>
      <w:tab/>
      <w:t>Poslovni broj: 5 St-1178/16-8</w:t>
    </w:r>
  </w:p>
  <w:p w:rsidRDefault="00B06CD4" w:rsidR="00B06CD4">
    <w:pPr>
      <w:pStyle w:val="Zaglavlje"/>
    </w:pPr>
  </w:p>
  <w:p w:rsidRDefault="00B06CD4" w:rsidR="00B06C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6CD4" w:rsidR="00B06CD4">
    <w:pPr>
      <w:pStyle w:val="Zaglavlje"/>
    </w:pPr>
    <w:r>
      <w:tab/>
    </w:r>
    <w:r>
      <w:tab/>
    </w:r>
    <w:r>
      <w:tab/>
    </w:r>
    <w:r>
      <w:tab/>
      <w:t>Poslovni broj: 5 St-1178/16-8</w:t>
    </w:r>
  </w:p>
  <w:p w:rsidRDefault="00B06CD4" w:rsidR="00B06C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33696"/>
    <w:rsid w:val="00063095"/>
    <w:rsid w:val="000F0776"/>
    <w:rsid w:val="00106AAF"/>
    <w:rsid w:val="00126976"/>
    <w:rsid w:val="001369D9"/>
    <w:rsid w:val="001B3CB2"/>
    <w:rsid w:val="001B5B85"/>
    <w:rsid w:val="001C283D"/>
    <w:rsid w:val="001C6902"/>
    <w:rsid w:val="001C6ECD"/>
    <w:rsid w:val="00222D17"/>
    <w:rsid w:val="00223093"/>
    <w:rsid w:val="00234187"/>
    <w:rsid w:val="00236F77"/>
    <w:rsid w:val="00245EFD"/>
    <w:rsid w:val="00247D30"/>
    <w:rsid w:val="00252E1E"/>
    <w:rsid w:val="00290DE5"/>
    <w:rsid w:val="002976B5"/>
    <w:rsid w:val="002B5920"/>
    <w:rsid w:val="002C52E8"/>
    <w:rsid w:val="002C5D60"/>
    <w:rsid w:val="002D5974"/>
    <w:rsid w:val="00331AE1"/>
    <w:rsid w:val="00346135"/>
    <w:rsid w:val="00391EAB"/>
    <w:rsid w:val="003B0EE4"/>
    <w:rsid w:val="003C61CD"/>
    <w:rsid w:val="003F53A8"/>
    <w:rsid w:val="00430FBC"/>
    <w:rsid w:val="004330A6"/>
    <w:rsid w:val="00457275"/>
    <w:rsid w:val="004A0F47"/>
    <w:rsid w:val="00516A20"/>
    <w:rsid w:val="005230DA"/>
    <w:rsid w:val="005276BA"/>
    <w:rsid w:val="0055212C"/>
    <w:rsid w:val="005600C6"/>
    <w:rsid w:val="005802E8"/>
    <w:rsid w:val="00586DC0"/>
    <w:rsid w:val="005A0BC9"/>
    <w:rsid w:val="005A6F73"/>
    <w:rsid w:val="005A7EF2"/>
    <w:rsid w:val="005C04BA"/>
    <w:rsid w:val="005D2253"/>
    <w:rsid w:val="005F1246"/>
    <w:rsid w:val="00642112"/>
    <w:rsid w:val="00643E51"/>
    <w:rsid w:val="00696595"/>
    <w:rsid w:val="006B015D"/>
    <w:rsid w:val="006B0DAE"/>
    <w:rsid w:val="006B6396"/>
    <w:rsid w:val="00722D2A"/>
    <w:rsid w:val="00760556"/>
    <w:rsid w:val="00772794"/>
    <w:rsid w:val="00772C64"/>
    <w:rsid w:val="007A7E0D"/>
    <w:rsid w:val="007C6257"/>
    <w:rsid w:val="00823F73"/>
    <w:rsid w:val="00826138"/>
    <w:rsid w:val="00836AC5"/>
    <w:rsid w:val="008622D8"/>
    <w:rsid w:val="008A4576"/>
    <w:rsid w:val="008A72EC"/>
    <w:rsid w:val="008E422C"/>
    <w:rsid w:val="008F5066"/>
    <w:rsid w:val="009050BF"/>
    <w:rsid w:val="00954519"/>
    <w:rsid w:val="00967929"/>
    <w:rsid w:val="009845D1"/>
    <w:rsid w:val="00987A58"/>
    <w:rsid w:val="009939AF"/>
    <w:rsid w:val="009B234C"/>
    <w:rsid w:val="009B4709"/>
    <w:rsid w:val="009D77B2"/>
    <w:rsid w:val="009E442F"/>
    <w:rsid w:val="009F10B5"/>
    <w:rsid w:val="00A15A83"/>
    <w:rsid w:val="00A20D17"/>
    <w:rsid w:val="00A21061"/>
    <w:rsid w:val="00A224A8"/>
    <w:rsid w:val="00A322D8"/>
    <w:rsid w:val="00A53892"/>
    <w:rsid w:val="00A72785"/>
    <w:rsid w:val="00AD523A"/>
    <w:rsid w:val="00AF66D3"/>
    <w:rsid w:val="00B06CD4"/>
    <w:rsid w:val="00B47A6C"/>
    <w:rsid w:val="00B540F7"/>
    <w:rsid w:val="00B865CD"/>
    <w:rsid w:val="00BC0DCD"/>
    <w:rsid w:val="00BC742A"/>
    <w:rsid w:val="00BE7D10"/>
    <w:rsid w:val="00BF3A2C"/>
    <w:rsid w:val="00BF4F90"/>
    <w:rsid w:val="00C10ED0"/>
    <w:rsid w:val="00C84D99"/>
    <w:rsid w:val="00CC75B9"/>
    <w:rsid w:val="00CD21DC"/>
    <w:rsid w:val="00CD5F7F"/>
    <w:rsid w:val="00CE1490"/>
    <w:rsid w:val="00CF72B9"/>
    <w:rsid w:val="00D11EDA"/>
    <w:rsid w:val="00D34120"/>
    <w:rsid w:val="00D4263C"/>
    <w:rsid w:val="00D72892"/>
    <w:rsid w:val="00E12567"/>
    <w:rsid w:val="00E81679"/>
    <w:rsid w:val="00E855CB"/>
    <w:rsid w:val="00ED555E"/>
    <w:rsid w:val="00ED679D"/>
    <w:rsid w:val="00EE4C64"/>
    <w:rsid w:val="00F151C1"/>
    <w:rsid w:val="00F57700"/>
    <w:rsid w:val="00F63A71"/>
    <w:rsid w:val="00F8001E"/>
    <w:rsid w:val="00F92C1E"/>
    <w:rsid w:val="00F9529F"/>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F151C1"/>
    <w:rPr>
      <w:color w:val="808080"/>
      <w:bdr w:space="0" w:sz="0" w:color="auto" w:val="none"/>
      <w:shd w:fill="auto" w:color="auto" w:val="clear"/>
    </w:rPr>
  </w:style>
  <w:style w:customStyle="true" w:styleId="eSPISCCParagraphDefaultFont" w:type="character">
    <w:name w:val="eSPIS_CC_Paragraph Default Font"/>
    <w:basedOn w:val="Zadanifontodlomka"/>
    <w:rsid w:val="00F151C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151C1"/>
    <w:rPr>
      <w:bCs/>
      <w:bdr w:space="0" w:sz="0" w:color="auto" w:val="none"/>
      <w:shd w:fill="FFFFCC" w:color="auto" w:val="clear"/>
      <w:lang w:val="hr-HR"/>
    </w:rPr>
  </w:style>
  <w:style w:customStyle="true" w:styleId="PozadinaSvijetloCrvena" w:type="character">
    <w:name w:val="Pozadina_SvijetloCrvena"/>
    <w:basedOn w:val="eSPISCCParagraphDefaultFont"/>
    <w:rsid w:val="00F151C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51C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F151C1"/>
    <w:rPr>
      <w:color w:val="808080"/>
      <w:bdr w:color="auto" w:space="0" w:sz="0" w:val="none"/>
      <w:shd w:color="auto" w:fill="auto" w:val="clear"/>
    </w:rPr>
  </w:style>
  <w:style w:customStyle="1" w:styleId="eSPISCCParagraphDefaultFont" w:type="character">
    <w:name w:val="eSPIS_CC_Paragraph Default Font"/>
    <w:basedOn w:val="Zadanifontodlomka"/>
    <w:rsid w:val="00F151C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151C1"/>
    <w:rPr>
      <w:bCs/>
      <w:bdr w:color="auto" w:space="0" w:sz="0" w:val="none"/>
      <w:shd w:color="auto" w:fill="FFFFCC" w:val="clear"/>
      <w:lang w:val="hr-HR"/>
    </w:rPr>
  </w:style>
  <w:style w:customStyle="1" w:styleId="PozadinaSvijetloCrvena" w:type="character">
    <w:name w:val="Pozadina_SvijetloCrvena"/>
    <w:basedOn w:val="eSPISCCParagraphDefaultFont"/>
    <w:rsid w:val="00F151C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151C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St-1178/2016-8</izvorni_sadrzaj>
    <derivirana_varijabla naziv="DomainObject.Oznaka_1">St-1178/2016-8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 postupka</izvorni_sadrzaj>
    <derivirana_varijabla naziv="DomainObject.Predmet.Opis_1">Prijedlog za pokretanje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St-1178/2016</izvorni_sadrzaj>
    <derivirana_varijabla naziv="DomainObject.Predmet.OznakaBroj_1">St-1178/2016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TOTAL MEDIA d.o.o. za promidžbu i usluge</izvorni_sadrzaj>
    <derivirana_varijabla naziv="DomainObject.Predmet.StrankaFormated_1">  TOTAL MEDIA d.o.o. za promidžbu i usluge</derivirana_varijabla>
  </DomainObject.Predmet.StrankaFormated>
  <DomainObject.Predmet.StrankaFormatedOIB>
    <izvorni_sadrzaj>  TOTAL MEDIA d.o.o. za promidžbu i usluge, OIB 14225462824</izvorni_sadrzaj>
    <derivirana_varijabla naziv="DomainObject.Predmet.StrankaFormatedOIB_1">  TOTAL MEDIA d.o.o. za promidžbu i usluge, OIB 14225462824</derivirana_varijabla>
  </DomainObject.Predmet.StrankaFormatedOIB>
  <DomainObject.Predmet.StrankaFormatedWithAdress>
    <izvorni_sadrzaj> TOTAL MEDIA d.o.o. za promidžbu i usluge, Gospodarska 1, 42202 Trnovec</izvorni_sadrzaj>
    <derivirana_varijabla naziv="DomainObject.Predmet.StrankaFormatedWithAdress_1"> TOTAL MEDIA d.o.o. za promidžbu i usluge, Gospodarska 1, 42202 Trnovec</derivirana_varijabla>
  </DomainObject.Predmet.StrankaFormatedWithAdress>
  <DomainObject.Predmet.StrankaFormatedWithAdressOIB>
    <izvorni_sadrzaj> TOTAL MEDIA d.o.o. za promidžbu i usluge, OIB 14225462824, Gospodarska 1, 42202 Trnovec</izvorni_sadrzaj>
    <derivirana_varijabla naziv="DomainObject.Predmet.StrankaFormatedWithAdressOIB_1"> TOTAL MEDIA d.o.o. za promidžbu i usluge, OIB 14225462824, Gospodarska 1, 42202 Trnovec</derivirana_varijabla>
  </DomainObject.Predmet.StrankaFormatedWithAdressOIB>
  <DomainObject.Predmet.StrankaWithAdress>
    <izvorni_sadrzaj>TOTAL MEDIA d.o.o. za promidžbu i usluge Gospodarska 1,42202 Trnovec</izvorni_sadrzaj>
    <derivirana_varijabla naziv="DomainObject.Predmet.StrankaWithAdress_1">TOTAL MEDIA d.o.o. za promidžbu i usluge Gospodarska 1,42202 Trnovec</derivirana_varijabla>
  </DomainObject.Predmet.StrankaWithAdress>
  <DomainObject.Predmet.StrankaWithAdressOIB>
    <izvorni_sadrzaj>TOTAL MEDIA d.o.o. za promidžbu i usluge, OIB 14225462824, Gospodarska 1,42202 Trnovec</izvorni_sadrzaj>
    <derivirana_varijabla naziv="DomainObject.Predmet.StrankaWithAdressOIB_1">TOTAL MEDIA d.o.o. za promidžbu i usluge, OIB 14225462824, Gospodarska 1,42202 Trnovec</derivirana_varijabla>
  </DomainObject.Predmet.StrankaWithAdressOIB>
  <DomainObject.Predmet.StrankaNazivFormated>
    <izvorni_sadrzaj>TOTAL MEDIA d.o.o. za promidžbu i usluge</izvorni_sadrzaj>
    <derivirana_varijabla naziv="DomainObject.Predmet.StrankaNazivFormated_1">TOTAL MEDIA d.o.o. za promidžbu i usluge</derivirana_varijabla>
  </DomainObject.Predmet.StrankaNazivFormated>
  <DomainObject.Predmet.StrankaNazivFormatedOIB>
    <izvorni_sadrzaj>TOTAL MEDIA d.o.o. za promidžbu i usluge, OIB 14225462824</izvorni_sadrzaj>
    <derivirana_varijabla naziv="DomainObject.Predmet.StrankaNazivFormatedOIB_1">TOTAL MEDIA d.o.o. za promidžbu i usluge, OIB 14225462824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3577818.11</izvorni_sadrzaj>
    <derivirana_varijabla naziv="DomainObject.Predmet.TrenutnaVrijednost_1">3577818.11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TOTAL MEDIA d.o.o. za promidžbu i usluge</item>
    </izvorni_sadrzaj>
    <derivirana_varijabla naziv="DomainObject.Predmet.StrankaListFormated_1">
      <item>TOTAL MEDIA d.o.o. za promidžbu i usluge</item>
    </derivirana_varijabla>
  </DomainObject.Predmet.StrankaListFormated>
  <DomainObject.Predmet.StrankaListFormatedOIB>
    <izvorni_sadrzaj>
      <item>TOTAL MEDIA d.o.o. za promidžbu i usluge, OIB 14225462824</item>
    </izvorni_sadrzaj>
    <derivirana_varijabla naziv="DomainObject.Predmet.StrankaListFormatedOIB_1">
      <item>TOTAL MEDIA d.o.o. za promidžbu i usluge, OIB 14225462824</item>
    </derivirana_varijabla>
  </DomainObject.Predmet.StrankaListFormatedOIB>
  <DomainObject.Predmet.StrankaListFormatedWithAdress>
    <izvorni_sadrzaj>
      <item>TOTAL MEDIA d.o.o. za promidžbu i usluge, Gospodarska 1, 42202 Trnovec</item>
    </izvorni_sadrzaj>
    <derivirana_varijabla naziv="DomainObject.Predmet.StrankaListFormatedWithAdress_1">
      <item>TOTAL MEDIA d.o.o. za promidžbu i usluge, Gospodarska 1, 42202 Trnovec</item>
    </derivirana_varijabla>
  </DomainObject.Predmet.StrankaListFormatedWithAdress>
  <DomainObject.Predmet.StrankaListFormatedWithAdressOIB>
    <izvorni_sadrzaj>
      <item>TOTAL MEDIA d.o.o. za promidžbu i usluge, OIB 14225462824, Gospodarska 1, 42202 Trnovec</item>
    </izvorni_sadrzaj>
    <derivirana_varijabla naziv="DomainObject.Predmet.StrankaListFormatedWithAdressOIB_1">
      <item>TOTAL MEDIA d.o.o. za promidžbu i usluge, OIB 14225462824, Gospodarska 1, 42202 Trnovec</item>
    </derivirana_varijabla>
  </DomainObject.Predmet.StrankaListFormatedWithAdressOIB>
  <DomainObject.Predmet.StrankaListNazivFormated>
    <izvorni_sadrzaj>
      <item>TOTAL MEDIA d.o.o. za promidžbu i usluge</item>
    </izvorni_sadrzaj>
    <derivirana_varijabla naziv="DomainObject.Predmet.StrankaListNazivFormated_1">
      <item>TOTAL MEDIA d.o.o. za promidžbu i usluge</item>
    </derivirana_varijabla>
  </DomainObject.Predmet.StrankaListNazivFormated>
  <DomainObject.Predmet.StrankaListNazivFormatedOIB>
    <izvorni_sadrzaj>
      <item>TOTAL MEDIA d.o.o. za promidžbu i usluge, OIB 14225462824</item>
    </izvorni_sadrzaj>
    <derivirana_varijabla naziv="DomainObject.Predmet.StrankaListNazivFormatedOIB_1">
      <item>TOTAL MEDIA d.o.o. za promidžbu i usluge, OIB 14225462824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OZREN KORUŠEC</item>
      <item>Županijsko državno odvjetništvo u Varaždinu</item>
    </izvorni_sadrzaj>
    <derivirana_varijabla naziv="DomainObject.Predmet.OstaliListFormated_1">
      <item>Financijska agencija</item>
      <item>Sudski registar</item>
      <item>OZREN KORUŠEC</item>
      <item>Županijsko državno odvjetništvo u Varaždinu</item>
    </derivirana_varijabla>
  </DomainObject.Predmet.OstaliListFormated>
  <DomainObject.Predmet.OstaliListFormatedOIB>
    <izvorni_sadrzaj>
      <item>Financijska agencija</item>
      <item>Sudski registar</item>
      <item>OZREN KORUŠEC</item>
      <item>Županijsko državno odvjetništvo u Varaždinu</item>
    </izvorni_sadrzaj>
    <derivirana_varijabla naziv="DomainObject.Predmet.OstaliListFormatedOIB_1">
      <item>Financijska agencija</item>
      <item>Sudski registar</item>
      <item>OZREN KORUŠEC</item>
      <item>Županijsko državno odvjetništvo u Varaždinu</item>
    </derivirana_varijabla>
  </DomainObject.Predmet.OstaliListFormatedOIB>
  <DomainObject.Predmet.OstaliListFormatedWithAdress>
    <izvorni_sadrzaj>
      <item>Financijska agencija</item>
      <item>Sudski registar</item>
      <item>OZREN KORUŠEC, A. K. Miošića 32, 43000 Bjelovar</item>
      <item>Županijsko državno odvjetništvo u Varaždinu</item>
    </izvorni_sadrzaj>
    <derivirana_varijabla naziv="DomainObject.Predmet.OstaliListFormatedWithAdress_1">
      <item>Financijska agencija</item>
      <item>Sudski registar</item>
      <item>OZREN KORUŠEC, A. K. Miošića 32, 43000 Bjelovar</item>
      <item>Županijsko državno odvjetništvo u Varaždinu</item>
    </derivirana_varijabla>
  </DomainObject.Predmet.OstaliListFormatedWithAdress>
  <DomainObject.Predmet.OstaliListFormatedWithAdressOIB>
    <izvorni_sadrzaj>
      <item>Financijska agencija</item>
      <item>Sudski registar</item>
      <item>OZREN KORUŠEC, A. K. Miošića 32, 43000 Bjelovar</item>
      <item>Županijsko državno odvjetništvo u Varaždinu</item>
    </izvorni_sadrzaj>
    <derivirana_varijabla naziv="DomainObject.Predmet.OstaliListFormatedWithAdressOIB_1">
      <item>Financijska agencija</item>
      <item>Sudski registar</item>
      <item>OZREN KORUŠEC, A. K. Miošića 32, 43000 Bjelovar</item>
      <item>Županijsko državno odvjetništvo u Varaždinu</item>
    </derivirana_varijabla>
  </DomainObject.Predmet.OstaliListFormatedWithAdressOIB>
  <DomainObject.Predmet.OstaliListNazivFormated>
    <izvorni_sadrzaj>
      <item>Financijska agencija</item>
      <item>Sudski registar</item>
      <item>OZREN KORUŠEC</item>
      <item>Županijsko državno odvjetništvo u Varaždinu</item>
    </izvorni_sadrzaj>
    <derivirana_varijabla naziv="DomainObject.Predmet.OstaliListNazivFormated_1">
      <item>Financijska agencija</item>
      <item>Sudski registar</item>
      <item>OZREN KORUŠEC</item>
      <item>Županijsko državno odvjetništvo u Varaždinu</item>
    </derivirana_varijabla>
  </DomainObject.Predmet.OstaliListNazivFormated>
  <DomainObject.Predmet.OstaliListNazivFormatedOIB>
    <izvorni_sadrzaj>
      <item>Financijska agencija</item>
      <item>Sudski registar</item>
      <item>OZREN KORUŠEC</item>
      <item>Županijsko državno odvjetništvo u Varaždinu</item>
    </izvorni_sadrzaj>
    <derivirana_varijabla naziv="DomainObject.Predmet.OstaliListNazivFormatedOIB_1">
      <item>Financijska agencija</item>
      <item>Sudski registar</item>
      <item>OZREN KORUŠEC</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St-1178/2016-8</izvorni_sadrzaj>
    <derivirana_varijabla naziv="DomainObject.PoslovniBrojDokumenta_1">St-1178/2016-8</derivirana_varijabla>
  </DomainObject.PoslovniBrojDokumenta>
  <DomainObject.Predmet.StrankaIDrugi>
    <izvorni_sadrzaj>TOTAL MEDIA d.o.o. za promidžbu i usluge</izvorni_sadrzaj>
    <derivirana_varijabla naziv="DomainObject.Predmet.StrankaIDrugi_1">TOTAL MEDIA d.o.o. za promidžbu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TOTAL MEDIA d.o.o. za promidžbu i usluge, OIB 14225462824, Gospodarska 1, 42202 Trnovec</izvorni_sadrzaj>
    <derivirana_varijabla naziv="DomainObject.Predmet.StrankaIDrugiAdressOIB_1">TOTAL MEDIA d.o.o. za promidžbu i usluge, OIB 14225462824,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TOTAL MEDIA d.o.o. za promidžbu i usluge</item>
      <item>Financijska agencija</item>
      <item>Sudski registar</item>
      <item>OZREN KORUŠEC</item>
      <item>Županijsko državno odvjetništvo u Varaždinu</item>
    </izvorni_sadrzaj>
    <derivirana_varijabla naziv="DomainObject.Predmet.SudioniciListNaziv_1">
      <item>TOTAL MEDIA d.o.o. za promidžbu i usluge</item>
      <item>Financijska agencija</item>
      <item>Sudski registar</item>
      <item>OZREN KORUŠEC</item>
      <item>Županijsko državno odvjetništvo u Varaždinu</item>
    </derivirana_varijabla>
  </DomainObject.Predmet.SudioniciListNaziv>
  <DomainObject.Predmet.SudioniciListAdressOIB>
    <izvorni_sadrzaj>
      <item>TOTAL MEDIA d.o.o. za promidžbu i usluge, OIB 14225462824, Gospodarska 1,42202 Trnovec</item>
      <item>Financijska agencija</item>
      <item>Sudski registar</item>
      <item>OZREN KORUŠEC, A. K. Miošića 32,43000 Bjelovar</item>
      <item>Županijsko državno odvjetništvo u Varaždinu</item>
    </izvorni_sadrzaj>
    <derivirana_varijabla naziv="DomainObject.Predmet.SudioniciListAdressOIB_1">
      <item>TOTAL MEDIA d.o.o. za promidžbu i usluge, OIB 14225462824, Gospodarska 1,42202 Trnovec</item>
      <item>Financijska agencija</item>
      <item>Sudski registar</item>
      <item>OZREN KORUŠEC, A. K. Miošića 32,43000 Bjelovar</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14225462824</item>
      <item>, OIB null</item>
      <item>, OIB null</item>
      <item>, OIB null</item>
      <item>, OIB null</item>
    </izvorni_sadrzaj>
    <derivirana_varijabla naziv="DomainObject.Predmet.SudioniciListNazivOIB_1">
      <item>, OIB 14225462824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0F5D4-7DFF-4547-909C-17456FAF16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1391</properties:Words>
  <properties:Characters>8313</properties:Characters>
  <properties:Lines>673</properties:Lines>
  <properties:Paragraphs>405</properties:Paragraphs>
  <properties:TotalTime>323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2017-02-07T11:42:00Z</dcterms:created>
  <dc:creator>Lea Rogina</dc:creator>
  <cp:lastModifiedBy>Lea Rogina</cp:lastModifiedBy>
  <cp:lastPrinted>2017-04-05T12:14:00Z</cp:lastPrinted>
  <dcterms:modified xmlns:xsi="http://www.w3.org/2001/XMLSchema-instance" xsi:type="dcterms:W3CDTF">2017-04-05T12:15:00Z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St-1178/2016-8 / Odluka - Rješenje - utvrđene i osporene tražbine</vt:lpwstr>
  </prop:property>
  <prop:property name="CC_coloring" pid="4" fmtid="{D5CDD505-2E9C-101B-9397-08002B2CF9AE}">
    <vt:bool>false</vt:bool>
  </prop:property>
  <prop:property name="BrojStranica" pid="5" fmtid="{D5CDD505-2E9C-101B-9397-08002B2CF9AE}">
    <vt:i4>11</vt:i4>
  </prop:property>
</prop:Properties>
</file>