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da605" w14:paraId="72da605" w:rsidRDefault="004B4ED8" w:rsidP="004B4ED8" w:rsidR="004B4ED8" w:rsidRPr="001A4297">
      <w:pPr>
        <w15:collapsed w:val="false"/>
      </w:pPr>
      <w:bookmarkStart w:name="_GoBack" w:id="0"/>
      <w:bookmarkEnd w:id="0"/>
    </w:p>
    <w:p w:rsidRDefault="004B4ED8" w:rsidP="004B4ED8" w:rsidR="004B4ED8" w:rsidRPr="001A4297"/>
    <w:p w:rsidRDefault="004B4ED8" w:rsidP="004B4ED8" w:rsidR="004B4ED8" w:rsidRPr="001A4297">
      <w:r w:rsidRPr="001A4297">
        <w:t>REPUBLIKA HRVATSKA</w:t>
      </w:r>
    </w:p>
    <w:p w:rsidRDefault="004B4ED8" w:rsidP="004B4ED8" w:rsidR="004B4ED8" w:rsidRPr="001A4297">
      <w:r w:rsidRPr="001A4297">
        <w:t>TRGOVAČKI SUD U ZAGREBU</w:t>
      </w:r>
    </w:p>
    <w:p w:rsidRDefault="004B4ED8" w:rsidP="004B4ED8" w:rsidR="004B4ED8" w:rsidRPr="001A4297">
      <w:r w:rsidRPr="001A4297">
        <w:t xml:space="preserve">Zagreb, Amruševa 2/II                                                    </w:t>
      </w:r>
      <w:r w:rsidR="00A14E7B" w:rsidRPr="001A4297">
        <w:t xml:space="preserve"> </w:t>
      </w:r>
      <w:r w:rsidR="000416E9" w:rsidRPr="001A4297">
        <w:t xml:space="preserve">         </w:t>
      </w:r>
      <w:r w:rsidR="00E945C9" w:rsidRPr="001A4297">
        <w:t xml:space="preserve"> </w:t>
      </w:r>
      <w:r w:rsidR="00DC59E7" w:rsidRPr="001A4297">
        <w:t xml:space="preserve">                    </w:t>
      </w:r>
      <w:r w:rsidR="00D0384A" w:rsidRPr="001A4297">
        <w:t>89</w:t>
      </w:r>
      <w:r w:rsidR="00DC59E7" w:rsidRPr="001A4297">
        <w:t>. St</w:t>
      </w:r>
      <w:r w:rsidR="004571B0" w:rsidRPr="001A4297">
        <w:t>-</w:t>
      </w:r>
      <w:r w:rsidR="00137A6F" w:rsidRPr="001A4297">
        <w:t>3681/16-</w:t>
      </w:r>
    </w:p>
    <w:p w:rsidRDefault="004B4ED8" w:rsidP="004B4ED8" w:rsidR="004B4ED8" w:rsidRPr="001A4297"/>
    <w:p w:rsidRDefault="004B4ED8" w:rsidP="00CD5345" w:rsidR="004B4ED8" w:rsidRPr="001A4297">
      <w:pPr>
        <w:jc w:val="center"/>
      </w:pPr>
      <w:r w:rsidRPr="001A4297">
        <w:t>Z A P I S N I K</w:t>
      </w:r>
    </w:p>
    <w:p w:rsidRDefault="004B4ED8" w:rsidP="00CD5345" w:rsidR="004B4ED8" w:rsidRPr="001A4297">
      <w:pPr>
        <w:jc w:val="center"/>
      </w:pPr>
      <w:r w:rsidRPr="001A4297">
        <w:t>s ročišta radi sklapanja predstečajne nagodbe</w:t>
      </w:r>
    </w:p>
    <w:p w:rsidRDefault="004B4ED8" w:rsidP="00CD5345" w:rsidR="004B4ED8" w:rsidRPr="001A4297">
      <w:pPr>
        <w:jc w:val="center"/>
      </w:pPr>
      <w:r w:rsidRPr="001A4297">
        <w:t xml:space="preserve">sastavljen pri Trgovačkom sudu u Zagrebu </w:t>
      </w:r>
      <w:r w:rsidR="009746A7" w:rsidRPr="001A4297">
        <w:t>26. travnja 2017</w:t>
      </w:r>
      <w:r w:rsidRPr="001A4297">
        <w:t xml:space="preserve">. u postupku predstečajne nagodbe nad dužnikom </w:t>
      </w:r>
      <w:r w:rsidR="00137A6F" w:rsidRPr="001A4297">
        <w:t>BEDEM d.o.o., Zagreb, Zagrebačka cesta 190, OIB 03461719887</w:t>
      </w:r>
    </w:p>
    <w:p w:rsidRDefault="004B4ED8" w:rsidP="00CD5345" w:rsidR="004B4ED8" w:rsidRPr="001A4297">
      <w:pPr>
        <w:jc w:val="center"/>
      </w:pPr>
    </w:p>
    <w:p w:rsidRDefault="0099798D" w:rsidP="00224B33" w:rsidR="0099798D" w:rsidRPr="001A4297">
      <w:pPr>
        <w:jc w:val="both"/>
      </w:pPr>
    </w:p>
    <w:p w:rsidRDefault="004B4ED8" w:rsidP="004B4ED8" w:rsidR="004B4ED8" w:rsidRPr="001A4297">
      <w:r w:rsidRPr="001A4297">
        <w:t>NAZOČNI OD SUDA:</w:t>
      </w:r>
    </w:p>
    <w:p w:rsidRDefault="004B4ED8" w:rsidP="004B4ED8" w:rsidR="004B4ED8" w:rsidRPr="001A4297">
      <w:r w:rsidRPr="001A4297">
        <w:t xml:space="preserve">SUDAC: </w:t>
      </w:r>
      <w:r w:rsidR="00D0384A" w:rsidRPr="001A4297">
        <w:t>Nikolina Dorić Hadžisejdić</w:t>
      </w:r>
    </w:p>
    <w:p w:rsidRDefault="004B4ED8" w:rsidP="004B4ED8" w:rsidR="004B4ED8" w:rsidRPr="001A4297">
      <w:r w:rsidRPr="001A4297">
        <w:t>ZAPISNIČAR:</w:t>
      </w:r>
      <w:r w:rsidR="00224B33" w:rsidRPr="001A4297">
        <w:t xml:space="preserve"> </w:t>
      </w:r>
      <w:r w:rsidR="00D0384A" w:rsidRPr="001A4297">
        <w:t>Karmela Dolenc</w:t>
      </w:r>
    </w:p>
    <w:p w:rsidRDefault="004B4ED8" w:rsidP="004B4ED8" w:rsidR="004B4ED8" w:rsidRPr="001A4297"/>
    <w:p w:rsidRDefault="00417C69" w:rsidP="00224B33" w:rsidR="004B4ED8" w:rsidRPr="001A4297">
      <w:pPr>
        <w:jc w:val="both"/>
      </w:pPr>
      <w:r w:rsidRPr="001A4297">
        <w:t>Sudac otvara raspravu</w:t>
      </w:r>
      <w:r w:rsidR="00287B88" w:rsidRPr="001A4297">
        <w:t xml:space="preserve"> u </w:t>
      </w:r>
      <w:r w:rsidR="00DC59E7" w:rsidRPr="001A4297">
        <w:t>1</w:t>
      </w:r>
      <w:r w:rsidR="00E34585" w:rsidRPr="001A4297">
        <w:t>0</w:t>
      </w:r>
      <w:r w:rsidR="001279FA" w:rsidRPr="001A4297">
        <w:t>.</w:t>
      </w:r>
      <w:r w:rsidR="0099798D" w:rsidRPr="001A4297">
        <w:t>3</w:t>
      </w:r>
      <w:r w:rsidR="008C3780" w:rsidRPr="001A4297">
        <w:t>0</w:t>
      </w:r>
      <w:r w:rsidR="004B4ED8" w:rsidRPr="001A4297">
        <w:t xml:space="preserve"> sati, rasprava je javna i utvrđuje da su ročištu radi sklapanja predstečajne nagodbe pristupili:</w:t>
      </w:r>
    </w:p>
    <w:p w:rsidRDefault="004B4ED8" w:rsidP="004B4ED8" w:rsidR="004B4ED8" w:rsidRPr="001A4297"/>
    <w:p w:rsidRDefault="004B4ED8" w:rsidP="00224B33" w:rsidR="004B4ED8" w:rsidRPr="001A4297">
      <w:pPr>
        <w:jc w:val="both"/>
      </w:pPr>
      <w:r w:rsidRPr="001A4297">
        <w:t xml:space="preserve">Za dužnika: </w:t>
      </w:r>
    </w:p>
    <w:p w:rsidRDefault="003C1F69" w:rsidP="00EF1525" w:rsidR="00A14E7B" w:rsidRPr="001A4297">
      <w:pPr>
        <w:pStyle w:val="Odlomakpopisa"/>
        <w:numPr>
          <w:ilvl w:val="0"/>
          <w:numId w:val="45"/>
        </w:numPr>
        <w:jc w:val="both"/>
      </w:pPr>
      <w:r>
        <w:t>Anto Ivić, Zagreb – zastupnik po zakonu dužnika</w:t>
      </w:r>
    </w:p>
    <w:p w:rsidRDefault="00137A6F" w:rsidP="00224B33" w:rsidR="00137A6F" w:rsidRPr="001A4297">
      <w:pPr>
        <w:jc w:val="both"/>
      </w:pPr>
    </w:p>
    <w:p w:rsidRDefault="004B4ED8" w:rsidP="00224B33" w:rsidR="004B4ED8">
      <w:pPr>
        <w:jc w:val="both"/>
      </w:pPr>
      <w:r w:rsidRPr="001A4297">
        <w:t>Za vjerovnike:</w:t>
      </w:r>
    </w:p>
    <w:p w:rsidRDefault="00137A6F" w:rsidP="00D0384A" w:rsidR="004B4ED8" w:rsidRPr="001A4297">
      <w:pPr>
        <w:pStyle w:val="Odlomakpopisa"/>
        <w:numPr>
          <w:ilvl w:val="0"/>
          <w:numId w:val="1"/>
        </w:numPr>
        <w:jc w:val="both"/>
      </w:pPr>
      <w:r w:rsidRPr="001A4297">
        <w:t>ADRIATIC ZAGREB FACTORING d.o.o., Zagreb</w:t>
      </w:r>
      <w:r w:rsidR="00B8649E" w:rsidRPr="001A4297">
        <w:t xml:space="preserve">– </w:t>
      </w:r>
      <w:r w:rsidR="003C1F69">
        <w:t xml:space="preserve"> odvjetnik Robert Brdar u zamjenu za odvjetnika Gorana Devrnju, predaje zamjeničku punomoć</w:t>
      </w:r>
    </w:p>
    <w:p w:rsidRDefault="00B8649E" w:rsidP="00D0384A" w:rsidR="00B8649E" w:rsidRPr="001A4297">
      <w:pPr>
        <w:pStyle w:val="Odlomakpopisa"/>
        <w:numPr>
          <w:ilvl w:val="0"/>
          <w:numId w:val="1"/>
        </w:numPr>
        <w:jc w:val="both"/>
      </w:pPr>
      <w:r w:rsidRPr="001A4297">
        <w:t xml:space="preserve">ANTO IVIĆ, </w:t>
      </w:r>
      <w:r w:rsidR="00854F29">
        <w:t>Zagreb</w:t>
      </w:r>
      <w:r w:rsidRPr="001A4297">
        <w:t xml:space="preserve"> – </w:t>
      </w:r>
      <w:r w:rsidR="003C1F69">
        <w:t>osobno</w:t>
      </w:r>
    </w:p>
    <w:p w:rsidRDefault="00B8649E" w:rsidP="00D0384A" w:rsidR="00B8649E" w:rsidRPr="001A4297">
      <w:pPr>
        <w:pStyle w:val="Odlomakpopisa"/>
        <w:numPr>
          <w:ilvl w:val="0"/>
          <w:numId w:val="1"/>
        </w:numPr>
        <w:jc w:val="both"/>
      </w:pPr>
      <w:r w:rsidRPr="001A4297">
        <w:t xml:space="preserve">ZORKA IVIĆ, </w:t>
      </w:r>
      <w:r w:rsidR="00854F29">
        <w:t>Zagreb</w:t>
      </w:r>
      <w:r w:rsidRPr="001A4297">
        <w:t xml:space="preserve"> -</w:t>
      </w:r>
      <w:r w:rsidR="003C1F69">
        <w:t xml:space="preserve"> osobno</w:t>
      </w:r>
    </w:p>
    <w:p w:rsidRDefault="0047233D" w:rsidP="00224B33" w:rsidR="0047233D" w:rsidRPr="001A4297">
      <w:pPr>
        <w:jc w:val="both"/>
      </w:pPr>
    </w:p>
    <w:p w:rsidRDefault="00FC3D40" w:rsidP="00224B33" w:rsidR="00FC3D40" w:rsidRPr="001A4297">
      <w:pPr>
        <w:jc w:val="both"/>
      </w:pPr>
    </w:p>
    <w:p w:rsidRDefault="004B4ED8" w:rsidP="00224B33" w:rsidR="00801FFD" w:rsidRPr="001A4297">
      <w:pPr>
        <w:jc w:val="both"/>
      </w:pPr>
      <w:r w:rsidRPr="001A4297">
        <w:t>Sudac utvrđuje da je današnje ročište određeno na temelju čl. 66. Zakona o financijskom poslovanju i predstečajnoj nagodbi ("Narodne novine" broj 108/12, 144/12, 81/13 i 112/13, dalje: ZFPPN).</w:t>
      </w:r>
      <w:r w:rsidR="007249B9" w:rsidRPr="001A4297">
        <w:t xml:space="preserve"> </w:t>
      </w:r>
      <w:r w:rsidR="006B6C27" w:rsidRPr="001A4297">
        <w:t xml:space="preserve">Utvrđuje se da je </w:t>
      </w:r>
      <w:r w:rsidR="009C3348" w:rsidRPr="001A4297">
        <w:t>oglas</w:t>
      </w:r>
      <w:r w:rsidR="006B6C27" w:rsidRPr="001A4297">
        <w:t xml:space="preserve"> od </w:t>
      </w:r>
      <w:r w:rsidR="009746A7" w:rsidRPr="001A4297">
        <w:t>24. ožujka 2017</w:t>
      </w:r>
      <w:r w:rsidRPr="001A4297">
        <w:t>., kojim su dužnik i svi vjerovnici pozvani na ročište radi sklapanja predstečajne nagodbe i obav</w:t>
      </w:r>
      <w:r w:rsidR="000171A3" w:rsidRPr="001A4297">
        <w:t>i</w:t>
      </w:r>
      <w:r w:rsidRPr="001A4297">
        <w:t xml:space="preserve">ješteni kako uvid u prijedlog predstečajne nagodbe mogu obaviti u sobi ovog suda br. </w:t>
      </w:r>
      <w:r w:rsidR="00D0384A" w:rsidRPr="001A4297">
        <w:t>9</w:t>
      </w:r>
      <w:r w:rsidRPr="001A4297">
        <w:t>5/II (ulična zgrada), objavlj</w:t>
      </w:r>
      <w:r w:rsidR="009C3348" w:rsidRPr="001A4297">
        <w:t>en</w:t>
      </w:r>
      <w:r w:rsidR="00A14E7B" w:rsidRPr="001A4297">
        <w:t xml:space="preserve"> na </w:t>
      </w:r>
      <w:r w:rsidR="009C3348" w:rsidRPr="001A4297">
        <w:t>mrežnoj stranici e-oglasna</w:t>
      </w:r>
      <w:r w:rsidR="00A14E7B" w:rsidRPr="001A4297">
        <w:t xml:space="preserve"> plo</w:t>
      </w:r>
      <w:r w:rsidR="009C3348" w:rsidRPr="001A4297">
        <w:t>ča Trgovačkog suda u Zagrebu</w:t>
      </w:r>
      <w:r w:rsidR="006B6C27" w:rsidRPr="001A4297">
        <w:t xml:space="preserve"> </w:t>
      </w:r>
      <w:r w:rsidR="009746A7" w:rsidRPr="001A4297">
        <w:t>24. ožujka 2017</w:t>
      </w:r>
      <w:r w:rsidRPr="001A4297">
        <w:t xml:space="preserve">. i na web stranici Financijske agencije </w:t>
      </w:r>
      <w:r w:rsidR="009746A7" w:rsidRPr="001A4297">
        <w:t>30. ožujka 2017</w:t>
      </w:r>
      <w:r w:rsidR="00E34585" w:rsidRPr="001A4297">
        <w:t>.</w:t>
      </w:r>
    </w:p>
    <w:p w:rsidRDefault="004B4ED8" w:rsidP="00224B33" w:rsidR="005F4A28" w:rsidRPr="001A4297">
      <w:pPr>
        <w:jc w:val="both"/>
        <w:rPr>
          <w:color w:val="FF0000"/>
        </w:rPr>
      </w:pPr>
      <w:r w:rsidRPr="001A4297">
        <w:t>Utvrđuje se da se u spisu nalaze: rješenje kojim je utvrđeno da su za plan financijskog restrukturiranja glasovali vjerovnici čije tražbine prelaze 2/3 vrijednosti svih utvrđenih tražbina</w:t>
      </w:r>
      <w:r w:rsidR="00FE2A8D" w:rsidRPr="001A4297">
        <w:t xml:space="preserve"> s potvrdom izvršnosti</w:t>
      </w:r>
      <w:r w:rsidRPr="001A4297">
        <w:t xml:space="preserve"> (list </w:t>
      </w:r>
      <w:r w:rsidR="00137A6F" w:rsidRPr="001A4297">
        <w:t>28-29</w:t>
      </w:r>
      <w:r w:rsidR="00A14E7B" w:rsidRPr="001A4297">
        <w:t xml:space="preserve"> spisa)</w:t>
      </w:r>
      <w:r w:rsidR="00E945C9" w:rsidRPr="001A4297">
        <w:t>, rješenje o utvrđenim tražbinama</w:t>
      </w:r>
      <w:r w:rsidR="0047233D" w:rsidRPr="001A4297">
        <w:t xml:space="preserve"> i </w:t>
      </w:r>
      <w:r w:rsidRPr="001A4297">
        <w:t>tab</w:t>
      </w:r>
      <w:r w:rsidR="00787B08" w:rsidRPr="001A4297">
        <w:t xml:space="preserve">lica </w:t>
      </w:r>
      <w:r w:rsidR="00E945C9" w:rsidRPr="001A4297">
        <w:t xml:space="preserve">utvrđenih tražbina (list </w:t>
      </w:r>
      <w:r w:rsidR="00137A6F" w:rsidRPr="001A4297">
        <w:t>21-23</w:t>
      </w:r>
      <w:r w:rsidR="00AB18B0" w:rsidRPr="001A4297">
        <w:t xml:space="preserve"> spisa), </w:t>
      </w:r>
      <w:r w:rsidR="00FE2A8D" w:rsidRPr="001A4297">
        <w:t>plan financijskog i operativnog restrukturiranja</w:t>
      </w:r>
      <w:r w:rsidR="006112BA" w:rsidRPr="001A4297">
        <w:t xml:space="preserve"> i nacrt predstečajne nagodbe</w:t>
      </w:r>
      <w:r w:rsidR="00AB18B0" w:rsidRPr="001A4297">
        <w:t>.</w:t>
      </w:r>
    </w:p>
    <w:p w:rsidRDefault="004B4ED8" w:rsidP="00224B33" w:rsidR="004B4ED8" w:rsidRPr="001A4297">
      <w:pPr>
        <w:jc w:val="both"/>
      </w:pPr>
      <w:r w:rsidRPr="001A4297">
        <w:t xml:space="preserve">Utvrđuje se da </w:t>
      </w:r>
      <w:r w:rsidR="00A14E7B" w:rsidRPr="001A4297">
        <w:t>su rješenjem od</w:t>
      </w:r>
      <w:r w:rsidR="00287B88" w:rsidRPr="001A4297">
        <w:t xml:space="preserve"> </w:t>
      </w:r>
      <w:r w:rsidR="00137A6F" w:rsidRPr="001A4297">
        <w:t>22. veljače 2016</w:t>
      </w:r>
      <w:r w:rsidR="00A14E7B" w:rsidRPr="001A4297">
        <w:t>.</w:t>
      </w:r>
      <w:r w:rsidR="00C60F52" w:rsidRPr="001A4297">
        <w:t xml:space="preserve"> </w:t>
      </w:r>
      <w:r w:rsidR="00A14E7B" w:rsidRPr="001A4297">
        <w:t>utvrđene tražbine</w:t>
      </w:r>
      <w:r w:rsidRPr="001A4297">
        <w:t xml:space="preserve"> </w:t>
      </w:r>
      <w:r w:rsidR="00A14E7B" w:rsidRPr="001A4297">
        <w:t>u ukup</w:t>
      </w:r>
      <w:r w:rsidRPr="001A4297">
        <w:t>n</w:t>
      </w:r>
      <w:r w:rsidR="00A14E7B" w:rsidRPr="001A4297">
        <w:t>om</w:t>
      </w:r>
      <w:r w:rsidRPr="001A4297">
        <w:t xml:space="preserve"> iznos</w:t>
      </w:r>
      <w:r w:rsidR="00A14E7B" w:rsidRPr="001A4297">
        <w:t>u</w:t>
      </w:r>
      <w:r w:rsidRPr="001A4297">
        <w:t xml:space="preserve"> od  </w:t>
      </w:r>
      <w:r w:rsidR="00137A6F" w:rsidRPr="001A4297">
        <w:t>1.352.645,31</w:t>
      </w:r>
      <w:r w:rsidRPr="001A4297">
        <w:t xml:space="preserve"> kn.</w:t>
      </w:r>
    </w:p>
    <w:p w:rsidRDefault="00137A6F" w:rsidP="00224B33" w:rsidR="00137A6F" w:rsidRPr="001A4297">
      <w:pPr>
        <w:jc w:val="both"/>
      </w:pPr>
    </w:p>
    <w:p w:rsidRDefault="00FC43EE" w:rsidP="00224B33" w:rsidR="004B4ED8" w:rsidRPr="001A4297">
      <w:pPr>
        <w:jc w:val="both"/>
      </w:pPr>
      <w:r w:rsidRPr="001A4297">
        <w:t xml:space="preserve">Utvrđuje se da je </w:t>
      </w:r>
      <w:r w:rsidR="00137A6F" w:rsidRPr="001A4297">
        <w:t>16. ožujka 2016</w:t>
      </w:r>
      <w:r w:rsidR="004B4ED8" w:rsidRPr="001A4297">
        <w:t>. održano ročište za glasovanje o Planu financijskog i operativnog restrukturiranja dužnika n</w:t>
      </w:r>
      <w:r w:rsidR="00A14E7B" w:rsidRPr="001A4297">
        <w:t>ako</w:t>
      </w:r>
      <w:r w:rsidR="00A375BF" w:rsidRPr="001A4297">
        <w:t xml:space="preserve">n kojeg je Nagodbeno vijeće </w:t>
      </w:r>
      <w:r w:rsidR="00137A6F" w:rsidRPr="001A4297">
        <w:t>ZG03</w:t>
      </w:r>
      <w:r w:rsidR="004B4ED8" w:rsidRPr="001A4297">
        <w:t xml:space="preserve"> donijelo rješenje, kojim je utvrđeno da su za Plan financijskog i operativnog restrukturiranja glasovali vjerovnici čije tražbine prelaze 2/3 vrijednosti svih utvrđenih tražbina</w:t>
      </w:r>
      <w:r w:rsidR="001A4297">
        <w:t>.</w:t>
      </w:r>
      <w:r w:rsidR="004B4ED8" w:rsidRPr="001A4297">
        <w:t xml:space="preserve"> </w:t>
      </w:r>
    </w:p>
    <w:p w:rsidRDefault="00FC43EE" w:rsidP="00224B33" w:rsidR="00FC43EE" w:rsidRPr="001A4297">
      <w:pPr>
        <w:jc w:val="both"/>
      </w:pPr>
    </w:p>
    <w:p w:rsidRDefault="007249B9" w:rsidP="007249B9" w:rsidR="007249B9" w:rsidRPr="001A4297">
      <w:pPr>
        <w:widowControl w:val="false"/>
        <w:autoSpaceDE w:val="false"/>
        <w:autoSpaceDN w:val="false"/>
        <w:adjustRightInd w:val="false"/>
        <w:spacing w:after="80"/>
        <w:jc w:val="both"/>
      </w:pPr>
      <w:r w:rsidRPr="001A4297">
        <w:t>Pravo glasa  imaju vjerovnici čije su tražbine utvrđene i to u Rješenju o utvrđenim tražbinama.</w:t>
      </w:r>
    </w:p>
    <w:p w:rsidRDefault="007249B9" w:rsidP="007249B9" w:rsidR="007249B9" w:rsidRPr="001A4297">
      <w:pPr>
        <w:widowControl w:val="false"/>
        <w:autoSpaceDE w:val="false"/>
        <w:autoSpaceDN w:val="false"/>
        <w:adjustRightInd w:val="false"/>
        <w:spacing w:after="80"/>
        <w:jc w:val="both"/>
      </w:pPr>
      <w:r w:rsidRPr="001A4297">
        <w:lastRenderedPageBreak/>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7249B9" w:rsidP="00224B33" w:rsidR="007249B9" w:rsidRPr="001A4297">
      <w:pPr>
        <w:jc w:val="both"/>
      </w:pPr>
    </w:p>
    <w:p w:rsidRDefault="004B4ED8" w:rsidP="00224B33" w:rsidR="00C91B7D" w:rsidRPr="001A4297">
      <w:pPr>
        <w:jc w:val="both"/>
      </w:pPr>
      <w:r w:rsidRPr="001A4297">
        <w:t>Sud kratko izlaže prijedlog predstečajne nagodbe.</w:t>
      </w:r>
      <w:r w:rsidR="005D5C1D" w:rsidRPr="001A4297">
        <w:t xml:space="preserve"> </w:t>
      </w:r>
    </w:p>
    <w:p w:rsidRDefault="004B4ED8" w:rsidP="00224B33" w:rsidR="004B4ED8" w:rsidRPr="001A4297">
      <w:pPr>
        <w:jc w:val="both"/>
      </w:pPr>
      <w:r w:rsidRPr="001A4297">
        <w:t>Sud poziva dužnika, te svakog vjerovnike koji je prihvatio plan financijskog restrukturiranja  pojedinačno se očitovati pristaju li na sklapanje predstečajne nagodbe.</w:t>
      </w:r>
    </w:p>
    <w:p w:rsidRDefault="004B4ED8" w:rsidP="00224B33" w:rsidR="004B4ED8" w:rsidRPr="001A4297">
      <w:pPr>
        <w:jc w:val="both"/>
      </w:pPr>
    </w:p>
    <w:p w:rsidRDefault="00DC7416" w:rsidP="00224B33" w:rsidR="004B4ED8" w:rsidRPr="001A4297">
      <w:pPr>
        <w:jc w:val="both"/>
      </w:pPr>
      <w:r w:rsidRPr="001A4297">
        <w:t>D</w:t>
      </w:r>
      <w:r w:rsidR="000B652C" w:rsidRPr="001A4297">
        <w:t>užnik</w:t>
      </w:r>
      <w:r w:rsidR="004B4ED8" w:rsidRPr="001A4297">
        <w:t xml:space="preserve"> izjavljuje kako</w:t>
      </w:r>
      <w:r w:rsidR="00D84558" w:rsidRPr="001A4297">
        <w:t xml:space="preserve"> dužnik</w:t>
      </w:r>
      <w:r w:rsidR="004B4ED8" w:rsidRPr="001A4297">
        <w:t xml:space="preserve"> daje pristanak za sklapanje predstečajne nagodbe. </w:t>
      </w:r>
    </w:p>
    <w:p w:rsidRDefault="00C60F52" w:rsidP="00224B33" w:rsidR="00C60F52" w:rsidRPr="001A4297">
      <w:pPr>
        <w:jc w:val="both"/>
        <w:rPr>
          <w:color w:val="FF0000"/>
        </w:rPr>
      </w:pPr>
    </w:p>
    <w:p w:rsidRDefault="00DC7416" w:rsidP="00FC4E85" w:rsidR="00DC7416" w:rsidRPr="001A4297">
      <w:pPr>
        <w:jc w:val="both"/>
      </w:pPr>
    </w:p>
    <w:p w:rsidRDefault="004B4ED8" w:rsidP="00FC4E85" w:rsidR="00C91B7D" w:rsidRPr="001A4297">
      <w:pPr>
        <w:jc w:val="both"/>
      </w:pPr>
      <w:r w:rsidRPr="001A4297">
        <w:t xml:space="preserve">Vjerovnik </w:t>
      </w:r>
      <w:r w:rsidR="00B8649E" w:rsidRPr="001A4297">
        <w:t xml:space="preserve">ADRIATIC ZAGREB FACTORING d.o.o., Zagreb, </w:t>
      </w:r>
      <w:r w:rsidRPr="001A4297">
        <w:t>č</w:t>
      </w:r>
      <w:r w:rsidR="00FC43EE" w:rsidRPr="001A4297">
        <w:t xml:space="preserve">ija utvrđena tražbina iznosi </w:t>
      </w:r>
      <w:r w:rsidR="00B8649E" w:rsidRPr="001A4297">
        <w:t>205.790,59</w:t>
      </w:r>
      <w:r w:rsidR="00C91B7D" w:rsidRPr="001A4297">
        <w:t xml:space="preserve"> kn</w:t>
      </w:r>
      <w:r w:rsidRPr="001A4297">
        <w:t>, izjavljuje kako daje pristanak za sklapanje predstečajne nagodbe.</w:t>
      </w:r>
    </w:p>
    <w:p w:rsidRDefault="00B8649E" w:rsidP="00FC4E85" w:rsidR="00B8649E" w:rsidRPr="001A4297">
      <w:pPr>
        <w:jc w:val="both"/>
      </w:pPr>
    </w:p>
    <w:p w:rsidRDefault="00B8649E" w:rsidP="00B8649E" w:rsidR="00B8649E" w:rsidRPr="001A4297">
      <w:pPr>
        <w:jc w:val="both"/>
      </w:pPr>
      <w:r w:rsidRPr="001A4297">
        <w:t>Vjerovnik ANTO IVIĆ, Zagreb, čija utvrđena tražbina iznosi 503.451,46 kn, izjavljuje kako daje pristanak za sklapanje predstečajne nagodbe.</w:t>
      </w:r>
    </w:p>
    <w:p w:rsidRDefault="00B8649E" w:rsidP="00FC4E85" w:rsidR="00B8649E" w:rsidRPr="001A4297">
      <w:pPr>
        <w:jc w:val="both"/>
      </w:pPr>
    </w:p>
    <w:p w:rsidRDefault="00B8649E" w:rsidP="00B8649E" w:rsidR="00B8649E" w:rsidRPr="001A4297">
      <w:pPr>
        <w:jc w:val="both"/>
      </w:pPr>
      <w:r w:rsidRPr="001A4297">
        <w:t>Vjerovnik ZORKA IVIĆ, Zagreb, čija utvrđena tražbina iznosi 231.633,84 kn, izjavljuje kako daje pristanak za sklapanje predstečajne nagodbe.</w:t>
      </w:r>
    </w:p>
    <w:p w:rsidRDefault="00B8649E" w:rsidP="00FC4E85" w:rsidR="00B8649E" w:rsidRPr="001A4297">
      <w:pPr>
        <w:jc w:val="both"/>
        <w:rPr>
          <w:color w:val="FF0000"/>
        </w:rPr>
      </w:pPr>
    </w:p>
    <w:p w:rsidRDefault="00FC3D40" w:rsidP="00AB18B0" w:rsidR="00FC3D40" w:rsidRPr="001A4297">
      <w:pPr>
        <w:jc w:val="both"/>
      </w:pPr>
    </w:p>
    <w:p w:rsidRDefault="00AB18B0" w:rsidP="00AB18B0" w:rsidR="00AB18B0" w:rsidRPr="001A4297">
      <w:pPr>
        <w:jc w:val="both"/>
      </w:pPr>
      <w:r w:rsidRPr="001A4297">
        <w:t xml:space="preserve">Utvrđuje se da je dužnik dao pristanak za sklapanje predstečajne nagodbe  te vjerovnici čije tražbine iznose </w:t>
      </w:r>
      <w:r w:rsidR="00137A6F" w:rsidRPr="001A4297">
        <w:t>940.875,89</w:t>
      </w:r>
      <w:r w:rsidRPr="001A4297">
        <w:t xml:space="preserve"> kn, što predstavlja </w:t>
      </w:r>
      <w:r w:rsidR="00137A6F" w:rsidRPr="001A4297">
        <w:t>69,56</w:t>
      </w:r>
      <w:r w:rsidRPr="001A4297">
        <w:t>% ili više od 2/3 vrijednosti ukupno utvrđenih tražbina</w:t>
      </w:r>
      <w:r w:rsidR="00D84558" w:rsidRPr="001A4297">
        <w:t xml:space="preserve"> s pravom glasa</w:t>
      </w:r>
      <w:r w:rsidRPr="001A4297">
        <w:t>.</w:t>
      </w:r>
    </w:p>
    <w:p w:rsidRDefault="004B4ED8" w:rsidP="004B4ED8" w:rsidR="004B4ED8" w:rsidRPr="001A4297"/>
    <w:p w:rsidRDefault="007249B9" w:rsidP="007249B9" w:rsidR="007249B9" w:rsidRPr="001A4297">
      <w:pPr>
        <w:widowControl w:val="false"/>
        <w:autoSpaceDE w:val="false"/>
        <w:autoSpaceDN w:val="false"/>
        <w:adjustRightInd w:val="false"/>
        <w:spacing w:after="80"/>
        <w:jc w:val="both"/>
      </w:pPr>
      <w:r w:rsidRPr="001A4297">
        <w:t xml:space="preserve">Sud utvrđuje kako su ispunjeni formalni uvjeti za sukladno Zakonu o financijskom poslovanju i predstečajnoj nagodbi da se u izvanparničnom postupku usvoji predstečajna nagodba. Naime određeno je da će sud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 Stoga sud donosi </w:t>
      </w:r>
    </w:p>
    <w:p w:rsidRDefault="00A76A65" w:rsidP="004B4ED8" w:rsidR="00A76A65" w:rsidRPr="001A4297"/>
    <w:p w:rsidRDefault="00A76A65" w:rsidP="004B4ED8" w:rsidR="00A76A65" w:rsidRPr="001A4297"/>
    <w:p w:rsidRDefault="00801FFD" w:rsidP="00801FFD" w:rsidR="00801FFD" w:rsidRPr="001A4297">
      <w:pPr>
        <w:jc w:val="center"/>
      </w:pPr>
      <w:r w:rsidRPr="001A4297">
        <w:t xml:space="preserve">U   I M E  R E P U B L I K E  H R V A T S K E </w:t>
      </w:r>
    </w:p>
    <w:p w:rsidRDefault="004B4ED8" w:rsidP="004B4ED8" w:rsidR="004B4ED8" w:rsidRPr="001A4297"/>
    <w:p w:rsidRDefault="004B4ED8" w:rsidP="00224B33" w:rsidR="004B4ED8" w:rsidRPr="001A4297">
      <w:pPr>
        <w:jc w:val="center"/>
      </w:pPr>
      <w:r w:rsidRPr="001A4297">
        <w:t>R</w:t>
      </w:r>
      <w:r w:rsidR="009A2D87" w:rsidRPr="001A4297">
        <w:t xml:space="preserve"> </w:t>
      </w:r>
      <w:r w:rsidRPr="001A4297">
        <w:t>J</w:t>
      </w:r>
      <w:r w:rsidR="009A2D87" w:rsidRPr="001A4297">
        <w:t xml:space="preserve"> </w:t>
      </w:r>
      <w:r w:rsidRPr="001A4297">
        <w:t>E</w:t>
      </w:r>
      <w:r w:rsidR="009A2D87" w:rsidRPr="001A4297">
        <w:t xml:space="preserve"> </w:t>
      </w:r>
      <w:r w:rsidRPr="001A4297">
        <w:t>Š</w:t>
      </w:r>
      <w:r w:rsidR="009A2D87" w:rsidRPr="001A4297">
        <w:t xml:space="preserve"> </w:t>
      </w:r>
      <w:r w:rsidRPr="001A4297">
        <w:t>E</w:t>
      </w:r>
      <w:r w:rsidR="009A2D87" w:rsidRPr="001A4297">
        <w:t xml:space="preserve"> </w:t>
      </w:r>
      <w:r w:rsidRPr="001A4297">
        <w:t>NJ</w:t>
      </w:r>
      <w:r w:rsidR="009A2D87" w:rsidRPr="001A4297">
        <w:t xml:space="preserve"> </w:t>
      </w:r>
      <w:r w:rsidRPr="001A4297">
        <w:t>E</w:t>
      </w:r>
    </w:p>
    <w:p w:rsidRDefault="004B4ED8" w:rsidP="004B4ED8" w:rsidR="004B4ED8" w:rsidRPr="001A4297"/>
    <w:p w:rsidRDefault="001A4297" w:rsidP="004B4ED8" w:rsidR="001A4297" w:rsidRPr="001A4297"/>
    <w:p w:rsidRDefault="004B4ED8" w:rsidP="000171A3" w:rsidR="004B4ED8" w:rsidRPr="001A4297">
      <w:pPr>
        <w:ind w:firstLine="708"/>
        <w:jc w:val="both"/>
      </w:pPr>
      <w:r w:rsidRPr="001A4297">
        <w:t xml:space="preserve">Odobrava se sklapanje </w:t>
      </w:r>
      <w:r w:rsidR="000171A3" w:rsidRPr="001A4297">
        <w:t xml:space="preserve">predstečajne nagodbe u postupku nad dužnikom </w:t>
      </w:r>
      <w:r w:rsidR="00137A6F" w:rsidRPr="001A4297">
        <w:t>BEDEM d.o.o., Zagreb, Zagrebačka cesta 190, OIB 03461719887</w:t>
      </w:r>
      <w:r w:rsidR="00FC4E85" w:rsidRPr="001A4297">
        <w:t>.</w:t>
      </w:r>
    </w:p>
    <w:p w:rsidRDefault="000171A3" w:rsidP="000171A3" w:rsidR="000171A3" w:rsidRPr="001A4297">
      <w:pPr>
        <w:ind w:firstLine="708"/>
      </w:pPr>
    </w:p>
    <w:p w:rsidRDefault="000171A3" w:rsidP="000171A3" w:rsidR="000171A3" w:rsidRPr="001A4297">
      <w:pPr>
        <w:jc w:val="center"/>
      </w:pPr>
      <w:r w:rsidRPr="001A4297">
        <w:t>Obrazloženje</w:t>
      </w:r>
    </w:p>
    <w:p w:rsidRDefault="000171A3" w:rsidP="000171A3" w:rsidR="000171A3" w:rsidRPr="001A4297"/>
    <w:p w:rsidRDefault="00AE5CD7" w:rsidP="00AE5CD7" w:rsidR="000171A3" w:rsidRPr="001A4297">
      <w:pPr>
        <w:ind w:firstLine="708"/>
        <w:jc w:val="both"/>
      </w:pPr>
      <w:r w:rsidRPr="001A4297">
        <w:lastRenderedPageBreak/>
        <w:t xml:space="preserve">Dužnik </w:t>
      </w:r>
      <w:r w:rsidR="00137A6F" w:rsidRPr="001A4297">
        <w:t>BEDEM d.o.o., Zagreb, Zagrebačka cesta 190, OIB 03461719887</w:t>
      </w:r>
      <w:r w:rsidRPr="001A4297">
        <w:t>, podnio</w:t>
      </w:r>
      <w:r w:rsidR="000171A3" w:rsidRPr="001A4297">
        <w:t xml:space="preserve"> je na temelju odredbe čl. </w:t>
      </w:r>
      <w:smartTag w:element="metricconverter" w:uri="urn:schemas-microsoft-com:office:smarttags">
        <w:smartTagPr>
          <w:attr w:val="66. st" w:name="ProductID"/>
        </w:smartTagPr>
        <w:r w:rsidR="000171A3" w:rsidRPr="001A4297">
          <w:t>66. st</w:t>
        </w:r>
      </w:smartTag>
      <w:r w:rsidR="000171A3" w:rsidRPr="001A4297">
        <w:t>. 1. Zakona o financijskom poslovanju i predstečajnoj nagodbi ("Narodne novine" broj 108/12, 144/12, 81/13 i 112/13, dalje: ZFPPN) prijedlog za sklapanje predstečajne nagodbe.</w:t>
      </w:r>
    </w:p>
    <w:p w:rsidRDefault="000171A3" w:rsidP="000171A3" w:rsidR="000171A3" w:rsidRPr="001A4297">
      <w:pPr>
        <w:jc w:val="both"/>
      </w:pPr>
    </w:p>
    <w:p w:rsidRDefault="000171A3" w:rsidP="00AE5CD7" w:rsidR="000171A3" w:rsidRPr="001A4297">
      <w:pPr>
        <w:ind w:firstLine="708"/>
        <w:jc w:val="both"/>
      </w:pPr>
      <w:r w:rsidRPr="001A4297">
        <w:t>Sud je na temelju dostavljenih isprava i provjerom podataka na web-stranici Fine utvrdio da su ispunjene pretpostavke za određivanje ročišta radi sklapanja predstečajne nagodbe, a oglas s pozivom na ročište</w:t>
      </w:r>
      <w:r w:rsidR="000B652C" w:rsidRPr="001A4297">
        <w:t xml:space="preserve"> objavljen je na</w:t>
      </w:r>
      <w:r w:rsidR="00AE5CD7" w:rsidRPr="001A4297">
        <w:t xml:space="preserve"> mrežnoj stranici e-oglasna ploča Trgovačkog</w:t>
      </w:r>
      <w:r w:rsidR="000B652C" w:rsidRPr="001A4297">
        <w:t xml:space="preserve"> suda</w:t>
      </w:r>
      <w:r w:rsidR="00AE5CD7" w:rsidRPr="001A4297">
        <w:t xml:space="preserve"> u Zagrebu</w:t>
      </w:r>
      <w:r w:rsidR="000B652C" w:rsidRPr="001A4297">
        <w:t xml:space="preserve"> </w:t>
      </w:r>
      <w:r w:rsidR="00FC4E85" w:rsidRPr="001A4297">
        <w:t xml:space="preserve">od </w:t>
      </w:r>
      <w:r w:rsidR="009746A7" w:rsidRPr="001A4297">
        <w:t>24. ožujka 2017</w:t>
      </w:r>
      <w:r w:rsidR="00AB18B0" w:rsidRPr="001A4297">
        <w:t>.</w:t>
      </w:r>
      <w:r w:rsidR="00FC4E85" w:rsidRPr="001A4297">
        <w:t xml:space="preserve"> i na web st</w:t>
      </w:r>
      <w:r w:rsidR="00EA1278" w:rsidRPr="001A4297">
        <w:t>r</w:t>
      </w:r>
      <w:r w:rsidR="00A375BF" w:rsidRPr="001A4297">
        <w:t xml:space="preserve">anici Financijske agencije od </w:t>
      </w:r>
      <w:r w:rsidR="009746A7" w:rsidRPr="001A4297">
        <w:t>30. ožujka 2017.</w:t>
      </w:r>
    </w:p>
    <w:p w:rsidRDefault="000171A3" w:rsidP="000171A3" w:rsidR="000171A3" w:rsidRPr="001A4297">
      <w:pPr>
        <w:jc w:val="both"/>
      </w:pPr>
    </w:p>
    <w:p w:rsidRDefault="000171A3" w:rsidP="00D22023" w:rsidR="000171A3" w:rsidRPr="001A4297">
      <w:pPr>
        <w:ind w:firstLine="708"/>
        <w:jc w:val="both"/>
      </w:pPr>
      <w:r w:rsidRPr="001A4297">
        <w:t xml:space="preserve">Na ročištu za sklapanje predstečajne nagodbe održanom </w:t>
      </w:r>
      <w:r w:rsidR="009746A7" w:rsidRPr="001A4297">
        <w:t>26. travnja 2017</w:t>
      </w:r>
      <w:r w:rsidRPr="001A4297">
        <w:t xml:space="preserve">., pristanak za sklapanje predstečajne nagodbe dali su dužnik i vjerovnici čije tražbine iznose </w:t>
      </w:r>
      <w:r w:rsidR="00137A6F" w:rsidRPr="001A4297">
        <w:t>940.875,89</w:t>
      </w:r>
      <w:r w:rsidR="009A2D87" w:rsidRPr="001A4297">
        <w:t xml:space="preserve"> </w:t>
      </w:r>
      <w:r w:rsidRPr="001A4297">
        <w:t xml:space="preserve">kn, što predstavlja </w:t>
      </w:r>
      <w:r w:rsidR="00137A6F" w:rsidRPr="001A4297">
        <w:t>69,56</w:t>
      </w:r>
      <w:r w:rsidRPr="001A4297">
        <w:t xml:space="preserve"> % ili više od 2/3 vrijednosti ukupno utvrđenih tražbina, čime je ostvarena potrebna većina propisana čl. </w:t>
      </w:r>
      <w:smartTag w:element="metricconverter" w:uri="urn:schemas-microsoft-com:office:smarttags">
        <w:smartTagPr>
          <w:attr w:val="66. st" w:name="ProductID"/>
        </w:smartTagPr>
        <w:r w:rsidRPr="001A4297">
          <w:t>66. st</w:t>
        </w:r>
      </w:smartTag>
      <w:r w:rsidRPr="001A4297">
        <w:t>. 7. u vezi s čl. 63. ZFPPN-a. Slijedom navedenog, sud je riješio kao u izreci ovog rješenja.</w:t>
      </w:r>
    </w:p>
    <w:p w:rsidRDefault="000171A3" w:rsidP="000171A3" w:rsidR="000171A3" w:rsidRPr="001A4297"/>
    <w:p w:rsidRDefault="009A2D87" w:rsidP="000171A3" w:rsidR="009A2D87" w:rsidRPr="001A4297"/>
    <w:p w:rsidRDefault="009A2D87" w:rsidP="009A2D87" w:rsidR="009A2D87" w:rsidRPr="001A4297">
      <w:pPr>
        <w:jc w:val="right"/>
      </w:pPr>
      <w:r w:rsidRPr="001A4297">
        <w:tab/>
      </w:r>
      <w:r w:rsidRPr="001A4297">
        <w:tab/>
      </w:r>
      <w:r w:rsidRPr="001A4297">
        <w:tab/>
      </w:r>
      <w:r w:rsidRPr="001A4297">
        <w:tab/>
      </w:r>
      <w:r w:rsidRPr="001A4297">
        <w:tab/>
      </w:r>
      <w:r w:rsidRPr="001A4297">
        <w:tab/>
      </w:r>
      <w:r w:rsidRPr="001A4297">
        <w:tab/>
      </w:r>
      <w:r w:rsidRPr="001A4297">
        <w:tab/>
      </w:r>
      <w:r w:rsidRPr="001A4297">
        <w:tab/>
      </w:r>
      <w:r w:rsidRPr="001A4297">
        <w:tab/>
        <w:t>Sudac:</w:t>
      </w:r>
    </w:p>
    <w:p w:rsidRDefault="009A2D87" w:rsidP="009A2D87" w:rsidR="009A2D87" w:rsidRPr="001A4297">
      <w:pPr>
        <w:jc w:val="right"/>
      </w:pPr>
      <w:r w:rsidRPr="001A4297">
        <w:tab/>
      </w:r>
      <w:r w:rsidRPr="001A4297">
        <w:tab/>
      </w:r>
      <w:r w:rsidRPr="001A4297">
        <w:tab/>
      </w:r>
      <w:r w:rsidRPr="001A4297">
        <w:tab/>
      </w:r>
      <w:r w:rsidRPr="001A4297">
        <w:tab/>
      </w:r>
      <w:r w:rsidRPr="001A4297">
        <w:tab/>
      </w:r>
      <w:r w:rsidRPr="001A4297">
        <w:tab/>
      </w:r>
      <w:r w:rsidRPr="001A4297">
        <w:tab/>
      </w:r>
      <w:r w:rsidRPr="001A4297">
        <w:tab/>
        <w:t>Nikolina Dorić Hadžisejdić</w:t>
      </w:r>
    </w:p>
    <w:p w:rsidRDefault="009A2D87" w:rsidP="000171A3" w:rsidR="009A2D87" w:rsidRPr="001A4297"/>
    <w:p w:rsidRDefault="009A2D87" w:rsidP="000171A3" w:rsidR="009A2D87" w:rsidRPr="001A4297"/>
    <w:p w:rsidRDefault="000171A3" w:rsidP="000171A3" w:rsidR="000171A3" w:rsidRPr="001A4297">
      <w:pPr>
        <w:jc w:val="both"/>
      </w:pPr>
      <w:r w:rsidRPr="001A4297">
        <w:t xml:space="preserve">UPUTA O PRAVNOM LIJEKU: </w:t>
      </w:r>
    </w:p>
    <w:p w:rsidRDefault="000171A3" w:rsidP="000171A3" w:rsidR="000171A3" w:rsidRPr="001A4297">
      <w:pPr>
        <w:jc w:val="both"/>
      </w:pPr>
      <w:r w:rsidRPr="001A4297">
        <w:t>Protiv rješenja o odobravanju ove predstečajne nagodbe može se izjaviti žalba u roku od 8 dana. Žalba se podnosi ovom sudu za Visoki trgovački sud RH u 2 primjerka.</w:t>
      </w:r>
    </w:p>
    <w:p w:rsidRDefault="000171A3" w:rsidP="000171A3" w:rsidR="000171A3" w:rsidRPr="001A4297">
      <w:pPr>
        <w:ind w:firstLine="708"/>
        <w:jc w:val="center"/>
      </w:pPr>
    </w:p>
    <w:p w:rsidRDefault="00AE4548" w:rsidP="000171A3" w:rsidR="00AE4548" w:rsidRPr="001A4297">
      <w:pPr>
        <w:ind w:firstLine="708"/>
        <w:jc w:val="center"/>
      </w:pPr>
    </w:p>
    <w:p w:rsidRDefault="00AE4548" w:rsidP="00A76A65" w:rsidR="00AE4548" w:rsidRPr="001A4297"/>
    <w:p w:rsidRDefault="000171A3" w:rsidP="00480963" w:rsidR="000171A3" w:rsidRPr="001A4297">
      <w:pPr>
        <w:jc w:val="both"/>
      </w:pPr>
      <w:r w:rsidRPr="001A4297">
        <w:t xml:space="preserve">Nakon što je sud nazočnim javno objavio rješenje kojim se dopušta sklapanje predstečajne nagodbe stranke pristupaju potpisivanju: </w:t>
      </w:r>
    </w:p>
    <w:p w:rsidRDefault="004B4ED8" w:rsidP="004B4ED8" w:rsidR="004B4ED8" w:rsidRPr="001A4297"/>
    <w:p w:rsidRDefault="004B4ED8" w:rsidP="00224B33" w:rsidR="004B4ED8" w:rsidRPr="001A4297">
      <w:pPr>
        <w:jc w:val="center"/>
      </w:pPr>
      <w:r w:rsidRPr="001A4297">
        <w:t>PREDSTEČAJNE NAGODBE</w:t>
      </w:r>
    </w:p>
    <w:p w:rsidRDefault="00801FFD" w:rsidP="00801FFD" w:rsidR="00801FFD" w:rsidRPr="001A4297">
      <w:pPr>
        <w:rPr>
          <w:bCs/>
          <w:color w:val="FF0000"/>
        </w:rPr>
      </w:pPr>
    </w:p>
    <w:p w:rsidRDefault="007568D8" w:rsidP="00224B33" w:rsidR="007568D8" w:rsidRPr="001A4297">
      <w:pPr>
        <w:jc w:val="both"/>
        <w:rPr>
          <w:color w:val="FF0000"/>
        </w:rPr>
      </w:pPr>
    </w:p>
    <w:p w:rsidRDefault="00B8649E" w:rsidP="00224B33" w:rsidR="00B8649E" w:rsidRPr="001A4297">
      <w:pPr>
        <w:jc w:val="both"/>
        <w:rPr>
          <w:color w:val="FF0000"/>
        </w:rPr>
      </w:pPr>
    </w:p>
    <w:p w:rsidRDefault="00B8649E" w:rsidP="00B8649E" w:rsidR="00B8649E" w:rsidRPr="001A4297">
      <w:pPr>
        <w:pStyle w:val="Odlomakpopisa"/>
        <w:numPr>
          <w:ilvl w:val="0"/>
          <w:numId w:val="41"/>
        </w:numPr>
        <w:spacing w:lineRule="auto" w:line="276" w:after="200"/>
        <w:jc w:val="both"/>
      </w:pPr>
      <w:r w:rsidRPr="001A4297">
        <w:t>Ova predstečajna nagodba (dalje u tekstu: Nagodba) sklapa se između dužnika BEDEM d.o.o. za graditeljstvo i poslovanje nekretninama, Zagreb, Zagrebačka cesta 190, upisan pri Trgovačkom sudu u Zagrebu pod MBS 080655565 i OIB 03461719887 (dalje u tekstu: Dužnik) i vjerovnika predstečajne nagodbe (dalje u tekstu: Vjerovnici) (dalje u tekstu Dužnik i Vjerovnici zajedno: Nagodbene strane).</w:t>
      </w:r>
    </w:p>
    <w:p w:rsidRDefault="00B8649E" w:rsidP="00B8649E" w:rsidR="00B8649E" w:rsidRPr="001A4297">
      <w:pPr>
        <w:pStyle w:val="Odlomakpopisa"/>
        <w:ind w:left="1080"/>
      </w:pPr>
      <w:r w:rsidRPr="001A4297">
        <w:t>Vjerovnici su prikazani abecedno u Tabeli 1.</w:t>
      </w:r>
    </w:p>
    <w:p w:rsidRDefault="00B8649E" w:rsidP="00B8649E" w:rsidR="00B8649E" w:rsidRPr="001A4297">
      <w:pPr>
        <w:pStyle w:val="Opisslike"/>
        <w:keepNext/>
        <w:rPr>
          <w:rFonts w:hAnsi="Times New Roman" w:ascii="Times New Roman"/>
          <w:i w:val="false"/>
          <w:sz w:val="24"/>
          <w:szCs w:val="24"/>
        </w:rPr>
      </w:pPr>
      <w:r w:rsidRPr="001A4297">
        <w:rPr>
          <w:rFonts w:hAnsi="Times New Roman" w:ascii="Times New Roman"/>
          <w:i w:val="false"/>
          <w:sz w:val="24"/>
          <w:szCs w:val="24"/>
        </w:rPr>
        <w:t xml:space="preserve">Tabela </w:t>
      </w:r>
      <w:r w:rsidR="0066310F" w:rsidRPr="001A4297">
        <w:rPr>
          <w:rFonts w:hAnsi="Times New Roman" w:ascii="Times New Roman"/>
          <w:i w:val="false"/>
          <w:sz w:val="24"/>
          <w:szCs w:val="24"/>
        </w:rPr>
        <w:fldChar w:fldCharType="begin"/>
      </w:r>
      <w:r w:rsidR="0066310F" w:rsidRPr="001A4297">
        <w:rPr>
          <w:rFonts w:hAnsi="Times New Roman" w:ascii="Times New Roman"/>
          <w:i w:val="false"/>
          <w:sz w:val="24"/>
          <w:szCs w:val="24"/>
        </w:rPr>
        <w:instrText xml:space="preserve"> SEQ Tabela \* ARABIC </w:instrText>
      </w:r>
      <w:r w:rsidR="0066310F" w:rsidRPr="001A4297">
        <w:rPr>
          <w:rFonts w:hAnsi="Times New Roman" w:ascii="Times New Roman"/>
          <w:i w:val="false"/>
          <w:sz w:val="24"/>
          <w:szCs w:val="24"/>
        </w:rPr>
        <w:fldChar w:fldCharType="separate"/>
      </w:r>
      <w:r w:rsidR="00267B53">
        <w:rPr>
          <w:rFonts w:hAnsi="Times New Roman" w:ascii="Times New Roman"/>
          <w:i w:val="false"/>
          <w:noProof/>
          <w:sz w:val="24"/>
          <w:szCs w:val="24"/>
        </w:rPr>
        <w:t>1</w:t>
      </w:r>
      <w:r w:rsidR="0066310F" w:rsidRPr="001A4297">
        <w:rPr>
          <w:rFonts w:hAnsi="Times New Roman" w:ascii="Times New Roman"/>
          <w:i w:val="false"/>
          <w:sz w:val="24"/>
          <w:szCs w:val="24"/>
        </w:rPr>
        <w:fldChar w:fldCharType="end"/>
      </w:r>
    </w:p>
    <w:tbl>
      <w:tblPr>
        <w:tblW w:type="dxa" w:w="6841"/>
        <w:jc w:val="center"/>
        <w:tblInd w:type="dxa" w:w="93"/>
        <w:tblLook w:val="04A0" w:noVBand="1" w:noHBand="0" w:lastColumn="0" w:firstColumn="1" w:lastRow="0" w:firstRow="1"/>
      </w:tblPr>
      <w:tblGrid>
        <w:gridCol w:w="697"/>
        <w:gridCol w:w="1848"/>
        <w:gridCol w:w="4380"/>
      </w:tblGrid>
      <w:tr w:rsidTr="00B8649E" w:rsidR="00B8649E" w:rsidRPr="001A4297">
        <w:trPr>
          <w:trHeight w:val="321"/>
          <w:jc w:val="center"/>
        </w:trPr>
        <w:tc>
          <w:tcPr>
            <w:tcW w:type="dxa" w:w="613"/>
            <w:tcBorders>
              <w:top w:space="0" w:sz="4" w:color="auto" w:val="single"/>
              <w:left w:space="0" w:sz="4" w:color="auto" w:val="single"/>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RBR</w:t>
            </w:r>
          </w:p>
        </w:tc>
        <w:tc>
          <w:tcPr>
            <w:tcW w:type="dxa" w:w="1848"/>
            <w:tcBorders>
              <w:top w:space="0" w:sz="4" w:color="auto" w:val="single"/>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OIB VJEROVNIKA</w:t>
            </w:r>
          </w:p>
        </w:tc>
        <w:tc>
          <w:tcPr>
            <w:tcW w:type="dxa" w:w="4380"/>
            <w:tcBorders>
              <w:top w:space="0" w:sz="4" w:color="auto" w:val="single"/>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NAZIV VJEROVNIKA:</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36856583241</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ADRIATIC ZAGREB FACTORING d.o.o</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81916160981</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ANTO IVIĆ</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3</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85058985197</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AQUAMONT d.o.o</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4</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99417127750</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 xml:space="preserve">AUTOPRIJEVOZNIK VLADO </w:t>
            </w:r>
            <w:r w:rsidRPr="001A4297">
              <w:rPr>
                <w:bCs/>
              </w:rPr>
              <w:lastRenderedPageBreak/>
              <w:t>ŠPOLJAR</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lastRenderedPageBreak/>
              <w:t>5</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13935830818</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BMT d.o.o</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6</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26187994862</w:t>
            </w:r>
          </w:p>
        </w:tc>
        <w:tc>
          <w:tcPr>
            <w:tcW w:type="dxa" w:w="4380"/>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rPr>
                <w:bCs/>
              </w:rPr>
            </w:pPr>
            <w:r w:rsidRPr="001A4297">
              <w:rPr>
                <w:bCs/>
              </w:rPr>
              <w:t>CROATIA OSIGURANJE d.d</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7</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23057039320</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ERSTE&amp;STEIERMARKISCHE BANKA d.d</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8</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76637127809</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FISSURA d.o.o</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9</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32002520580</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GERMEN SAMOBOR d.o.o</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10</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86314065016</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GOLUBIĆ TRGOVINA d.o.o</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11</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61817894937</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GRAD ZAGREB</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12</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81793146560</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HT d.d</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13</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28921383001</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HRVATSKE VODE</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14</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36779353407</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ISKON Internet d.d.</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15</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16338571473</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LIMARIJA LACI I ROBI d.o.o</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16</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15702330001</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MATAN-83 d.o.o</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17</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18683136487</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MINSTARSTVO FINANCIJA</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18</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50307132895</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OD ŠUNIĆ I PARTNERI j.t.d.</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19</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19271576318</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RAHMER d.o.o</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20</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1428377300</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SIGET ID d.o.o</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21</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97003245557</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SUPER MARIO d.o.o</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22</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29524210204</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VIPNET d.o.o</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23</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3729902848</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ZA-GRAD-RAD d.o.o</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24</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85584865987</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color w:val="000000"/>
              </w:rPr>
            </w:pPr>
            <w:r w:rsidRPr="001A4297">
              <w:rPr>
                <w:bCs/>
                <w:color w:val="000000"/>
              </w:rPr>
              <w:t>ZAGREBAČKI HOLDING d.o.o</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25</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68204597981</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ZAŠTITA-ZAGREB d.o.o</w:t>
            </w:r>
          </w:p>
        </w:tc>
      </w:tr>
      <w:tr w:rsidTr="00B8649E" w:rsidR="00B8649E" w:rsidRPr="001A4297">
        <w:trPr>
          <w:trHeight w:val="283"/>
          <w:jc w:val="center"/>
        </w:trPr>
        <w:tc>
          <w:tcPr>
            <w:tcW w:type="dxa" w:w="613"/>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26</w:t>
            </w:r>
          </w:p>
        </w:tc>
        <w:tc>
          <w:tcPr>
            <w:tcW w:type="dxa" w:w="1848"/>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73059001371</w:t>
            </w:r>
          </w:p>
        </w:tc>
        <w:tc>
          <w:tcPr>
            <w:tcW w:type="dxa" w:w="438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ZORKA IVIĆ</w:t>
            </w:r>
          </w:p>
        </w:tc>
      </w:tr>
    </w:tbl>
    <w:p w:rsidRDefault="00B8649E" w:rsidP="00B8649E" w:rsidR="00B8649E" w:rsidRPr="001A4297">
      <w:pPr>
        <w:pStyle w:val="Odlomakpopisa"/>
        <w:ind w:left="1080"/>
      </w:pPr>
    </w:p>
    <w:p w:rsidRDefault="00B8649E" w:rsidP="00B8649E" w:rsidR="00B8649E" w:rsidRPr="001A4297">
      <w:pPr>
        <w:pStyle w:val="Odlomakpopisa"/>
        <w:numPr>
          <w:ilvl w:val="0"/>
          <w:numId w:val="41"/>
        </w:numPr>
        <w:spacing w:lineRule="auto" w:line="276" w:after="200"/>
        <w:jc w:val="both"/>
      </w:pPr>
      <w:r w:rsidRPr="001A4297">
        <w:t>Nagodbene strane suglasno utvrđuju kako se pred Financijskom agencijom (dalje u tekstu: FINA), Regionalni centar Zagreb, Nagodbeno vijeće ZG03 pod brojem Klase: UP-I/110/07/15-01/8595, vodi postupak predstečajne nagodbe nad Dužnikom pokrenut dana 28. kolovoza 2015. prijedlogom Dužnika i otvoren dana 11. siječnja 2016. temeljem Rješenja FINE, Klasa: UP-I/110/07/15-01/8595, Ur. br: 04-06-16-8595-19, sukladno odredbi članka 50. Zakona o financijskom poslovanju i predstečajnoj nagodbi (NN108/12, 144/12, 81/13; dalje u tekstu: Zakon).</w:t>
      </w:r>
    </w:p>
    <w:p w:rsidRDefault="00B8649E" w:rsidP="00B8649E" w:rsidR="00B8649E" w:rsidRPr="001A4297">
      <w:pPr>
        <w:pStyle w:val="Odlomakpopisa"/>
        <w:numPr>
          <w:ilvl w:val="0"/>
          <w:numId w:val="41"/>
        </w:numPr>
        <w:spacing w:lineRule="auto" w:line="276" w:after="200"/>
        <w:jc w:val="both"/>
      </w:pPr>
      <w:r w:rsidRPr="001A4297">
        <w:t>Sukladno Zakonu Dužnik je pripremio ovaj prijedlog predstečajne nagodbe koji predstavlja ponudu Dužnika vjerovnicima predstečajne nagodbe:</w:t>
      </w:r>
    </w:p>
    <w:p w:rsidRDefault="00B8649E" w:rsidP="00B8649E" w:rsidR="00B8649E" w:rsidRPr="001A4297">
      <w:r w:rsidRPr="001A4297">
        <w:t>Tražbine koje ulaze u plan financijskog restrukturiranja</w:t>
      </w:r>
    </w:p>
    <w:p w:rsidRDefault="00B8649E" w:rsidP="00B8649E" w:rsidR="00B8649E" w:rsidRPr="001A4297">
      <w:pPr>
        <w:pStyle w:val="Odlomakpopisa"/>
        <w:numPr>
          <w:ilvl w:val="0"/>
          <w:numId w:val="41"/>
        </w:numPr>
        <w:spacing w:lineRule="auto" w:line="276" w:after="200"/>
        <w:jc w:val="both"/>
      </w:pPr>
      <w:r w:rsidRPr="001A4297">
        <w:t>U postupku su prijave vjerovnika ispitane na ispitnom ročištu zaključenom dana 24. veljače 2016. godine. Na navedenom ročištu evidentirano je kako postoje tražbine ukupno 26 (dvadeset i šest) vjerovnika prema Dužniku, i to u ukupnom iznosu od: 1.352.645,31 kn.</w:t>
      </w:r>
    </w:p>
    <w:p w:rsidRDefault="00B8649E" w:rsidP="00B8649E" w:rsidR="00B8649E" w:rsidRPr="001A4297">
      <w:pPr>
        <w:pStyle w:val="Odlomakpopisa"/>
        <w:numPr>
          <w:ilvl w:val="0"/>
          <w:numId w:val="41"/>
        </w:numPr>
        <w:spacing w:lineRule="auto" w:line="276" w:after="200"/>
        <w:jc w:val="both"/>
      </w:pPr>
      <w:r w:rsidRPr="001A4297">
        <w:t>Sve valjano prijavljene tražbine su ispitane te je Nagodbeno vijeće dana 24. veljače 2016. godine donijelo rješenje Klasa: UP-I/110/07/15-01/8595, Ur. br: 04-06-16-8595-19 kojim je odlučeno koje su tražbine utvrđene i u kojem iznosu, a koje tražbine su osporene i u kojem iznosu (dalje u tekstu: Rješenje).</w:t>
      </w:r>
    </w:p>
    <w:p w:rsidRDefault="00B8649E" w:rsidP="00B8649E" w:rsidR="00B8649E" w:rsidRPr="001A4297">
      <w:pPr>
        <w:pStyle w:val="Odlomakpopisa"/>
        <w:numPr>
          <w:ilvl w:val="0"/>
          <w:numId w:val="41"/>
        </w:numPr>
        <w:spacing w:lineRule="auto" w:line="276" w:after="200"/>
        <w:jc w:val="both"/>
      </w:pPr>
      <w:r w:rsidRPr="001A4297">
        <w:t xml:space="preserve">Ukupan iznos utvrđenih tražbina iznosi 1.352.645,31 kn, dok ukupan iznos osporenih tražbina iznosi 1.833,28 kn što iznosi 0,89% iz čega proizlazi da je </w:t>
      </w:r>
      <w:r w:rsidRPr="001A4297">
        <w:lastRenderedPageBreak/>
        <w:t>vrijednost osporenih tražbina manja od 25% prijavljenih tražbina, stoga se Postupak može nastaviti glasovanjem o planu financijskog restrukturiranja.</w:t>
      </w:r>
    </w:p>
    <w:p w:rsidRDefault="00B8649E" w:rsidP="00B8649E" w:rsidR="00B8649E" w:rsidRPr="001A4297">
      <w:r w:rsidRPr="001A4297">
        <w:t>Pravo glasa pri odlučivanju o potvrdi plana financijskog restrukturiranja</w:t>
      </w:r>
    </w:p>
    <w:p w:rsidRDefault="00B8649E" w:rsidP="00B8649E" w:rsidR="00B8649E" w:rsidRPr="001A4297">
      <w:pPr>
        <w:pStyle w:val="Odlomakpopisa"/>
        <w:numPr>
          <w:ilvl w:val="0"/>
          <w:numId w:val="41"/>
        </w:numPr>
        <w:spacing w:lineRule="auto" w:line="276" w:after="200"/>
        <w:jc w:val="both"/>
      </w:pPr>
      <w:r w:rsidRPr="001A4297">
        <w:t>Vjerovnici predstečajne Nagodbe čije su tražbine utvrđene rješenjem i uvrštene u navedenu tablicu imaju pravo glasa sukladno iznosu (visini) svoje utvrđene tražbine. Razlučni vjerovnici koji su se odrekli prava na odvojeno namirenje i čije su tražbine utvrđene rješenjem također imaju pravo glasa sukladno iznosu (visini) svoje utvrđene tražbine.</w:t>
      </w:r>
    </w:p>
    <w:p w:rsidRDefault="00B8649E" w:rsidP="00B8649E" w:rsidR="00B8649E" w:rsidRPr="001A4297">
      <w:pPr>
        <w:pStyle w:val="Odlomakpopisa"/>
        <w:numPr>
          <w:ilvl w:val="0"/>
          <w:numId w:val="41"/>
        </w:numPr>
        <w:spacing w:lineRule="auto" w:line="276" w:after="200"/>
        <w:jc w:val="both"/>
      </w:pPr>
      <w:r w:rsidRPr="001A4297">
        <w:t>Razlučni vjerovnici koji se nisu odrekli prava na odvojeno namirenje, vjerovnici na čije tražbine predstečajna Nagodba ne djeluje ni vjerovnici osporenih tražbina nemaju pravo glasa.</w:t>
      </w:r>
    </w:p>
    <w:p w:rsidRDefault="00B8649E" w:rsidP="00B8649E" w:rsidR="00B8649E" w:rsidRPr="001A4297">
      <w:pPr>
        <w:pStyle w:val="Odlomakpopisa"/>
        <w:numPr>
          <w:ilvl w:val="0"/>
          <w:numId w:val="41"/>
        </w:numPr>
        <w:spacing w:lineRule="auto" w:line="276" w:after="200"/>
        <w:jc w:val="both"/>
      </w:pPr>
      <w:r w:rsidRPr="001A4297">
        <w:t>Popis Vjerovnika predstečajne Nagodbe čije su tražbine utvrđene i koji imaju pravo glasa, sa utvrđenim tražbinama i omjerom svoje utvrđene tražbine u odnosu na ukupno utvrđene tražbine se nalazi u Tabeli 2.</w:t>
      </w:r>
    </w:p>
    <w:p w:rsidRDefault="00B8649E" w:rsidP="00B8649E" w:rsidR="00B8649E" w:rsidRPr="001A4297">
      <w:pPr>
        <w:pStyle w:val="Odlomakpopisa"/>
        <w:numPr>
          <w:ilvl w:val="0"/>
          <w:numId w:val="41"/>
        </w:numPr>
        <w:spacing w:lineRule="auto" w:line="276" w:after="200"/>
        <w:jc w:val="both"/>
      </w:pPr>
      <w:r w:rsidRPr="001A4297">
        <w:t>Od dana otvaranja Postupka nad Dužnikom do dana pravomoćnosti rješenja o potvrdi ove Nagodbe, na iznose utvrđenih tražbina ne teku kamate.</w:t>
      </w:r>
    </w:p>
    <w:p w:rsidRDefault="00B8649E" w:rsidP="00B8649E" w:rsidR="00B8649E" w:rsidRPr="001A4297">
      <w:pPr>
        <w:pStyle w:val="Odlomakpopisa"/>
        <w:numPr>
          <w:ilvl w:val="0"/>
          <w:numId w:val="41"/>
        </w:numPr>
        <w:spacing w:lineRule="auto" w:line="276" w:after="200"/>
        <w:jc w:val="both"/>
      </w:pPr>
      <w:r w:rsidRPr="001A4297">
        <w:t>Sukladno odredbama čl. 63. st. 1. izvršena je podjela Vjerovnika predstečajne Nagodbe za potreba glasovanja na tri grupe, od kojih jednu čine tijela javne uprave i trgovačka društva u većinskom državnom vlasništvu, drugu financijske institucije, a treću ostali vjerovnici.</w:t>
      </w:r>
    </w:p>
    <w:p w:rsidRDefault="00B8649E" w:rsidP="00B8649E" w:rsidR="00B8649E" w:rsidRPr="001A4297">
      <w:pPr>
        <w:pStyle w:val="Odlomakpopisa"/>
        <w:numPr>
          <w:ilvl w:val="0"/>
          <w:numId w:val="41"/>
        </w:numPr>
        <w:spacing w:lineRule="auto" w:line="276" w:after="200"/>
        <w:jc w:val="both"/>
      </w:pPr>
      <w:r w:rsidRPr="001A4297">
        <w:t>Popis Vjerovnika predstečajne Nagodbe po grupama s iznosima nalazi se u Tabeli 3.</w:t>
      </w:r>
    </w:p>
    <w:p w:rsidRDefault="00B8649E" w:rsidP="00B8649E" w:rsidR="00B8649E" w:rsidRPr="001A4297">
      <w:pPr>
        <w:rPr>
          <w:bCs/>
          <w:color w:themeTint="80" w:themeColor="text1" w:val="7F7F7F"/>
        </w:rPr>
      </w:pPr>
      <w:r w:rsidRPr="001A4297">
        <w:br w:type="page"/>
      </w:r>
    </w:p>
    <w:p w:rsidRDefault="00B8649E" w:rsidP="00B8649E" w:rsidR="00B8649E" w:rsidRPr="001A4297">
      <w:pPr>
        <w:pStyle w:val="Opisslike"/>
        <w:keepNext/>
        <w:rPr>
          <w:rFonts w:hAnsi="Times New Roman" w:ascii="Times New Roman"/>
          <w:i w:val="false"/>
          <w:sz w:val="24"/>
          <w:szCs w:val="24"/>
        </w:rPr>
      </w:pPr>
      <w:r w:rsidRPr="001A4297">
        <w:rPr>
          <w:rFonts w:hAnsi="Times New Roman" w:ascii="Times New Roman"/>
          <w:i w:val="false"/>
          <w:sz w:val="24"/>
          <w:szCs w:val="24"/>
        </w:rPr>
        <w:lastRenderedPageBreak/>
        <w:t xml:space="preserve">Tabela </w:t>
      </w:r>
      <w:r w:rsidR="0066310F" w:rsidRPr="001A4297">
        <w:rPr>
          <w:rFonts w:hAnsi="Times New Roman" w:ascii="Times New Roman"/>
          <w:i w:val="false"/>
          <w:sz w:val="24"/>
          <w:szCs w:val="24"/>
        </w:rPr>
        <w:fldChar w:fldCharType="begin"/>
      </w:r>
      <w:r w:rsidR="0066310F" w:rsidRPr="001A4297">
        <w:rPr>
          <w:rFonts w:hAnsi="Times New Roman" w:ascii="Times New Roman"/>
          <w:i w:val="false"/>
          <w:sz w:val="24"/>
          <w:szCs w:val="24"/>
        </w:rPr>
        <w:instrText xml:space="preserve"> SEQ Tabela \* ARABIC </w:instrText>
      </w:r>
      <w:r w:rsidR="0066310F" w:rsidRPr="001A4297">
        <w:rPr>
          <w:rFonts w:hAnsi="Times New Roman" w:ascii="Times New Roman"/>
          <w:i w:val="false"/>
          <w:sz w:val="24"/>
          <w:szCs w:val="24"/>
        </w:rPr>
        <w:fldChar w:fldCharType="separate"/>
      </w:r>
      <w:r w:rsidR="00267B53">
        <w:rPr>
          <w:rFonts w:hAnsi="Times New Roman" w:ascii="Times New Roman"/>
          <w:i w:val="false"/>
          <w:noProof/>
          <w:sz w:val="24"/>
          <w:szCs w:val="24"/>
        </w:rPr>
        <w:t>2</w:t>
      </w:r>
      <w:r w:rsidR="0066310F" w:rsidRPr="001A4297">
        <w:rPr>
          <w:rFonts w:hAnsi="Times New Roman" w:ascii="Times New Roman"/>
          <w:i w:val="false"/>
          <w:sz w:val="24"/>
          <w:szCs w:val="24"/>
        </w:rPr>
        <w:fldChar w:fldCharType="end"/>
      </w:r>
    </w:p>
    <w:tbl>
      <w:tblPr>
        <w:tblW w:type="dxa" w:w="9513"/>
        <w:jc w:val="center"/>
        <w:tblLook w:val="04A0" w:noVBand="1" w:noHBand="0" w:lastColumn="0" w:firstColumn="1" w:lastRow="0" w:firstRow="1"/>
      </w:tblPr>
      <w:tblGrid>
        <w:gridCol w:w="697"/>
        <w:gridCol w:w="1840"/>
        <w:gridCol w:w="3954"/>
        <w:gridCol w:w="1843"/>
        <w:gridCol w:w="1276"/>
      </w:tblGrid>
      <w:tr w:rsidTr="00B8649E" w:rsidR="00B8649E" w:rsidRPr="001A4297">
        <w:trPr>
          <w:trHeight w:val="274"/>
          <w:jc w:val="center"/>
        </w:trPr>
        <w:tc>
          <w:tcPr>
            <w:tcW w:type="dxa" w:w="9513"/>
            <w:gridSpan w:val="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rPr>
                <w:bCs/>
              </w:rPr>
              <w:t>TABLICA UTVRĐENIH TRAŽBINA - DUŽNIK BEDEM d.o.o., OIB 03461719887</w:t>
            </w:r>
            <w:r w:rsidRPr="001A4297">
              <w:t> </w:t>
            </w:r>
          </w:p>
        </w:tc>
      </w:tr>
      <w:tr w:rsidTr="00B8649E" w:rsidR="00B8649E" w:rsidRPr="001A4297">
        <w:trPr>
          <w:trHeight w:val="638"/>
          <w:jc w:val="center"/>
        </w:trPr>
        <w:tc>
          <w:tcPr>
            <w:tcW w:type="dxa" w:w="600"/>
            <w:tcBorders>
              <w:top w:val="nil"/>
              <w:left w:space="0" w:sz="4" w:color="auto" w:val="single"/>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RBR</w:t>
            </w:r>
          </w:p>
        </w:tc>
        <w:tc>
          <w:tcPr>
            <w:tcW w:type="dxa" w:w="1840"/>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OIB VJEROVNIKA</w:t>
            </w:r>
          </w:p>
        </w:tc>
        <w:tc>
          <w:tcPr>
            <w:tcW w:type="dxa" w:w="3954"/>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NAZIV VJEROVNIKA:</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IZNOS UTVRĐENE TRAŽBINE</w:t>
            </w:r>
          </w:p>
        </w:tc>
        <w:tc>
          <w:tcPr>
            <w:tcW w:type="dxa" w:w="1276"/>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center"/>
              <w:rPr>
                <w:bCs/>
              </w:rPr>
            </w:pPr>
            <w:r w:rsidRPr="001A4297">
              <w:rPr>
                <w:bCs/>
              </w:rPr>
              <w:t>% UDJELA</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36856583241</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ADRIATIC ZAGREB FACTORING d.o.o</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205.790,59</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15,21%</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81916160981</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ANTO IVIĆ</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503.451,46</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37,22%</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3</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85058985197</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AQUAMONT d.o.o</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117.297,00</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8,67%</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4</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99417127750</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AUTOPRIJEVOZNIK VLADO ŠPOLJAR</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2.625,00</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0,19%</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5</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13935830818</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BMT d.o.o</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203,41</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0,02%</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6</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26187994862</w:t>
            </w:r>
          </w:p>
        </w:tc>
        <w:tc>
          <w:tcPr>
            <w:tcW w:type="dxa" w:w="3954"/>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rPr>
                <w:bCs/>
              </w:rPr>
            </w:pPr>
            <w:r w:rsidRPr="001A4297">
              <w:rPr>
                <w:bCs/>
              </w:rPr>
              <w:t>CROATIA OSIGURANJE d.d</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5.909,32</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0,44%</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7</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23057039320</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ERSTE&amp;STEIERMARKISCHE BANKA d.d</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538,20</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0,04%</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8</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76637127809</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FISSURA d.o.o</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34.521,94</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2,55%</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9</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32002520580</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GERMEN SAMOBOR d.o.o</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3.787,50</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0,28%</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10</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86314065016</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GOLUBIĆ TRGOVINA d.o.o</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9.904,55</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0,73%</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11</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61817894937</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GRAD ZAGREB</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1.781,26</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0,13%</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12</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81793146560</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HT d.d</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1.933,19</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0,14%</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13</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28921383001</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HRVATSKE VODE</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964,94</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0,07%</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14</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36779353407</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ISKON Internet d.d.</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899,68</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0,07%</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15</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16338571473</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LIMARIJA LACI I ROBI d.o.o</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295,27</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0,02%</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16</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15702330001</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MATAN-83 d.o.o</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4.654,70</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0,34%</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17</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18683136487</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MINSTARSTVO FINANCIJA</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192.181,86</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14,21%</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18</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50307132895</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OD ŠUNIC I PARTNERI j.t.d</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4.312,50</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0,32%</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19</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19271576318</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RAHMER d.o.o</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2.125,00</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0,16%</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20</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1428377300</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SIGET ID d.o.o</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13.417,29</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0,99%</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21</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97003245557</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SUPER MARIO d.o.o</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6.663,28</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0,49%</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22</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29524210204</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VIPNET d.o.o</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1.980,45</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0,15%</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23</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3729902848</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ZA-GRAD-RAD d.o.o</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4.000,00</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0,30%</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24</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85584865987</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color w:val="000000"/>
              </w:rPr>
            </w:pPr>
            <w:r w:rsidRPr="001A4297">
              <w:rPr>
                <w:bCs/>
                <w:color w:val="000000"/>
              </w:rPr>
              <w:t>ZAGREBAČKI HOLDING d.o.o</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1.699,20</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0,13%</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25</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68204597981</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ZAŠTITA-ZAGREB d.o.o</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73,88</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0,01%</w:t>
            </w:r>
          </w:p>
        </w:tc>
      </w:tr>
      <w:tr w:rsidTr="00B8649E" w:rsidR="00B8649E" w:rsidRPr="001A4297">
        <w:trPr>
          <w:trHeight w:val="315"/>
          <w:jc w:val="center"/>
        </w:trPr>
        <w:tc>
          <w:tcPr>
            <w:tcW w:type="dxa" w:w="60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26</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73059001371</w:t>
            </w:r>
          </w:p>
        </w:tc>
        <w:tc>
          <w:tcPr>
            <w:tcW w:type="dxa" w:w="395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ZORKA IVIĆ</w:t>
            </w:r>
          </w:p>
        </w:tc>
        <w:tc>
          <w:tcPr>
            <w:tcW w:type="dxa" w:w="18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231.633,84</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17,12%</w:t>
            </w:r>
          </w:p>
        </w:tc>
      </w:tr>
      <w:tr w:rsidTr="00B8649E" w:rsidR="00B8649E" w:rsidRPr="001A4297">
        <w:trPr>
          <w:trHeight w:val="300"/>
          <w:jc w:val="center"/>
        </w:trPr>
        <w:tc>
          <w:tcPr>
            <w:tcW w:type="dxa" w:w="6394"/>
            <w:gridSpan w:val="3"/>
            <w:tcBorders>
              <w:top w:val="nil"/>
              <w:bottom w:val="nil"/>
              <w:right w:space="0" w:sz="4" w:color="000000" w:val="single"/>
            </w:tcBorders>
            <w:shd w:fill="auto" w:color="auto" w:val="clear"/>
            <w:noWrap/>
            <w:vAlign w:val="bottom"/>
            <w:hideMark/>
          </w:tcPr>
          <w:p w:rsidRDefault="00B8649E" w:rsidP="00B8649E" w:rsidR="00B8649E" w:rsidRPr="001A4297">
            <w:r w:rsidRPr="001A4297">
              <w:t> </w:t>
            </w:r>
          </w:p>
        </w:tc>
        <w:tc>
          <w:tcPr>
            <w:tcW w:type="dxa" w:w="184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bCs/>
              </w:rPr>
            </w:pPr>
            <w:r w:rsidRPr="001A4297">
              <w:rPr>
                <w:bCs/>
              </w:rPr>
              <w:t>1.352.645,31</w:t>
            </w:r>
          </w:p>
        </w:tc>
        <w:tc>
          <w:tcPr>
            <w:tcW w:type="dxa" w:w="1276"/>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100,00%</w:t>
            </w:r>
          </w:p>
        </w:tc>
      </w:tr>
    </w:tbl>
    <w:p w:rsidRDefault="00B8649E" w:rsidP="00B8649E" w:rsidR="00B8649E" w:rsidRPr="001A4297"/>
    <w:p w:rsidRDefault="00B8649E" w:rsidP="00B8649E" w:rsidR="00B8649E" w:rsidRPr="001A4297">
      <w:r w:rsidRPr="001A4297">
        <w:br w:type="page"/>
      </w:r>
    </w:p>
    <w:p w:rsidRDefault="00B8649E" w:rsidP="00B8649E" w:rsidR="00B8649E" w:rsidRPr="001A4297">
      <w:pPr>
        <w:pStyle w:val="Opisslike"/>
        <w:keepNext/>
        <w:rPr>
          <w:rFonts w:hAnsi="Times New Roman" w:ascii="Times New Roman"/>
          <w:i w:val="false"/>
          <w:sz w:val="24"/>
          <w:szCs w:val="24"/>
        </w:rPr>
      </w:pPr>
      <w:r w:rsidRPr="001A4297">
        <w:rPr>
          <w:rFonts w:hAnsi="Times New Roman" w:ascii="Times New Roman"/>
          <w:i w:val="false"/>
          <w:sz w:val="24"/>
          <w:szCs w:val="24"/>
        </w:rPr>
        <w:lastRenderedPageBreak/>
        <w:t xml:space="preserve">Tabela </w:t>
      </w:r>
      <w:r w:rsidR="0066310F" w:rsidRPr="001A4297">
        <w:rPr>
          <w:rFonts w:hAnsi="Times New Roman" w:ascii="Times New Roman"/>
          <w:i w:val="false"/>
          <w:sz w:val="24"/>
          <w:szCs w:val="24"/>
        </w:rPr>
        <w:fldChar w:fldCharType="begin"/>
      </w:r>
      <w:r w:rsidR="0066310F" w:rsidRPr="001A4297">
        <w:rPr>
          <w:rFonts w:hAnsi="Times New Roman" w:ascii="Times New Roman"/>
          <w:i w:val="false"/>
          <w:sz w:val="24"/>
          <w:szCs w:val="24"/>
        </w:rPr>
        <w:instrText xml:space="preserve"> SEQ Tabela \* ARABIC </w:instrText>
      </w:r>
      <w:r w:rsidR="0066310F" w:rsidRPr="001A4297">
        <w:rPr>
          <w:rFonts w:hAnsi="Times New Roman" w:ascii="Times New Roman"/>
          <w:i w:val="false"/>
          <w:sz w:val="24"/>
          <w:szCs w:val="24"/>
        </w:rPr>
        <w:fldChar w:fldCharType="separate"/>
      </w:r>
      <w:r w:rsidR="00267B53">
        <w:rPr>
          <w:rFonts w:hAnsi="Times New Roman" w:ascii="Times New Roman"/>
          <w:i w:val="false"/>
          <w:noProof/>
          <w:sz w:val="24"/>
          <w:szCs w:val="24"/>
        </w:rPr>
        <w:t>3</w:t>
      </w:r>
      <w:r w:rsidR="0066310F" w:rsidRPr="001A4297">
        <w:rPr>
          <w:rFonts w:hAnsi="Times New Roman" w:ascii="Times New Roman"/>
          <w:i w:val="false"/>
          <w:sz w:val="24"/>
          <w:szCs w:val="24"/>
        </w:rPr>
        <w:fldChar w:fldCharType="end"/>
      </w:r>
    </w:p>
    <w:tbl>
      <w:tblPr>
        <w:tblW w:type="dxa" w:w="9575"/>
        <w:jc w:val="center"/>
        <w:tblLook w:val="04A0" w:noVBand="1" w:noHBand="0" w:lastColumn="0" w:firstColumn="1" w:lastRow="0" w:firstRow="1"/>
      </w:tblPr>
      <w:tblGrid>
        <w:gridCol w:w="697"/>
        <w:gridCol w:w="1840"/>
        <w:gridCol w:w="3909"/>
        <w:gridCol w:w="8"/>
        <w:gridCol w:w="1834"/>
        <w:gridCol w:w="1374"/>
      </w:tblGrid>
      <w:tr w:rsidTr="00B8649E" w:rsidR="00B8649E" w:rsidRPr="001A4297">
        <w:trPr>
          <w:trHeight w:val="300"/>
          <w:jc w:val="center"/>
        </w:trPr>
        <w:tc>
          <w:tcPr>
            <w:tcW w:type="dxa" w:w="9575"/>
            <w:gridSpan w:val="6"/>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B8649E" w:rsidP="00B8649E" w:rsidR="00B8649E" w:rsidRPr="001A4297">
            <w:pPr>
              <w:jc w:val="center"/>
              <w:rPr>
                <w:bCs/>
              </w:rPr>
            </w:pPr>
            <w:r w:rsidRPr="001A4297">
              <w:rPr>
                <w:bCs/>
              </w:rPr>
              <w:t>1. GRUPA VJEROVNIKA - TIJELA JAVNE UPRAVE I TRGOVAČKA DRUŠTVA</w:t>
            </w:r>
          </w:p>
        </w:tc>
      </w:tr>
      <w:tr w:rsidTr="00B8649E" w:rsidR="00B8649E" w:rsidRPr="001A4297">
        <w:trPr>
          <w:trHeight w:val="638"/>
          <w:jc w:val="center"/>
        </w:trPr>
        <w:tc>
          <w:tcPr>
            <w:tcW w:type="dxa" w:w="610"/>
            <w:tcBorders>
              <w:top w:val="nil"/>
              <w:left w:space="0" w:sz="4" w:color="auto" w:val="single"/>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RBR</w:t>
            </w:r>
          </w:p>
        </w:tc>
        <w:tc>
          <w:tcPr>
            <w:tcW w:type="dxa" w:w="1840"/>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OIB VJEROVNIKA</w:t>
            </w:r>
          </w:p>
        </w:tc>
        <w:tc>
          <w:tcPr>
            <w:tcW w:type="dxa" w:w="3917"/>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NAZIV VJEROVNIKA:</w:t>
            </w:r>
          </w:p>
        </w:tc>
        <w:tc>
          <w:tcPr>
            <w:tcW w:type="dxa" w:w="1834"/>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IZNOS UTVRĐENE TRAŽBINE</w:t>
            </w:r>
          </w:p>
        </w:tc>
        <w:tc>
          <w:tcPr>
            <w:tcW w:type="dxa" w:w="137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center"/>
              <w:rPr>
                <w:bCs/>
              </w:rPr>
            </w:pPr>
            <w:r w:rsidRPr="001A4297">
              <w:rPr>
                <w:bCs/>
              </w:rPr>
              <w:t>% UDJELA</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tcPr>
          <w:p w:rsidRDefault="00B8649E" w:rsidP="00B8649E" w:rsidR="00B8649E" w:rsidRPr="001A4297">
            <w:pPr>
              <w:jc w:val="center"/>
            </w:pPr>
            <w:r w:rsidRPr="001A4297">
              <w:t>6</w:t>
            </w:r>
          </w:p>
        </w:tc>
        <w:tc>
          <w:tcPr>
            <w:tcW w:type="dxa" w:w="1840"/>
            <w:tcBorders>
              <w:top w:val="nil"/>
              <w:left w:val="nil"/>
              <w:bottom w:space="0" w:sz="4" w:color="auto" w:val="single"/>
              <w:right w:space="0" w:sz="4" w:color="auto" w:val="single"/>
            </w:tcBorders>
            <w:shd w:fill="auto" w:color="auto" w:val="clear"/>
            <w:noWrap/>
            <w:vAlign w:val="center"/>
          </w:tcPr>
          <w:p w:rsidRDefault="00B8649E" w:rsidP="00B8649E" w:rsidR="00B8649E" w:rsidRPr="001A4297">
            <w:pPr>
              <w:jc w:val="right"/>
            </w:pPr>
            <w:r w:rsidRPr="001A4297">
              <w:t>26187994862</w:t>
            </w:r>
          </w:p>
        </w:tc>
        <w:tc>
          <w:tcPr>
            <w:tcW w:type="dxa" w:w="3917"/>
            <w:gridSpan w:val="2"/>
            <w:tcBorders>
              <w:top w:val="nil"/>
              <w:left w:val="nil"/>
              <w:bottom w:space="0" w:sz="4" w:color="auto" w:val="single"/>
              <w:right w:space="0" w:sz="4" w:color="auto" w:val="single"/>
            </w:tcBorders>
            <w:shd w:fill="auto" w:color="auto" w:val="clear"/>
            <w:noWrap/>
            <w:vAlign w:val="center"/>
          </w:tcPr>
          <w:p w:rsidRDefault="00B8649E" w:rsidP="00B8649E" w:rsidR="00B8649E" w:rsidRPr="001A4297">
            <w:pPr>
              <w:rPr>
                <w:bCs/>
              </w:rPr>
            </w:pPr>
            <w:r w:rsidRPr="001A4297">
              <w:rPr>
                <w:bCs/>
              </w:rPr>
              <w:t>CROATIA OSIGURANJE d.d.</w:t>
            </w:r>
          </w:p>
        </w:tc>
        <w:tc>
          <w:tcPr>
            <w:tcW w:type="dxa" w:w="1834"/>
            <w:tcBorders>
              <w:top w:val="nil"/>
              <w:left w:val="nil"/>
              <w:bottom w:space="0" w:sz="4" w:color="auto" w:val="single"/>
              <w:right w:space="0" w:sz="4" w:color="auto" w:val="single"/>
            </w:tcBorders>
            <w:shd w:fill="auto" w:color="auto" w:val="clear"/>
            <w:vAlign w:val="center"/>
          </w:tcPr>
          <w:p w:rsidRDefault="00B8649E" w:rsidP="00B8649E" w:rsidR="00B8649E" w:rsidRPr="001A4297">
            <w:pPr>
              <w:jc w:val="right"/>
              <w:rPr>
                <w:bCs/>
              </w:rPr>
            </w:pPr>
            <w:r w:rsidRPr="001A4297">
              <w:rPr>
                <w:bCs/>
              </w:rPr>
              <w:t>5.909,32</w:t>
            </w:r>
          </w:p>
        </w:tc>
        <w:tc>
          <w:tcPr>
            <w:tcW w:type="dxa" w:w="1374"/>
            <w:tcBorders>
              <w:top w:val="nil"/>
              <w:left w:val="nil"/>
              <w:bottom w:space="0" w:sz="4" w:color="auto" w:val="single"/>
              <w:right w:space="0" w:sz="4" w:color="auto" w:val="single"/>
            </w:tcBorders>
            <w:shd w:fill="auto" w:color="auto" w:val="clear"/>
            <w:noWrap/>
            <w:vAlign w:val="bottom"/>
          </w:tcPr>
          <w:p w:rsidRDefault="00B8649E" w:rsidP="00B8649E" w:rsidR="00B8649E" w:rsidRPr="001A4297">
            <w:pPr>
              <w:jc w:val="right"/>
            </w:pPr>
            <w:r w:rsidRPr="001A4297">
              <w:t>0,44%</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tcPr>
          <w:p w:rsidRDefault="00B8649E" w:rsidP="00B8649E" w:rsidR="00B8649E" w:rsidRPr="001A4297">
            <w:pPr>
              <w:jc w:val="center"/>
            </w:pPr>
            <w:r w:rsidRPr="001A4297">
              <w:t>11</w:t>
            </w:r>
          </w:p>
        </w:tc>
        <w:tc>
          <w:tcPr>
            <w:tcW w:type="dxa" w:w="1840"/>
            <w:tcBorders>
              <w:top w:val="nil"/>
              <w:left w:val="nil"/>
              <w:bottom w:space="0" w:sz="4" w:color="auto" w:val="single"/>
              <w:right w:space="0" w:sz="4" w:color="auto" w:val="single"/>
            </w:tcBorders>
            <w:shd w:fill="auto" w:color="auto" w:val="clear"/>
            <w:noWrap/>
            <w:vAlign w:val="center"/>
          </w:tcPr>
          <w:p w:rsidRDefault="00B8649E" w:rsidP="00B8649E" w:rsidR="00B8649E" w:rsidRPr="001A4297">
            <w:pPr>
              <w:jc w:val="right"/>
            </w:pPr>
            <w:r w:rsidRPr="001A4297">
              <w:t>61817894937</w:t>
            </w:r>
          </w:p>
        </w:tc>
        <w:tc>
          <w:tcPr>
            <w:tcW w:type="dxa" w:w="3917"/>
            <w:gridSpan w:val="2"/>
            <w:tcBorders>
              <w:top w:val="nil"/>
              <w:left w:val="nil"/>
              <w:bottom w:space="0" w:sz="4" w:color="auto" w:val="single"/>
              <w:right w:space="0" w:sz="4" w:color="auto" w:val="single"/>
            </w:tcBorders>
            <w:shd w:fill="auto" w:color="auto" w:val="clear"/>
            <w:noWrap/>
            <w:vAlign w:val="center"/>
          </w:tcPr>
          <w:p w:rsidRDefault="00B8649E" w:rsidP="00B8649E" w:rsidR="00B8649E" w:rsidRPr="001A4297">
            <w:pPr>
              <w:rPr>
                <w:bCs/>
              </w:rPr>
            </w:pPr>
            <w:r w:rsidRPr="001A4297">
              <w:rPr>
                <w:bCs/>
              </w:rPr>
              <w:t>GRAD ZAGREB</w:t>
            </w:r>
          </w:p>
        </w:tc>
        <w:tc>
          <w:tcPr>
            <w:tcW w:type="dxa" w:w="1834"/>
            <w:tcBorders>
              <w:top w:val="nil"/>
              <w:left w:val="nil"/>
              <w:bottom w:space="0" w:sz="4" w:color="auto" w:val="single"/>
              <w:right w:space="0" w:sz="4" w:color="auto" w:val="single"/>
            </w:tcBorders>
            <w:shd w:fill="auto" w:color="auto" w:val="clear"/>
            <w:vAlign w:val="center"/>
          </w:tcPr>
          <w:p w:rsidRDefault="00B8649E" w:rsidP="00B8649E" w:rsidR="00B8649E" w:rsidRPr="001A4297">
            <w:pPr>
              <w:jc w:val="right"/>
              <w:rPr>
                <w:bCs/>
              </w:rPr>
            </w:pPr>
            <w:r w:rsidRPr="001A4297">
              <w:rPr>
                <w:bCs/>
              </w:rPr>
              <w:t>1.781,26</w:t>
            </w:r>
          </w:p>
        </w:tc>
        <w:tc>
          <w:tcPr>
            <w:tcW w:type="dxa" w:w="1374"/>
            <w:tcBorders>
              <w:top w:val="nil"/>
              <w:left w:val="nil"/>
              <w:bottom w:space="0" w:sz="4" w:color="auto" w:val="single"/>
              <w:right w:space="0" w:sz="4" w:color="auto" w:val="single"/>
            </w:tcBorders>
            <w:shd w:fill="auto" w:color="auto" w:val="clear"/>
            <w:noWrap/>
            <w:vAlign w:val="bottom"/>
          </w:tcPr>
          <w:p w:rsidRDefault="00B8649E" w:rsidP="00B8649E" w:rsidR="00B8649E" w:rsidRPr="001A4297">
            <w:pPr>
              <w:jc w:val="right"/>
            </w:pPr>
            <w:r w:rsidRPr="001A4297">
              <w:t>0,13%</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13</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28921383001</w:t>
            </w:r>
          </w:p>
        </w:tc>
        <w:tc>
          <w:tcPr>
            <w:tcW w:type="dxa" w:w="3917"/>
            <w:gridSpan w:val="2"/>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HRVATSKE VODE</w:t>
            </w:r>
          </w:p>
        </w:tc>
        <w:tc>
          <w:tcPr>
            <w:tcW w:type="dxa" w:w="1834"/>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964,94</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0,07%</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17</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18683136487</w:t>
            </w:r>
          </w:p>
        </w:tc>
        <w:tc>
          <w:tcPr>
            <w:tcW w:type="dxa" w:w="3917"/>
            <w:gridSpan w:val="2"/>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MINSTARSTVO FINANCIJA – POREZNA UPRAVA</w:t>
            </w:r>
          </w:p>
        </w:tc>
        <w:tc>
          <w:tcPr>
            <w:tcW w:type="dxa" w:w="1834"/>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192.181,86</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14,21%</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24</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85584865987</w:t>
            </w:r>
          </w:p>
        </w:tc>
        <w:tc>
          <w:tcPr>
            <w:tcW w:type="dxa" w:w="3917"/>
            <w:gridSpan w:val="2"/>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color w:val="000000"/>
              </w:rPr>
            </w:pPr>
            <w:r w:rsidRPr="001A4297">
              <w:rPr>
                <w:bCs/>
                <w:color w:val="000000"/>
              </w:rPr>
              <w:t>ZAGREBAČKI HOLDING d.o.o</w:t>
            </w:r>
          </w:p>
        </w:tc>
        <w:tc>
          <w:tcPr>
            <w:tcW w:type="dxa" w:w="1834"/>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1.699,20</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0,13%</w:t>
            </w:r>
          </w:p>
        </w:tc>
      </w:tr>
      <w:tr w:rsidTr="00B8649E" w:rsidR="00B8649E" w:rsidRPr="001A4297">
        <w:trPr>
          <w:trHeight w:val="300"/>
          <w:jc w:val="center"/>
        </w:trPr>
        <w:tc>
          <w:tcPr>
            <w:tcW w:type="dxa" w:w="6367"/>
            <w:gridSpan w:val="4"/>
            <w:tcBorders>
              <w:top w:val="nil"/>
              <w:left w:space="0" w:sz="4" w:color="auto" w:val="single"/>
              <w:bottom w:val="nil"/>
              <w:right w:space="0" w:sz="4" w:color="000000" w:val="single"/>
            </w:tcBorders>
            <w:shd w:fill="auto" w:color="auto" w:val="clear"/>
            <w:noWrap/>
            <w:vAlign w:val="bottom"/>
            <w:hideMark/>
          </w:tcPr>
          <w:p w:rsidRDefault="00B8649E" w:rsidP="00B8649E" w:rsidR="00B8649E" w:rsidRPr="001A4297">
            <w:pPr>
              <w:jc w:val="center"/>
            </w:pPr>
            <w:r w:rsidRPr="001A4297">
              <w:t> </w:t>
            </w:r>
          </w:p>
        </w:tc>
        <w:tc>
          <w:tcPr>
            <w:tcW w:type="dxa" w:w="183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bCs/>
              </w:rPr>
            </w:pPr>
            <w:r w:rsidRPr="001A4297">
              <w:rPr>
                <w:bCs/>
              </w:rPr>
              <w:t>202.536,58</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fldChar w:fldCharType="begin"/>
            </w:r>
            <w:r w:rsidRPr="001A4297">
              <w:instrText xml:space="preserve"> =SUM(ABOVE)*100 \# "0,00%" </w:instrText>
            </w:r>
            <w:r w:rsidRPr="001A4297">
              <w:fldChar w:fldCharType="separate"/>
            </w:r>
            <w:r w:rsidRPr="001A4297">
              <w:t>14,98%</w:t>
            </w:r>
            <w:r w:rsidRPr="001A4297">
              <w:fldChar w:fldCharType="end"/>
            </w:r>
          </w:p>
        </w:tc>
      </w:tr>
      <w:tr w:rsidTr="00B8649E" w:rsidR="00B8649E" w:rsidRPr="001A4297">
        <w:trPr>
          <w:trHeight w:val="300"/>
          <w:jc w:val="center"/>
        </w:trPr>
        <w:tc>
          <w:tcPr>
            <w:tcW w:type="dxa" w:w="9575"/>
            <w:gridSpan w:val="6"/>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B8649E" w:rsidP="00B8649E" w:rsidR="00B8649E" w:rsidRPr="001A4297">
            <w:pPr>
              <w:jc w:val="center"/>
              <w:rPr>
                <w:bCs/>
              </w:rPr>
            </w:pPr>
            <w:r w:rsidRPr="001A4297">
              <w:rPr>
                <w:bCs/>
              </w:rPr>
              <w:t>2. GRUPA VJEROVNIKA - FINANCIJSKE INSTITUCIJE</w:t>
            </w:r>
          </w:p>
        </w:tc>
      </w:tr>
      <w:tr w:rsidTr="00B8649E" w:rsidR="00B8649E" w:rsidRPr="001A4297">
        <w:trPr>
          <w:trHeight w:val="600"/>
          <w:jc w:val="center"/>
        </w:trPr>
        <w:tc>
          <w:tcPr>
            <w:tcW w:type="dxa" w:w="610"/>
            <w:tcBorders>
              <w:top w:val="nil"/>
              <w:left w:space="0" w:sz="4" w:color="auto" w:val="single"/>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RBR</w:t>
            </w:r>
          </w:p>
        </w:tc>
        <w:tc>
          <w:tcPr>
            <w:tcW w:type="dxa" w:w="1840"/>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OIB VJEROVNIKA</w:t>
            </w:r>
          </w:p>
        </w:tc>
        <w:tc>
          <w:tcPr>
            <w:tcW w:type="dxa" w:w="3909"/>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NAZIV VJEROVNIKA - DOBAVLJAČI :</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IZNOS UTVRĐENE TRAŽBINE</w:t>
            </w:r>
          </w:p>
        </w:tc>
        <w:tc>
          <w:tcPr>
            <w:tcW w:type="dxa" w:w="137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center"/>
              <w:rPr>
                <w:bCs/>
              </w:rPr>
            </w:pPr>
            <w:r w:rsidRPr="001A4297">
              <w:rPr>
                <w:bCs/>
              </w:rPr>
              <w:t>% UDJELA</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36856583241</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ADRIATIC ZAGREB FACTORING d.o.o</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205.790,59</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15,21%</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7</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23057039320</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ERSTE&amp;STEIERMARKISCHE BANKA d.d</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538,20</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0,04%</w:t>
            </w:r>
          </w:p>
        </w:tc>
      </w:tr>
      <w:tr w:rsidTr="00B8649E" w:rsidR="00B8649E" w:rsidRPr="001A4297">
        <w:trPr>
          <w:trHeight w:val="300"/>
          <w:jc w:val="center"/>
        </w:trPr>
        <w:tc>
          <w:tcPr>
            <w:tcW w:type="dxa" w:w="6359"/>
            <w:gridSpan w:val="3"/>
            <w:tcBorders>
              <w:top w:val="nil"/>
              <w:left w:space="0" w:sz="4" w:color="auto" w:val="single"/>
              <w:bottom w:val="nil"/>
              <w:right w:space="0" w:sz="4" w:color="000000" w:val="single"/>
            </w:tcBorders>
            <w:shd w:fill="auto" w:color="auto" w:val="clear"/>
            <w:noWrap/>
            <w:vAlign w:val="bottom"/>
            <w:hideMark/>
          </w:tcPr>
          <w:p w:rsidRDefault="00B8649E" w:rsidP="00B8649E" w:rsidR="00B8649E" w:rsidRPr="001A4297">
            <w:pPr>
              <w:jc w:val="center"/>
            </w:pPr>
            <w:r w:rsidRPr="001A4297">
              <w:t> </w:t>
            </w:r>
          </w:p>
        </w:tc>
        <w:tc>
          <w:tcPr>
            <w:tcW w:type="dxa" w:w="1842"/>
            <w:gridSpan w:val="2"/>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bCs/>
              </w:rPr>
            </w:pPr>
            <w:r w:rsidRPr="001A4297">
              <w:rPr>
                <w:bCs/>
              </w:rPr>
              <w:t>206.328,79</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15,25%</w:t>
            </w:r>
          </w:p>
        </w:tc>
      </w:tr>
      <w:tr w:rsidTr="00B8649E" w:rsidR="00B8649E" w:rsidRPr="001A4297">
        <w:trPr>
          <w:trHeight w:val="300"/>
          <w:jc w:val="center"/>
        </w:trPr>
        <w:tc>
          <w:tcPr>
            <w:tcW w:type="dxa" w:w="9575"/>
            <w:gridSpan w:val="6"/>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B8649E" w:rsidP="00B8649E" w:rsidR="00B8649E" w:rsidRPr="001A4297">
            <w:pPr>
              <w:jc w:val="center"/>
              <w:rPr>
                <w:bCs/>
              </w:rPr>
            </w:pPr>
            <w:r w:rsidRPr="001A4297">
              <w:rPr>
                <w:bCs/>
              </w:rPr>
              <w:t>3. GRUPA VJEROVNIKA - OSTALI</w:t>
            </w:r>
          </w:p>
        </w:tc>
      </w:tr>
      <w:tr w:rsidTr="00B8649E" w:rsidR="00B8649E" w:rsidRPr="001A4297">
        <w:trPr>
          <w:trHeight w:val="600"/>
          <w:jc w:val="center"/>
        </w:trPr>
        <w:tc>
          <w:tcPr>
            <w:tcW w:type="dxa" w:w="610"/>
            <w:tcBorders>
              <w:top w:val="nil"/>
              <w:left w:space="0" w:sz="4" w:color="auto" w:val="single"/>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RBR</w:t>
            </w:r>
          </w:p>
        </w:tc>
        <w:tc>
          <w:tcPr>
            <w:tcW w:type="dxa" w:w="1840"/>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OIB VJEROVNIKA</w:t>
            </w:r>
          </w:p>
        </w:tc>
        <w:tc>
          <w:tcPr>
            <w:tcW w:type="dxa" w:w="3909"/>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NAZIV VJEROVNIKA - DOBAVLJAČI :</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IZNOS UTVRĐENE TRAŽBINE</w:t>
            </w:r>
          </w:p>
        </w:tc>
        <w:tc>
          <w:tcPr>
            <w:tcW w:type="dxa" w:w="1374"/>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center"/>
              <w:rPr>
                <w:bCs/>
              </w:rPr>
            </w:pPr>
            <w:r w:rsidRPr="001A4297">
              <w:rPr>
                <w:bCs/>
              </w:rPr>
              <w:t>% UDJELA</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81916160981</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ANTO IVIĆ</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503.451,46</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37,22%</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3</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85058985197</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AQUAMONT d.o.o</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117.297,00</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8,67%</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4</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99417127750</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AUTOPRIJEVOZNIK VLADO ŠPOLJAR</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2.625,00</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0,19%</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5</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13935830818</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BMT d.o.o</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203,41</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0,02%</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8</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76637127809</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FISSURA d.o.o</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34.521,94</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2,55%</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9</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32002520580</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GERMEN SAMOBOR d.o.o</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3.787,50</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0,28%</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10</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86314065016</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GOLUBIĆ TRGOVINA d.o.o</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9.904,55</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0,73%</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12</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81793146560</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HT d.d</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1.933,19</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0,14%</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14</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36779353407</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ISKON Internet d.d.</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899,68</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0,07%</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15</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16338571473</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LIMARIJA LACI I ROBI d.o.o</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295,27</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0,02%</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16</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15702330001</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MATAN-83 d.o.o</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4.654,70</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0,34%</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18</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50307132895</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OD ŠUNIC I PARTNERI j.t.d</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4.312,50</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0,32%</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19</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19271576318</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RAHMER d.o.o</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2.125,00</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0,16%</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20</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1428377300</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SIGET ID d.o.o</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13.417,29</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0,99%</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21</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97003245557</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SUPER MARIO d.o.o</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6.663,28</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0,49%</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22</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29524210204</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VIPNET d.o.o</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1.980,45</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0,15%</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23</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3729902848</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ZA-GRAD-RAD d.o.o</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4.000,00</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0,30%</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25</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68204597981</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ZAŠTITA-ZAGREB d.o.o</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73,88</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0,01%</w:t>
            </w:r>
          </w:p>
        </w:tc>
      </w:tr>
      <w:tr w:rsidTr="00B8649E" w:rsidR="00B8649E" w:rsidRPr="001A4297">
        <w:trPr>
          <w:trHeight w:val="315"/>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t>26</w:t>
            </w:r>
          </w:p>
        </w:tc>
        <w:tc>
          <w:tcPr>
            <w:tcW w:type="dxa" w:w="1840"/>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73059001371</w:t>
            </w:r>
          </w:p>
        </w:tc>
        <w:tc>
          <w:tcPr>
            <w:tcW w:type="dxa" w:w="3909"/>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ZORKA IVIĆ</w:t>
            </w:r>
          </w:p>
        </w:tc>
        <w:tc>
          <w:tcPr>
            <w:tcW w:type="dxa" w:w="1842"/>
            <w:gridSpan w:val="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231.633,84</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t>17,12%</w:t>
            </w:r>
          </w:p>
        </w:tc>
      </w:tr>
      <w:tr w:rsidTr="00B8649E" w:rsidR="00B8649E" w:rsidRPr="001A4297">
        <w:trPr>
          <w:trHeight w:val="300"/>
          <w:jc w:val="center"/>
        </w:trPr>
        <w:tc>
          <w:tcPr>
            <w:tcW w:type="dxa" w:w="6359"/>
            <w:gridSpan w:val="3"/>
            <w:tcBorders>
              <w:top w:val="nil"/>
              <w:bottom w:val="nil"/>
              <w:right w:space="0" w:sz="4" w:color="000000" w:val="single"/>
            </w:tcBorders>
            <w:shd w:fill="auto" w:color="auto" w:val="clear"/>
            <w:noWrap/>
            <w:vAlign w:val="bottom"/>
            <w:hideMark/>
          </w:tcPr>
          <w:p w:rsidRDefault="00B8649E" w:rsidP="00B8649E" w:rsidR="00B8649E" w:rsidRPr="001A4297">
            <w:pPr>
              <w:jc w:val="center"/>
            </w:pPr>
            <w:r w:rsidRPr="001A4297">
              <w:lastRenderedPageBreak/>
              <w:t> </w:t>
            </w:r>
          </w:p>
        </w:tc>
        <w:tc>
          <w:tcPr>
            <w:tcW w:type="dxa" w:w="1842"/>
            <w:gridSpan w:val="2"/>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bCs/>
              </w:rPr>
            </w:pPr>
            <w:r w:rsidRPr="001A4297">
              <w:rPr>
                <w:bCs/>
              </w:rPr>
              <w:fldChar w:fldCharType="begin"/>
            </w:r>
            <w:r w:rsidRPr="001A4297">
              <w:rPr>
                <w:bCs/>
              </w:rPr>
              <w:instrText xml:space="preserve"> =SUM(ABOVE) </w:instrText>
            </w:r>
            <w:r w:rsidRPr="001A4297">
              <w:rPr>
                <w:bCs/>
              </w:rPr>
              <w:fldChar w:fldCharType="separate"/>
            </w:r>
            <w:r w:rsidRPr="001A4297">
              <w:rPr>
                <w:bCs/>
              </w:rPr>
              <w:t>943.779,94</w:t>
            </w:r>
            <w:r w:rsidRPr="001A4297">
              <w:rPr>
                <w:bCs/>
              </w:rPr>
              <w:fldChar w:fldCharType="end"/>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pPr>
            <w:r w:rsidRPr="001A4297">
              <w:fldChar w:fldCharType="begin"/>
            </w:r>
            <w:r w:rsidRPr="001A4297">
              <w:instrText xml:space="preserve"> =SUM(ABOVE)*100 \# "0,00%" </w:instrText>
            </w:r>
            <w:r w:rsidRPr="001A4297">
              <w:fldChar w:fldCharType="separate"/>
            </w:r>
            <w:r w:rsidRPr="001A4297">
              <w:t>69,77%</w:t>
            </w:r>
            <w:r w:rsidRPr="001A4297">
              <w:fldChar w:fldCharType="end"/>
            </w:r>
          </w:p>
        </w:tc>
      </w:tr>
      <w:tr w:rsidTr="00B8649E" w:rsidR="00B8649E" w:rsidRPr="001A4297">
        <w:trPr>
          <w:trHeight w:val="300"/>
          <w:jc w:val="center"/>
        </w:trPr>
        <w:tc>
          <w:tcPr>
            <w:tcW w:type="dxa" w:w="610"/>
            <w:tcBorders>
              <w:top w:val="nil"/>
              <w:left w:val="nil"/>
              <w:bottom w:val="nil"/>
              <w:right w:val="nil"/>
            </w:tcBorders>
            <w:shd w:fill="auto" w:color="auto" w:val="clear"/>
            <w:noWrap/>
            <w:vAlign w:val="bottom"/>
            <w:hideMark/>
          </w:tcPr>
          <w:p w:rsidRDefault="00B8649E" w:rsidP="00B8649E" w:rsidR="00B8649E" w:rsidRPr="001A4297">
            <w:pPr>
              <w:jc w:val="center"/>
            </w:pPr>
          </w:p>
        </w:tc>
        <w:tc>
          <w:tcPr>
            <w:tcW w:type="dxa" w:w="1840"/>
            <w:tcBorders>
              <w:top w:val="nil"/>
              <w:left w:val="nil"/>
              <w:bottom w:val="nil"/>
              <w:right w:val="nil"/>
            </w:tcBorders>
            <w:shd w:fill="auto" w:color="auto" w:val="clear"/>
            <w:noWrap/>
            <w:vAlign w:val="center"/>
            <w:hideMark/>
          </w:tcPr>
          <w:p w:rsidRDefault="00B8649E" w:rsidP="00B8649E" w:rsidR="00B8649E" w:rsidRPr="001A4297"/>
        </w:tc>
        <w:tc>
          <w:tcPr>
            <w:tcW w:type="dxa" w:w="390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B8649E" w:rsidP="00B8649E" w:rsidR="00B8649E" w:rsidRPr="001A4297">
            <w:pPr>
              <w:jc w:val="right"/>
              <w:rPr>
                <w:bCs/>
              </w:rPr>
            </w:pPr>
            <w:r w:rsidRPr="001A4297">
              <w:rPr>
                <w:bCs/>
              </w:rPr>
              <w:t>SVEUKUPNO</w:t>
            </w:r>
          </w:p>
        </w:tc>
        <w:tc>
          <w:tcPr>
            <w:tcW w:type="dxa" w:w="1842"/>
            <w:gridSpan w:val="2"/>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bCs/>
              </w:rPr>
            </w:pPr>
            <w:r w:rsidRPr="001A4297">
              <w:rPr>
                <w:bCs/>
              </w:rPr>
              <w:t>1.352.645,31</w:t>
            </w:r>
          </w:p>
        </w:tc>
        <w:tc>
          <w:tcPr>
            <w:tcW w:type="dxa" w:w="1374"/>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bCs/>
              </w:rPr>
            </w:pPr>
            <w:r w:rsidRPr="001A4297">
              <w:rPr>
                <w:bCs/>
              </w:rPr>
              <w:t>100%</w:t>
            </w:r>
          </w:p>
        </w:tc>
      </w:tr>
    </w:tbl>
    <w:p w:rsidRDefault="00B8649E" w:rsidP="00B8649E" w:rsidR="00B8649E" w:rsidRPr="001A4297"/>
    <w:p w:rsidRDefault="00B8649E" w:rsidP="00B8649E" w:rsidR="00B8649E" w:rsidRPr="001A4297"/>
    <w:p w:rsidRDefault="00B8649E" w:rsidP="00B8649E" w:rsidR="00B8649E" w:rsidRPr="001A4297">
      <w:pPr>
        <w:pStyle w:val="Odlomakpopisa"/>
        <w:numPr>
          <w:ilvl w:val="0"/>
          <w:numId w:val="41"/>
        </w:numPr>
        <w:spacing w:lineRule="auto" w:line="276" w:after="200"/>
        <w:jc w:val="both"/>
      </w:pPr>
      <w:r w:rsidRPr="001A4297">
        <w:t>Sklapanjem ove predstečajne Nagodbe, Dužnik se obvezuje na ispunjenje prioritetnih tražbina radnika sukladno planu financijskog i operativnog restrukturiranja i Zakona.</w:t>
      </w:r>
    </w:p>
    <w:p w:rsidRDefault="00B8649E" w:rsidP="00B8649E" w:rsidR="00B8649E" w:rsidRPr="001A4297">
      <w:pPr>
        <w:pStyle w:val="Odlomakpopisa"/>
        <w:numPr>
          <w:ilvl w:val="0"/>
          <w:numId w:val="41"/>
        </w:numPr>
        <w:spacing w:lineRule="auto" w:line="276" w:after="200"/>
        <w:jc w:val="both"/>
      </w:pPr>
      <w:r w:rsidRPr="001A4297">
        <w:t>Nagodbene strane suglasno utvrđuju da u planu financijskog i operativnog restrukturiranja ne postoje druge posebne obveze dužnika, osim one navedene u nagodbi.</w:t>
      </w:r>
    </w:p>
    <w:p w:rsidRDefault="00B8649E" w:rsidP="00B8649E" w:rsidR="00B8649E" w:rsidRPr="001A4297">
      <w:pPr>
        <w:pStyle w:val="Odlomakpopisa"/>
        <w:numPr>
          <w:ilvl w:val="0"/>
          <w:numId w:val="41"/>
        </w:numPr>
        <w:spacing w:lineRule="auto" w:line="276" w:after="200"/>
        <w:jc w:val="both"/>
      </w:pPr>
      <w:r w:rsidRPr="001A4297">
        <w:t>Za Vjerovnike iz točke I. ove nagodbe, a sukladno utvrđenim tražbinama plana financijskog i operativnog restrukturiranja, otplata utvrđenih iznosa tražbina će se vršiti na sljedeći način:</w:t>
      </w:r>
    </w:p>
    <w:p w:rsidRDefault="00B8649E" w:rsidP="00B8649E" w:rsidR="00B8649E" w:rsidRPr="001A4297">
      <w:r w:rsidRPr="001A4297">
        <w:t>Vjerovnici 1. grupe – tijela javne uprave i trgovačka društva u većinskom državnom vlasništvu</w:t>
      </w:r>
    </w:p>
    <w:p w:rsidRDefault="00B8649E" w:rsidP="00B8649E" w:rsidR="00B8649E" w:rsidRPr="001A4297">
      <w:pPr>
        <w:pStyle w:val="Odlomakpopisa"/>
        <w:numPr>
          <w:ilvl w:val="0"/>
          <w:numId w:val="41"/>
        </w:numPr>
        <w:spacing w:lineRule="auto" w:line="276" w:after="200"/>
        <w:jc w:val="both"/>
      </w:pPr>
      <w:r w:rsidRPr="001A4297">
        <w:t>Prema rješenju o utvrđenju tražbina dug iznosi 202.536,58 kn. Otpisat će se kamate i 40% utvrđene glavnice, te će se otplatiti preostalih 60% od iznosa utvrđenih tražbina u 48 jednakih mjesečnih rata, nakon isteka počeka od 12 mjeseci, počevši od donošenja Rješenja Trgovačkog suda o sklopljenoj nagodbi.</w:t>
      </w:r>
    </w:p>
    <w:tbl>
      <w:tblPr>
        <w:tblW w:type="dxa" w:w="9936"/>
        <w:jc w:val="center"/>
        <w:tblLook w:val="04A0" w:noVBand="1" w:noHBand="0" w:lastColumn="0" w:firstColumn="1" w:lastRow="0" w:firstRow="1"/>
      </w:tblPr>
      <w:tblGrid>
        <w:gridCol w:w="697"/>
        <w:gridCol w:w="1736"/>
        <w:gridCol w:w="2773"/>
        <w:gridCol w:w="1470"/>
        <w:gridCol w:w="1270"/>
        <w:gridCol w:w="1296"/>
        <w:gridCol w:w="1603"/>
      </w:tblGrid>
      <w:tr w:rsidTr="00B8649E" w:rsidR="00B8649E" w:rsidRPr="001A4297">
        <w:trPr>
          <w:trHeight w:val="308"/>
          <w:jc w:val="center"/>
        </w:trPr>
        <w:tc>
          <w:tcPr>
            <w:tcW w:type="dxa" w:w="9936"/>
            <w:gridSpan w:val="7"/>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B8649E" w:rsidP="00B8649E" w:rsidR="00B8649E" w:rsidRPr="001A4297">
            <w:pPr>
              <w:jc w:val="center"/>
              <w:rPr>
                <w:bCs/>
              </w:rPr>
            </w:pPr>
            <w:r w:rsidRPr="001A4297">
              <w:rPr>
                <w:bCs/>
              </w:rPr>
              <w:t>1. GRUPA VJEROVNIKA - TIJELA JAVNE UPRAVE I TRGOVAČKA DRUŠTVA</w:t>
            </w:r>
          </w:p>
        </w:tc>
      </w:tr>
      <w:tr w:rsidTr="00B8649E" w:rsidR="00B8649E" w:rsidRPr="001A4297">
        <w:trPr>
          <w:trHeight w:val="654"/>
          <w:jc w:val="center"/>
        </w:trPr>
        <w:tc>
          <w:tcPr>
            <w:tcW w:type="dxa" w:w="610"/>
            <w:tcBorders>
              <w:top w:val="nil"/>
              <w:left w:space="0" w:sz="4" w:color="auto" w:val="single"/>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RBR</w:t>
            </w:r>
          </w:p>
        </w:tc>
        <w:tc>
          <w:tcPr>
            <w:tcW w:type="dxa" w:w="144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OIB VJEROVNIKA</w:t>
            </w:r>
          </w:p>
        </w:tc>
        <w:tc>
          <w:tcPr>
            <w:tcW w:type="dxa" w:w="277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NAZIV VJEROVNIKA - DOBAVLJAČI :</w:t>
            </w:r>
          </w:p>
        </w:tc>
        <w:tc>
          <w:tcPr>
            <w:tcW w:type="dxa" w:w="1304"/>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GLAVNICA</w:t>
            </w:r>
          </w:p>
        </w:tc>
        <w:tc>
          <w:tcPr>
            <w:tcW w:type="dxa" w:w="1168"/>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KAMATA</w:t>
            </w:r>
          </w:p>
        </w:tc>
        <w:tc>
          <w:tcPr>
            <w:tcW w:type="dxa" w:w="1270"/>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 xml:space="preserve">OTPIS </w:t>
            </w:r>
            <w:r w:rsidRPr="001A4297">
              <w:rPr>
                <w:bCs/>
              </w:rPr>
              <w:br/>
              <w:t>40% GL. + K</w:t>
            </w:r>
          </w:p>
        </w:tc>
        <w:tc>
          <w:tcPr>
            <w:tcW w:type="dxa" w:w="1368"/>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PREOSTALO ZA OTPLATU</w:t>
            </w:r>
          </w:p>
        </w:tc>
      </w:tr>
      <w:tr w:rsidTr="00B8649E" w:rsidR="00B8649E" w:rsidRPr="001A4297">
        <w:trPr>
          <w:trHeight w:val="323"/>
          <w:jc w:val="center"/>
        </w:trPr>
        <w:tc>
          <w:tcPr>
            <w:tcW w:type="dxa" w:w="610"/>
            <w:tcBorders>
              <w:top w:val="nil"/>
              <w:left w:space="0" w:sz="4" w:color="auto" w:val="single"/>
              <w:bottom w:space="0" w:sz="4" w:color="auto" w:val="single"/>
              <w:right w:space="0" w:sz="4" w:color="auto" w:val="single"/>
            </w:tcBorders>
            <w:shd w:fill="auto" w:color="auto" w:val="clear"/>
            <w:noWrap/>
            <w:vAlign w:val="bottom"/>
          </w:tcPr>
          <w:p w:rsidRDefault="00B8649E" w:rsidP="00B8649E" w:rsidR="00B8649E" w:rsidRPr="001A4297">
            <w:pPr>
              <w:jc w:val="center"/>
              <w:rPr>
                <w:color w:val="000000"/>
              </w:rPr>
            </w:pPr>
            <w:r w:rsidRPr="001A4297">
              <w:rPr>
                <w:color w:val="000000"/>
              </w:rPr>
              <w:t>6</w:t>
            </w:r>
          </w:p>
        </w:tc>
        <w:tc>
          <w:tcPr>
            <w:tcW w:type="dxa" w:w="1443"/>
            <w:tcBorders>
              <w:top w:val="nil"/>
              <w:left w:val="nil"/>
              <w:bottom w:space="0" w:sz="4" w:color="auto" w:val="single"/>
              <w:right w:space="0" w:sz="4" w:color="auto" w:val="single"/>
            </w:tcBorders>
            <w:shd w:fill="auto" w:color="auto" w:val="clear"/>
            <w:noWrap/>
            <w:vAlign w:val="bottom"/>
          </w:tcPr>
          <w:p w:rsidRDefault="00B8649E" w:rsidP="00B8649E" w:rsidR="00B8649E" w:rsidRPr="001A4297">
            <w:pPr>
              <w:jc w:val="right"/>
              <w:rPr>
                <w:color w:val="000000"/>
              </w:rPr>
            </w:pPr>
            <w:r w:rsidRPr="001A4297">
              <w:rPr>
                <w:color w:val="000000"/>
              </w:rPr>
              <w:t>26187994862</w:t>
            </w:r>
          </w:p>
        </w:tc>
        <w:tc>
          <w:tcPr>
            <w:tcW w:type="dxa" w:w="2773"/>
            <w:tcBorders>
              <w:top w:val="nil"/>
              <w:left w:val="nil"/>
              <w:bottom w:space="0" w:sz="4" w:color="auto" w:val="single"/>
              <w:right w:space="0" w:sz="4" w:color="auto" w:val="single"/>
            </w:tcBorders>
            <w:shd w:fill="auto" w:color="auto" w:val="clear"/>
            <w:noWrap/>
            <w:vAlign w:val="bottom"/>
          </w:tcPr>
          <w:p w:rsidRDefault="00B8649E" w:rsidP="00B8649E" w:rsidR="00B8649E" w:rsidRPr="001A4297">
            <w:pPr>
              <w:rPr>
                <w:bCs/>
                <w:color w:val="000000"/>
              </w:rPr>
            </w:pPr>
            <w:r w:rsidRPr="001A4297">
              <w:rPr>
                <w:bCs/>
                <w:color w:val="000000"/>
              </w:rPr>
              <w:t>CROATIA OSIGURANJE d.d</w:t>
            </w:r>
          </w:p>
        </w:tc>
        <w:tc>
          <w:tcPr>
            <w:tcW w:type="dxa" w:w="1304"/>
            <w:tcBorders>
              <w:top w:val="nil"/>
              <w:left w:val="nil"/>
              <w:bottom w:space="0" w:sz="4" w:color="auto" w:val="single"/>
              <w:right w:space="0" w:sz="4" w:color="auto" w:val="single"/>
            </w:tcBorders>
            <w:shd w:fill="auto" w:color="auto" w:val="clear"/>
            <w:vAlign w:val="bottom"/>
          </w:tcPr>
          <w:p w:rsidRDefault="00B8649E" w:rsidP="00B8649E" w:rsidR="00B8649E" w:rsidRPr="001A4297">
            <w:pPr>
              <w:jc w:val="right"/>
              <w:rPr>
                <w:bCs/>
                <w:color w:val="000000"/>
              </w:rPr>
            </w:pPr>
            <w:r w:rsidRPr="001A4297">
              <w:rPr>
                <w:bCs/>
                <w:color w:val="000000"/>
              </w:rPr>
              <w:t>5.909,32</w:t>
            </w:r>
          </w:p>
        </w:tc>
        <w:tc>
          <w:tcPr>
            <w:tcW w:type="dxa" w:w="1168"/>
            <w:tcBorders>
              <w:top w:val="nil"/>
              <w:left w:val="nil"/>
              <w:bottom w:space="0" w:sz="4" w:color="auto" w:val="single"/>
              <w:right w:space="0" w:sz="4" w:color="auto" w:val="single"/>
            </w:tcBorders>
            <w:shd w:fill="auto" w:color="auto" w:val="clear"/>
            <w:vAlign w:val="bottom"/>
          </w:tcPr>
          <w:p w:rsidRDefault="00B8649E" w:rsidP="00B8649E" w:rsidR="00B8649E" w:rsidRPr="001A4297">
            <w:pPr>
              <w:jc w:val="right"/>
              <w:rPr>
                <w:bCs/>
                <w:color w:val="000000"/>
              </w:rPr>
            </w:pPr>
            <w:r w:rsidRPr="001A4297">
              <w:rPr>
                <w:bCs/>
                <w:color w:val="000000"/>
              </w:rPr>
              <w:t>0</w:t>
            </w:r>
          </w:p>
        </w:tc>
        <w:tc>
          <w:tcPr>
            <w:tcW w:type="dxa" w:w="1270"/>
            <w:tcBorders>
              <w:top w:val="nil"/>
              <w:left w:val="nil"/>
              <w:bottom w:space="0" w:sz="4" w:color="auto" w:val="single"/>
              <w:right w:space="0" w:sz="4" w:color="auto" w:val="single"/>
            </w:tcBorders>
            <w:shd w:fill="auto" w:color="auto" w:val="clear"/>
            <w:vAlign w:val="bottom"/>
          </w:tcPr>
          <w:p w:rsidRDefault="00B8649E" w:rsidP="00B8649E" w:rsidR="00B8649E" w:rsidRPr="001A4297">
            <w:pPr>
              <w:jc w:val="right"/>
              <w:rPr>
                <w:bCs/>
                <w:color w:val="000000"/>
              </w:rPr>
            </w:pPr>
            <w:r w:rsidRPr="001A4297">
              <w:rPr>
                <w:bCs/>
                <w:color w:val="000000"/>
              </w:rPr>
              <w:t>2.363,73</w:t>
            </w:r>
          </w:p>
        </w:tc>
        <w:tc>
          <w:tcPr>
            <w:tcW w:type="dxa" w:w="1368"/>
            <w:tcBorders>
              <w:top w:val="nil"/>
              <w:left w:val="nil"/>
              <w:bottom w:space="0" w:sz="4" w:color="auto" w:val="single"/>
              <w:right w:space="0" w:sz="4" w:color="auto" w:val="single"/>
            </w:tcBorders>
            <w:shd w:fill="auto" w:color="auto" w:val="clear"/>
            <w:vAlign w:val="bottom"/>
          </w:tcPr>
          <w:p w:rsidRDefault="00B8649E" w:rsidP="00B8649E" w:rsidR="00B8649E" w:rsidRPr="001A4297">
            <w:pPr>
              <w:jc w:val="right"/>
              <w:rPr>
                <w:bCs/>
                <w:color w:val="000000"/>
              </w:rPr>
            </w:pPr>
            <w:r w:rsidRPr="001A4297">
              <w:rPr>
                <w:bCs/>
                <w:color w:val="000000"/>
              </w:rPr>
              <w:t>3.545,59</w:t>
            </w:r>
          </w:p>
        </w:tc>
      </w:tr>
      <w:tr w:rsidTr="00B8649E" w:rsidR="00B8649E" w:rsidRPr="001A4297">
        <w:trPr>
          <w:trHeight w:val="323"/>
          <w:jc w:val="center"/>
        </w:trPr>
        <w:tc>
          <w:tcPr>
            <w:tcW w:type="dxa" w:w="610"/>
            <w:tcBorders>
              <w:top w:val="nil"/>
              <w:left w:space="0" w:sz="4" w:color="auto" w:val="single"/>
              <w:bottom w:space="0" w:sz="4" w:color="auto" w:val="single"/>
              <w:right w:space="0" w:sz="4" w:color="auto" w:val="single"/>
            </w:tcBorders>
            <w:shd w:fill="auto" w:color="auto" w:val="clear"/>
            <w:noWrap/>
            <w:vAlign w:val="bottom"/>
          </w:tcPr>
          <w:p w:rsidRDefault="00B8649E" w:rsidP="00B8649E" w:rsidR="00B8649E" w:rsidRPr="001A4297">
            <w:pPr>
              <w:jc w:val="center"/>
              <w:rPr>
                <w:color w:val="000000"/>
              </w:rPr>
            </w:pPr>
            <w:r w:rsidRPr="001A4297">
              <w:rPr>
                <w:color w:val="000000"/>
              </w:rPr>
              <w:t>11</w:t>
            </w:r>
          </w:p>
        </w:tc>
        <w:tc>
          <w:tcPr>
            <w:tcW w:type="dxa" w:w="1443"/>
            <w:tcBorders>
              <w:top w:val="nil"/>
              <w:left w:val="nil"/>
              <w:bottom w:space="0" w:sz="4" w:color="auto" w:val="single"/>
              <w:right w:space="0" w:sz="4" w:color="auto" w:val="single"/>
            </w:tcBorders>
            <w:shd w:fill="auto" w:color="auto" w:val="clear"/>
            <w:noWrap/>
            <w:vAlign w:val="bottom"/>
          </w:tcPr>
          <w:p w:rsidRDefault="00B8649E" w:rsidP="00B8649E" w:rsidR="00B8649E" w:rsidRPr="001A4297">
            <w:pPr>
              <w:jc w:val="right"/>
              <w:rPr>
                <w:color w:val="000000"/>
              </w:rPr>
            </w:pPr>
            <w:r w:rsidRPr="001A4297">
              <w:rPr>
                <w:color w:val="000000"/>
              </w:rPr>
              <w:t>61817894937</w:t>
            </w:r>
          </w:p>
        </w:tc>
        <w:tc>
          <w:tcPr>
            <w:tcW w:type="dxa" w:w="2773"/>
            <w:tcBorders>
              <w:top w:val="nil"/>
              <w:left w:val="nil"/>
              <w:bottom w:space="0" w:sz="4" w:color="auto" w:val="single"/>
              <w:right w:space="0" w:sz="4" w:color="auto" w:val="single"/>
            </w:tcBorders>
            <w:shd w:fill="auto" w:color="auto" w:val="clear"/>
            <w:noWrap/>
            <w:vAlign w:val="bottom"/>
          </w:tcPr>
          <w:p w:rsidRDefault="00B8649E" w:rsidP="00B8649E" w:rsidR="00B8649E" w:rsidRPr="001A4297">
            <w:pPr>
              <w:rPr>
                <w:bCs/>
                <w:color w:val="000000"/>
              </w:rPr>
            </w:pPr>
            <w:r w:rsidRPr="001A4297">
              <w:rPr>
                <w:bCs/>
                <w:color w:val="000000"/>
              </w:rPr>
              <w:t>GRAD ZAGREB</w:t>
            </w:r>
          </w:p>
        </w:tc>
        <w:tc>
          <w:tcPr>
            <w:tcW w:type="dxa" w:w="1304"/>
            <w:tcBorders>
              <w:top w:val="nil"/>
              <w:left w:val="nil"/>
              <w:bottom w:space="0" w:sz="4" w:color="auto" w:val="single"/>
              <w:right w:space="0" w:sz="4" w:color="auto" w:val="single"/>
            </w:tcBorders>
            <w:shd w:fill="auto" w:color="auto" w:val="clear"/>
            <w:vAlign w:val="bottom"/>
          </w:tcPr>
          <w:p w:rsidRDefault="00B8649E" w:rsidP="00B8649E" w:rsidR="00B8649E" w:rsidRPr="001A4297">
            <w:pPr>
              <w:jc w:val="right"/>
              <w:rPr>
                <w:bCs/>
                <w:color w:val="000000"/>
              </w:rPr>
            </w:pPr>
            <w:r w:rsidRPr="001A4297">
              <w:rPr>
                <w:bCs/>
                <w:color w:val="000000"/>
              </w:rPr>
              <w:t>1.463,04</w:t>
            </w:r>
          </w:p>
        </w:tc>
        <w:tc>
          <w:tcPr>
            <w:tcW w:type="dxa" w:w="1168"/>
            <w:tcBorders>
              <w:top w:val="nil"/>
              <w:left w:val="nil"/>
              <w:bottom w:space="0" w:sz="4" w:color="auto" w:val="single"/>
              <w:right w:space="0" w:sz="4" w:color="auto" w:val="single"/>
            </w:tcBorders>
            <w:shd w:fill="auto" w:color="auto" w:val="clear"/>
            <w:vAlign w:val="bottom"/>
          </w:tcPr>
          <w:p w:rsidRDefault="00B8649E" w:rsidP="00B8649E" w:rsidR="00B8649E" w:rsidRPr="001A4297">
            <w:pPr>
              <w:jc w:val="right"/>
              <w:rPr>
                <w:bCs/>
                <w:color w:val="000000"/>
              </w:rPr>
            </w:pPr>
            <w:r w:rsidRPr="001A4297">
              <w:rPr>
                <w:bCs/>
                <w:color w:val="000000"/>
              </w:rPr>
              <w:t>318,22</w:t>
            </w:r>
          </w:p>
        </w:tc>
        <w:tc>
          <w:tcPr>
            <w:tcW w:type="dxa" w:w="1270"/>
            <w:tcBorders>
              <w:top w:val="nil"/>
              <w:left w:val="nil"/>
              <w:bottom w:space="0" w:sz="4" w:color="auto" w:val="single"/>
              <w:right w:space="0" w:sz="4" w:color="auto" w:val="single"/>
            </w:tcBorders>
            <w:shd w:fill="auto" w:color="auto" w:val="clear"/>
            <w:vAlign w:val="bottom"/>
          </w:tcPr>
          <w:p w:rsidRDefault="00B8649E" w:rsidP="00B8649E" w:rsidR="00B8649E" w:rsidRPr="001A4297">
            <w:pPr>
              <w:jc w:val="right"/>
              <w:rPr>
                <w:bCs/>
                <w:color w:val="000000"/>
              </w:rPr>
            </w:pPr>
            <w:r w:rsidRPr="001A4297">
              <w:rPr>
                <w:bCs/>
                <w:color w:val="000000"/>
              </w:rPr>
              <w:t>903,44</w:t>
            </w:r>
          </w:p>
        </w:tc>
        <w:tc>
          <w:tcPr>
            <w:tcW w:type="dxa" w:w="1368"/>
            <w:tcBorders>
              <w:top w:val="nil"/>
              <w:left w:val="nil"/>
              <w:bottom w:space="0" w:sz="4" w:color="auto" w:val="single"/>
              <w:right w:space="0" w:sz="4" w:color="auto" w:val="single"/>
            </w:tcBorders>
            <w:shd w:fill="auto" w:color="auto" w:val="clear"/>
            <w:vAlign w:val="bottom"/>
          </w:tcPr>
          <w:p w:rsidRDefault="00B8649E" w:rsidP="00B8649E" w:rsidR="00B8649E" w:rsidRPr="001A4297">
            <w:pPr>
              <w:jc w:val="right"/>
              <w:rPr>
                <w:bCs/>
                <w:color w:val="000000"/>
              </w:rPr>
            </w:pPr>
            <w:r w:rsidRPr="001A4297">
              <w:rPr>
                <w:bCs/>
                <w:color w:val="000000"/>
              </w:rPr>
              <w:t>877,82</w:t>
            </w:r>
          </w:p>
        </w:tc>
      </w:tr>
      <w:tr w:rsidTr="00B8649E" w:rsidR="00B8649E" w:rsidRPr="001A4297">
        <w:trPr>
          <w:trHeight w:val="323"/>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13</w:t>
            </w:r>
          </w:p>
        </w:tc>
        <w:tc>
          <w:tcPr>
            <w:tcW w:type="dxa" w:w="144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28921383001</w:t>
            </w:r>
          </w:p>
        </w:tc>
        <w:tc>
          <w:tcPr>
            <w:tcW w:type="dxa" w:w="277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HRVATSKE VODE</w:t>
            </w:r>
          </w:p>
        </w:tc>
        <w:tc>
          <w:tcPr>
            <w:tcW w:type="dxa" w:w="1304"/>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756</w:t>
            </w:r>
          </w:p>
        </w:tc>
        <w:tc>
          <w:tcPr>
            <w:tcW w:type="dxa" w:w="1168"/>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208,94</w:t>
            </w:r>
          </w:p>
        </w:tc>
        <w:tc>
          <w:tcPr>
            <w:tcW w:type="dxa" w:w="1270"/>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511,34</w:t>
            </w:r>
          </w:p>
        </w:tc>
        <w:tc>
          <w:tcPr>
            <w:tcW w:type="dxa" w:w="1368"/>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453,6</w:t>
            </w:r>
          </w:p>
        </w:tc>
      </w:tr>
      <w:tr w:rsidTr="00B8649E" w:rsidR="00B8649E" w:rsidRPr="001A4297">
        <w:trPr>
          <w:trHeight w:val="323"/>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17</w:t>
            </w:r>
          </w:p>
        </w:tc>
        <w:tc>
          <w:tcPr>
            <w:tcW w:type="dxa" w:w="144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18683136487</w:t>
            </w:r>
          </w:p>
        </w:tc>
        <w:tc>
          <w:tcPr>
            <w:tcW w:type="dxa" w:w="277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MINSTARSTVO FINANCIJA</w:t>
            </w:r>
          </w:p>
        </w:tc>
        <w:tc>
          <w:tcPr>
            <w:tcW w:type="dxa" w:w="1304"/>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144.132,50</w:t>
            </w:r>
          </w:p>
        </w:tc>
        <w:tc>
          <w:tcPr>
            <w:tcW w:type="dxa" w:w="1168"/>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48.049,36</w:t>
            </w:r>
          </w:p>
        </w:tc>
        <w:tc>
          <w:tcPr>
            <w:tcW w:type="dxa" w:w="1270"/>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105.702,36</w:t>
            </w:r>
          </w:p>
        </w:tc>
        <w:tc>
          <w:tcPr>
            <w:tcW w:type="dxa" w:w="1368"/>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86.479,50</w:t>
            </w:r>
          </w:p>
        </w:tc>
      </w:tr>
      <w:tr w:rsidTr="00B8649E" w:rsidR="00B8649E" w:rsidRPr="001A4297">
        <w:trPr>
          <w:trHeight w:val="323"/>
          <w:jc w:val="center"/>
        </w:trPr>
        <w:tc>
          <w:tcPr>
            <w:tcW w:type="dxa" w:w="610"/>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24</w:t>
            </w:r>
          </w:p>
        </w:tc>
        <w:tc>
          <w:tcPr>
            <w:tcW w:type="dxa" w:w="144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85584865987</w:t>
            </w:r>
          </w:p>
        </w:tc>
        <w:tc>
          <w:tcPr>
            <w:tcW w:type="dxa" w:w="277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 xml:space="preserve">ZAGREBAČKI HOLDING </w:t>
            </w:r>
          </w:p>
        </w:tc>
        <w:tc>
          <w:tcPr>
            <w:tcW w:type="dxa" w:w="1304"/>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1.699,20</w:t>
            </w:r>
          </w:p>
        </w:tc>
        <w:tc>
          <w:tcPr>
            <w:tcW w:type="dxa" w:w="1168"/>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70"/>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679,68</w:t>
            </w:r>
          </w:p>
        </w:tc>
        <w:tc>
          <w:tcPr>
            <w:tcW w:type="dxa" w:w="1368"/>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1.019,52</w:t>
            </w:r>
          </w:p>
        </w:tc>
      </w:tr>
      <w:tr w:rsidTr="00B8649E" w:rsidR="00B8649E" w:rsidRPr="001A4297">
        <w:trPr>
          <w:trHeight w:val="308"/>
          <w:jc w:val="center"/>
        </w:trPr>
        <w:tc>
          <w:tcPr>
            <w:tcW w:type="dxa" w:w="4826"/>
            <w:gridSpan w:val="3"/>
            <w:tcBorders>
              <w:top w:space="0" w:sz="4" w:color="auto" w:val="single"/>
              <w:bottom w:val="nil"/>
              <w:right w:space="0" w:sz="4" w:color="auto" w:val="single"/>
            </w:tcBorders>
            <w:shd w:fill="auto" w:color="auto" w:val="clear"/>
            <w:noWrap/>
            <w:vAlign w:val="bottom"/>
            <w:hideMark/>
          </w:tcPr>
          <w:p w:rsidRDefault="00B8649E" w:rsidP="00B8649E" w:rsidR="00B8649E" w:rsidRPr="001A4297">
            <w:pPr>
              <w:jc w:val="center"/>
            </w:pPr>
            <w:r w:rsidRPr="001A4297">
              <w:t> </w:t>
            </w:r>
          </w:p>
        </w:tc>
        <w:tc>
          <w:tcPr>
            <w:tcW w:type="dxa" w:w="1304"/>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fldChar w:fldCharType="begin"/>
            </w:r>
            <w:r w:rsidRPr="001A4297">
              <w:rPr>
                <w:bCs/>
                <w:color w:val="000000"/>
              </w:rPr>
              <w:instrText xml:space="preserve"> =SUM(ABOVE) </w:instrText>
            </w:r>
            <w:r w:rsidRPr="001A4297">
              <w:rPr>
                <w:bCs/>
                <w:color w:val="000000"/>
              </w:rPr>
              <w:fldChar w:fldCharType="separate"/>
            </w:r>
            <w:r w:rsidRPr="001A4297">
              <w:rPr>
                <w:bCs/>
                <w:color w:val="000000"/>
              </w:rPr>
              <w:t>153.960,06</w:t>
            </w:r>
            <w:r w:rsidRPr="001A4297">
              <w:rPr>
                <w:bCs/>
                <w:color w:val="000000"/>
              </w:rPr>
              <w:fldChar w:fldCharType="end"/>
            </w:r>
          </w:p>
        </w:tc>
        <w:tc>
          <w:tcPr>
            <w:tcW w:type="dxa" w:w="1168"/>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48.576,52</w:t>
            </w:r>
          </w:p>
        </w:tc>
        <w:tc>
          <w:tcPr>
            <w:tcW w:type="dxa" w:w="1270"/>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fldChar w:fldCharType="begin"/>
            </w:r>
            <w:r w:rsidRPr="001A4297">
              <w:rPr>
                <w:bCs/>
                <w:color w:val="000000"/>
              </w:rPr>
              <w:instrText xml:space="preserve"> =SUM(ABOVE) </w:instrText>
            </w:r>
            <w:r w:rsidRPr="001A4297">
              <w:rPr>
                <w:bCs/>
                <w:color w:val="000000"/>
              </w:rPr>
              <w:fldChar w:fldCharType="separate"/>
            </w:r>
            <w:r w:rsidRPr="001A4297">
              <w:rPr>
                <w:bCs/>
                <w:color w:val="000000"/>
              </w:rPr>
              <w:t>110.160,55</w:t>
            </w:r>
            <w:r w:rsidRPr="001A4297">
              <w:rPr>
                <w:bCs/>
                <w:color w:val="000000"/>
              </w:rPr>
              <w:fldChar w:fldCharType="end"/>
            </w:r>
          </w:p>
        </w:tc>
        <w:tc>
          <w:tcPr>
            <w:tcW w:type="dxa" w:w="1368"/>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fldChar w:fldCharType="begin"/>
            </w:r>
            <w:r w:rsidRPr="001A4297">
              <w:rPr>
                <w:bCs/>
                <w:color w:val="000000"/>
              </w:rPr>
              <w:instrText xml:space="preserve"> =SUM(ABOVE) </w:instrText>
            </w:r>
            <w:r w:rsidRPr="001A4297">
              <w:rPr>
                <w:bCs/>
                <w:color w:val="000000"/>
              </w:rPr>
              <w:fldChar w:fldCharType="separate"/>
            </w:r>
            <w:r w:rsidRPr="001A4297">
              <w:rPr>
                <w:bCs/>
                <w:color w:val="000000"/>
              </w:rPr>
              <w:t>92.376,03</w:t>
            </w:r>
            <w:r w:rsidRPr="001A4297">
              <w:rPr>
                <w:bCs/>
                <w:color w:val="000000"/>
              </w:rPr>
              <w:fldChar w:fldCharType="end"/>
            </w:r>
          </w:p>
        </w:tc>
      </w:tr>
    </w:tbl>
    <w:p w:rsidRDefault="00B8649E" w:rsidP="00B8649E" w:rsidR="00B8649E" w:rsidRPr="001A4297"/>
    <w:p w:rsidRDefault="00B8649E" w:rsidP="00B8649E" w:rsidR="00B8649E" w:rsidRPr="001A4297">
      <w:r w:rsidRPr="001A4297">
        <w:t>Vjerovnici 2. grupe – financijske institucije</w:t>
      </w:r>
    </w:p>
    <w:p w:rsidRDefault="00B8649E" w:rsidP="00B8649E" w:rsidR="00B8649E" w:rsidRPr="001A4297">
      <w:pPr>
        <w:pStyle w:val="Odlomakpopisa"/>
        <w:numPr>
          <w:ilvl w:val="0"/>
          <w:numId w:val="41"/>
        </w:numPr>
        <w:spacing w:lineRule="auto" w:line="276" w:after="200"/>
        <w:jc w:val="both"/>
      </w:pPr>
      <w:r w:rsidRPr="001A4297">
        <w:t>Prema rješenju o utvrđenju tražbina dug iznosi 206.328,79 kn. Otpisat će se kamate i 40% utvrđene glavnice, te će se otplatiti preostalih 60% od iznosa utvrđenih tražbina u 48 jednakih mjesečnih rata, nakon isteka počeka od 12 mjeseci, počevši od donošenja Rješenja Trgovačkog suda o sklopljenoj nagodbi.</w:t>
      </w:r>
    </w:p>
    <w:tbl>
      <w:tblPr>
        <w:tblW w:type="dxa" w:w="9796"/>
        <w:jc w:val="center"/>
        <w:tblInd w:type="dxa" w:w="93"/>
        <w:tblLayout w:type="fixed"/>
        <w:tblLook w:val="04A0" w:noVBand="1" w:noHBand="0" w:lastColumn="0" w:firstColumn="1" w:lastRow="0" w:firstRow="1"/>
      </w:tblPr>
      <w:tblGrid>
        <w:gridCol w:w="549"/>
        <w:gridCol w:w="1593"/>
        <w:gridCol w:w="2551"/>
        <w:gridCol w:w="1276"/>
        <w:gridCol w:w="1134"/>
        <w:gridCol w:w="1276"/>
        <w:gridCol w:w="1417"/>
      </w:tblGrid>
      <w:tr w:rsidTr="00B8649E" w:rsidR="00B8649E" w:rsidRPr="001A4297">
        <w:trPr>
          <w:trHeight w:val="245"/>
          <w:jc w:val="center"/>
        </w:trPr>
        <w:tc>
          <w:tcPr>
            <w:tcW w:type="dxa" w:w="9796"/>
            <w:gridSpan w:val="7"/>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B8649E" w:rsidP="00B8649E" w:rsidR="00B8649E" w:rsidRPr="001A4297">
            <w:pPr>
              <w:jc w:val="center"/>
              <w:rPr>
                <w:bCs/>
              </w:rPr>
            </w:pPr>
            <w:r w:rsidRPr="001A4297">
              <w:rPr>
                <w:bCs/>
              </w:rPr>
              <w:t>2. GRUPA VJEROVNIKA - FINANCIJSKE INSTITUCIJE</w:t>
            </w:r>
          </w:p>
        </w:tc>
      </w:tr>
      <w:tr w:rsidTr="00B8649E" w:rsidR="00B8649E" w:rsidRPr="001A4297">
        <w:trPr>
          <w:trHeight w:val="521"/>
          <w:jc w:val="center"/>
        </w:trPr>
        <w:tc>
          <w:tcPr>
            <w:tcW w:type="dxa" w:w="549"/>
            <w:tcBorders>
              <w:top w:val="nil"/>
              <w:left w:space="0" w:sz="4" w:color="auto" w:val="single"/>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RBR</w:t>
            </w:r>
          </w:p>
        </w:tc>
        <w:tc>
          <w:tcPr>
            <w:tcW w:type="dxa" w:w="159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OIB VJEROVNIKA</w:t>
            </w:r>
          </w:p>
        </w:tc>
        <w:tc>
          <w:tcPr>
            <w:tcW w:type="dxa" w:w="2551"/>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NAZIV VJEROVNIKA - DOBAVLJAČI :</w:t>
            </w:r>
          </w:p>
        </w:tc>
        <w:tc>
          <w:tcPr>
            <w:tcW w:type="dxa" w:w="1276"/>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GLAVNICA</w:t>
            </w:r>
          </w:p>
        </w:tc>
        <w:tc>
          <w:tcPr>
            <w:tcW w:type="dxa" w:w="1134"/>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KAMATA</w:t>
            </w:r>
          </w:p>
        </w:tc>
        <w:tc>
          <w:tcPr>
            <w:tcW w:type="dxa" w:w="1276"/>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 xml:space="preserve">OTPIS </w:t>
            </w:r>
            <w:r w:rsidRPr="001A4297">
              <w:rPr>
                <w:bCs/>
              </w:rPr>
              <w:br/>
              <w:t>40% GL. + K</w:t>
            </w:r>
          </w:p>
        </w:tc>
        <w:tc>
          <w:tcPr>
            <w:tcW w:type="dxa" w:w="1417"/>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PREOSTALO ZA OTPLATU</w:t>
            </w:r>
          </w:p>
        </w:tc>
      </w:tr>
      <w:tr w:rsidTr="00B8649E" w:rsidR="00B8649E" w:rsidRPr="001A4297">
        <w:trPr>
          <w:trHeight w:val="258"/>
          <w:jc w:val="center"/>
        </w:trPr>
        <w:tc>
          <w:tcPr>
            <w:tcW w:type="dxa" w:w="549"/>
            <w:tcBorders>
              <w:top w:val="nil"/>
              <w:left w:space="0" w:sz="4" w:color="auto" w:val="single"/>
              <w:bottom w:space="0" w:sz="4" w:color="auto" w:val="single"/>
              <w:right w:space="0" w:sz="4" w:color="auto" w:val="single"/>
            </w:tcBorders>
            <w:shd w:fill="auto" w:color="auto" w:val="clear"/>
            <w:noWrap/>
            <w:vAlign w:val="center"/>
            <w:hideMark/>
          </w:tcPr>
          <w:p w:rsidRDefault="00B8649E" w:rsidP="00B8649E" w:rsidR="00B8649E" w:rsidRPr="001A4297">
            <w:pPr>
              <w:jc w:val="center"/>
            </w:pPr>
            <w:r w:rsidRPr="001A4297">
              <w:t>1</w:t>
            </w:r>
          </w:p>
        </w:tc>
        <w:tc>
          <w:tcPr>
            <w:tcW w:type="dxa" w:w="1593"/>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36856583241</w:t>
            </w:r>
          </w:p>
        </w:tc>
        <w:tc>
          <w:tcPr>
            <w:tcW w:type="dxa" w:w="2551"/>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 xml:space="preserve">ADRIATIC ZAGREB FACTORING </w:t>
            </w:r>
          </w:p>
        </w:tc>
        <w:tc>
          <w:tcPr>
            <w:tcW w:type="dxa" w:w="1276"/>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205.790,59</w:t>
            </w:r>
          </w:p>
        </w:tc>
        <w:tc>
          <w:tcPr>
            <w:tcW w:type="dxa" w:w="1134"/>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0,00</w:t>
            </w:r>
          </w:p>
        </w:tc>
        <w:tc>
          <w:tcPr>
            <w:tcW w:type="dxa" w:w="1276"/>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82.316,24</w:t>
            </w:r>
          </w:p>
        </w:tc>
        <w:tc>
          <w:tcPr>
            <w:tcW w:type="dxa" w:w="1417"/>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123.474,35</w:t>
            </w:r>
          </w:p>
        </w:tc>
      </w:tr>
      <w:tr w:rsidTr="00B8649E" w:rsidR="00B8649E" w:rsidRPr="001A4297">
        <w:trPr>
          <w:trHeight w:val="258"/>
          <w:jc w:val="center"/>
        </w:trPr>
        <w:tc>
          <w:tcPr>
            <w:tcW w:type="dxa" w:w="549"/>
            <w:tcBorders>
              <w:top w:val="nil"/>
              <w:left w:space="0" w:sz="4" w:color="auto" w:val="single"/>
              <w:bottom w:space="0" w:sz="4" w:color="auto" w:val="single"/>
              <w:right w:space="0" w:sz="4" w:color="auto" w:val="single"/>
            </w:tcBorders>
            <w:shd w:fill="auto" w:color="auto" w:val="clear"/>
            <w:noWrap/>
            <w:vAlign w:val="center"/>
            <w:hideMark/>
          </w:tcPr>
          <w:p w:rsidRDefault="00B8649E" w:rsidP="00B8649E" w:rsidR="00B8649E" w:rsidRPr="001A4297">
            <w:pPr>
              <w:jc w:val="center"/>
            </w:pPr>
            <w:r w:rsidRPr="001A4297">
              <w:t>7</w:t>
            </w:r>
          </w:p>
        </w:tc>
        <w:tc>
          <w:tcPr>
            <w:tcW w:type="dxa" w:w="1593"/>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jc w:val="right"/>
            </w:pPr>
            <w:r w:rsidRPr="001A4297">
              <w:t>23057039320</w:t>
            </w:r>
          </w:p>
        </w:tc>
        <w:tc>
          <w:tcPr>
            <w:tcW w:type="dxa" w:w="2551"/>
            <w:tcBorders>
              <w:top w:val="nil"/>
              <w:left w:val="nil"/>
              <w:bottom w:space="0" w:sz="4" w:color="auto" w:val="single"/>
              <w:right w:space="0" w:sz="4" w:color="auto" w:val="single"/>
            </w:tcBorders>
            <w:shd w:fill="auto" w:color="auto" w:val="clear"/>
            <w:noWrap/>
            <w:vAlign w:val="center"/>
            <w:hideMark/>
          </w:tcPr>
          <w:p w:rsidRDefault="00B8649E" w:rsidP="00B8649E" w:rsidR="00B8649E" w:rsidRPr="001A4297">
            <w:pPr>
              <w:rPr>
                <w:bCs/>
              </w:rPr>
            </w:pPr>
            <w:r w:rsidRPr="001A4297">
              <w:rPr>
                <w:bCs/>
              </w:rPr>
              <w:t>ERSTE&amp;STEIERMAR</w:t>
            </w:r>
            <w:r w:rsidRPr="001A4297">
              <w:rPr>
                <w:bCs/>
              </w:rPr>
              <w:lastRenderedPageBreak/>
              <w:t>KISCHE BANKA d.d</w:t>
            </w:r>
          </w:p>
        </w:tc>
        <w:tc>
          <w:tcPr>
            <w:tcW w:type="dxa" w:w="1276"/>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lastRenderedPageBreak/>
              <w:t>538,20</w:t>
            </w:r>
          </w:p>
        </w:tc>
        <w:tc>
          <w:tcPr>
            <w:tcW w:type="dxa" w:w="1134"/>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0,00</w:t>
            </w:r>
          </w:p>
        </w:tc>
        <w:tc>
          <w:tcPr>
            <w:tcW w:type="dxa" w:w="1276"/>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215,28</w:t>
            </w:r>
          </w:p>
        </w:tc>
        <w:tc>
          <w:tcPr>
            <w:tcW w:type="dxa" w:w="1417"/>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right"/>
              <w:rPr>
                <w:bCs/>
              </w:rPr>
            </w:pPr>
            <w:r w:rsidRPr="001A4297">
              <w:rPr>
                <w:bCs/>
              </w:rPr>
              <w:t>322,92</w:t>
            </w:r>
          </w:p>
        </w:tc>
      </w:tr>
      <w:tr w:rsidTr="00B8649E" w:rsidR="00B8649E" w:rsidRPr="001A4297">
        <w:trPr>
          <w:trHeight w:val="245"/>
          <w:jc w:val="center"/>
        </w:trPr>
        <w:tc>
          <w:tcPr>
            <w:tcW w:type="dxa" w:w="4693"/>
            <w:gridSpan w:val="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pPr>
            <w:r w:rsidRPr="001A4297">
              <w:lastRenderedPageBreak/>
              <w:t> </w:t>
            </w:r>
          </w:p>
        </w:tc>
        <w:tc>
          <w:tcPr>
            <w:tcW w:type="dxa" w:w="1276"/>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rPr>
            </w:pPr>
            <w:r w:rsidRPr="001A4297">
              <w:rPr>
                <w:bCs/>
              </w:rPr>
              <w:t>206.328,79</w:t>
            </w:r>
          </w:p>
        </w:tc>
        <w:tc>
          <w:tcPr>
            <w:tcW w:type="dxa" w:w="1134"/>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rPr>
            </w:pPr>
            <w:r w:rsidRPr="001A4297">
              <w:rPr>
                <w:bCs/>
              </w:rPr>
              <w:t>0,00</w:t>
            </w:r>
          </w:p>
        </w:tc>
        <w:tc>
          <w:tcPr>
            <w:tcW w:type="dxa" w:w="1276"/>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rPr>
            </w:pPr>
            <w:r w:rsidRPr="001A4297">
              <w:rPr>
                <w:bCs/>
              </w:rPr>
              <w:t>82.531,52</w:t>
            </w:r>
          </w:p>
        </w:tc>
        <w:tc>
          <w:tcPr>
            <w:tcW w:type="dxa" w:w="141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rPr>
            </w:pPr>
            <w:r w:rsidRPr="001A4297">
              <w:rPr>
                <w:bCs/>
              </w:rPr>
              <w:t>123.797,27</w:t>
            </w:r>
          </w:p>
        </w:tc>
      </w:tr>
    </w:tbl>
    <w:p w:rsidRDefault="00B8649E" w:rsidP="00B8649E" w:rsidR="00B8649E" w:rsidRPr="001A4297"/>
    <w:p w:rsidRDefault="00B8649E" w:rsidP="00B8649E" w:rsidR="00B8649E" w:rsidRPr="001A4297"/>
    <w:p w:rsidRDefault="00B8649E" w:rsidP="00B8649E" w:rsidR="00B8649E" w:rsidRPr="001A4297"/>
    <w:p w:rsidRDefault="00B8649E" w:rsidP="00B8649E" w:rsidR="00B8649E" w:rsidRPr="001A4297"/>
    <w:p w:rsidRDefault="00B8649E" w:rsidP="00B8649E" w:rsidR="00B8649E" w:rsidRPr="001A4297">
      <w:r w:rsidRPr="001A4297">
        <w:t>Vjerovnici 3. grupe – ostali</w:t>
      </w:r>
    </w:p>
    <w:p w:rsidRDefault="00B8649E" w:rsidP="00B8649E" w:rsidR="00B8649E" w:rsidRPr="001A4297">
      <w:pPr>
        <w:pStyle w:val="Odlomakpopisa"/>
        <w:numPr>
          <w:ilvl w:val="0"/>
          <w:numId w:val="41"/>
        </w:numPr>
        <w:spacing w:lineRule="auto" w:line="276" w:after="200"/>
        <w:jc w:val="both"/>
      </w:pPr>
      <w:r w:rsidRPr="001A4297">
        <w:t>Prema rješenju o utvrđenju tražbina dug iznosi 943.779,94 kn. Otpisat će se kamate i 40% utvrđene glavnice, te će se otplatiti preostalih 60% od iznosa utvrđenih tražbina u 48 jednakih mjesečnih rata, nakon isteka počeka od 12 mjeseci, počevši od donošenja Rješenja Trgovačkog suda o sklopljenoj nagodbi.</w:t>
      </w:r>
    </w:p>
    <w:tbl>
      <w:tblPr>
        <w:tblW w:type="dxa" w:w="10013"/>
        <w:jc w:val="center"/>
        <w:tblLook w:val="04A0" w:noVBand="1" w:noHBand="0" w:lastColumn="0" w:firstColumn="1" w:lastRow="0" w:firstRow="1"/>
      </w:tblPr>
      <w:tblGrid>
        <w:gridCol w:w="697"/>
        <w:gridCol w:w="1736"/>
        <w:gridCol w:w="2713"/>
        <w:gridCol w:w="1470"/>
        <w:gridCol w:w="1297"/>
        <w:gridCol w:w="1297"/>
        <w:gridCol w:w="1603"/>
      </w:tblGrid>
      <w:tr w:rsidTr="00B8649E" w:rsidR="00B8649E" w:rsidRPr="001A4297">
        <w:trPr>
          <w:trHeight w:val="313"/>
          <w:jc w:val="center"/>
        </w:trPr>
        <w:tc>
          <w:tcPr>
            <w:tcW w:type="dxa" w:w="10013"/>
            <w:gridSpan w:val="7"/>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B8649E" w:rsidP="00B8649E" w:rsidR="00B8649E" w:rsidRPr="001A4297">
            <w:pPr>
              <w:jc w:val="center"/>
              <w:rPr>
                <w:bCs/>
              </w:rPr>
            </w:pPr>
            <w:r w:rsidRPr="001A4297">
              <w:rPr>
                <w:bCs/>
              </w:rPr>
              <w:t>3. GRUPA VJEROVNIKA - OSTALI</w:t>
            </w:r>
          </w:p>
        </w:tc>
      </w:tr>
      <w:tr w:rsidTr="00B8649E" w:rsidR="00B8649E" w:rsidRPr="001A4297">
        <w:trPr>
          <w:trHeight w:val="628"/>
          <w:jc w:val="center"/>
        </w:trPr>
        <w:tc>
          <w:tcPr>
            <w:tcW w:type="dxa" w:w="588"/>
            <w:tcBorders>
              <w:top w:val="nil"/>
              <w:left w:space="0" w:sz="4" w:color="auto" w:val="single"/>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RBR</w:t>
            </w:r>
          </w:p>
        </w:tc>
        <w:tc>
          <w:tcPr>
            <w:tcW w:type="dxa" w:w="1519"/>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OIB VJEROVNIKA</w:t>
            </w:r>
          </w:p>
        </w:tc>
        <w:tc>
          <w:tcPr>
            <w:tcW w:type="dxa" w:w="2713"/>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NAZIV VJEROVNIKA - DOBAVLJAČI :</w:t>
            </w:r>
          </w:p>
        </w:tc>
        <w:tc>
          <w:tcPr>
            <w:tcW w:type="dxa" w:w="1297"/>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GLAVNICA</w:t>
            </w:r>
          </w:p>
        </w:tc>
        <w:tc>
          <w:tcPr>
            <w:tcW w:type="dxa" w:w="1297"/>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KAMATA</w:t>
            </w:r>
          </w:p>
        </w:tc>
        <w:tc>
          <w:tcPr>
            <w:tcW w:type="dxa" w:w="1297"/>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OTPIS</w:t>
            </w:r>
          </w:p>
        </w:tc>
        <w:tc>
          <w:tcPr>
            <w:tcW w:type="dxa" w:w="1302"/>
            <w:tcBorders>
              <w:top w:val="nil"/>
              <w:left w:val="nil"/>
              <w:bottom w:space="0" w:sz="4" w:color="auto" w:val="single"/>
              <w:right w:space="0" w:sz="4" w:color="auto" w:val="single"/>
            </w:tcBorders>
            <w:shd w:fill="auto" w:color="auto" w:val="clear"/>
            <w:vAlign w:val="center"/>
            <w:hideMark/>
          </w:tcPr>
          <w:p w:rsidRDefault="00B8649E" w:rsidP="00B8649E" w:rsidR="00B8649E" w:rsidRPr="001A4297">
            <w:pPr>
              <w:jc w:val="center"/>
              <w:rPr>
                <w:bCs/>
              </w:rPr>
            </w:pPr>
            <w:r w:rsidRPr="001A4297">
              <w:rPr>
                <w:bCs/>
              </w:rPr>
              <w:t>PREOSTALO ZA OTPLATU</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2</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81916160981</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ANTO IVIĆ</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503.451,46</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201.380,58</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302.070,88</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3</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85058985197</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AQUAMONT d.o.o</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117.297,00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46.918,80</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70.378,20</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4</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99417127750</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AUTOPRIJEVOZNIK V. ŠPOLJAR</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2.625,00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1.050,00</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1.575,00</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5</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13935830818</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BMT d.o.o</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203,41</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81,36</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122,05</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8</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76637127809</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FISSURA d.o.o</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34.521,94</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13.808,78</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20.713,16</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9</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32002520580</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GERMEN SAMOBOR d.o.o</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3.787,50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1.515,00</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2.272,50</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10</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86314065016</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GOLUBIĆ TRGOVINA d.o.o</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9.904,55</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3.961,82</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5.942,73</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12</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81793146560</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HT d.d</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1.933,19</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773,28</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1.159,91</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14</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36779353407</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ISKON Internet d.d.</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899,68</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359,87</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539,81</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15</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16338571473</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LIMARIJA LACI I ROBI d.o.o</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295,27</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118,11</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177,16</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16</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15702330001</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MATAN-83 d.o.o</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4.654,70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1.861,88</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2.792,82</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18</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50307132895</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OD ŠUNIĆ I PARTNERI j.t.d</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4.312,50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1.725,00</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2.587,50</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19</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19271576318</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RAHMER d.o.o</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2.125,00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850</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1.275,00</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20</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1428377300</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SIGET ID d.o.o</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13.417,29</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5.366,92</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8.050,37</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21</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97003245557</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SUPER MARIO d.o.o</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6.663,28</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2.665,31</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3.997,97</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22</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29524210204</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VIPNET d.o.o</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1.972,09</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8,36</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797,2</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1.183,25</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23</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3729902848</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ZA-GRAD-RAD d.o.o</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4.000,00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1.600,00</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2.400,00</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25</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68204597981</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ZAŠTITA-ZAGREB d.o.o</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73,88</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29,55</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44,33</w:t>
            </w:r>
          </w:p>
        </w:tc>
      </w:tr>
      <w:tr w:rsidTr="00B8649E" w:rsidR="00B8649E" w:rsidRPr="001A4297">
        <w:trPr>
          <w:trHeight w:val="330"/>
          <w:jc w:val="center"/>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B8649E" w:rsidP="00B8649E" w:rsidR="00B8649E" w:rsidRPr="001A4297">
            <w:pPr>
              <w:jc w:val="center"/>
              <w:rPr>
                <w:color w:val="000000"/>
              </w:rPr>
            </w:pPr>
            <w:r w:rsidRPr="001A4297">
              <w:rPr>
                <w:color w:val="000000"/>
              </w:rPr>
              <w:t>26</w:t>
            </w:r>
          </w:p>
        </w:tc>
        <w:tc>
          <w:tcPr>
            <w:tcW w:type="dxa" w:w="1519"/>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color w:val="000000"/>
              </w:rPr>
            </w:pPr>
            <w:r w:rsidRPr="001A4297">
              <w:rPr>
                <w:color w:val="000000"/>
              </w:rPr>
              <w:t>73059001371</w:t>
            </w:r>
          </w:p>
        </w:tc>
        <w:tc>
          <w:tcPr>
            <w:tcW w:type="dxa" w:w="2713"/>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rPr>
                <w:bCs/>
                <w:color w:val="000000"/>
              </w:rPr>
            </w:pPr>
            <w:r w:rsidRPr="001A4297">
              <w:rPr>
                <w:bCs/>
                <w:color w:val="000000"/>
              </w:rPr>
              <w:t>ZORKA IVIĆ</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231.633,84</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0</w:t>
            </w:r>
          </w:p>
        </w:tc>
        <w:tc>
          <w:tcPr>
            <w:tcW w:type="dxa" w:w="1297"/>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92.653,54</w:t>
            </w:r>
          </w:p>
        </w:tc>
        <w:tc>
          <w:tcPr>
            <w:tcW w:type="dxa" w:w="1302"/>
            <w:tcBorders>
              <w:top w:val="nil"/>
              <w:left w:val="nil"/>
              <w:bottom w:space="0" w:sz="4" w:color="auto" w:val="single"/>
              <w:right w:space="0" w:sz="4" w:color="auto" w:val="single"/>
            </w:tcBorders>
            <w:shd w:fill="auto" w:color="auto" w:val="clear"/>
            <w:vAlign w:val="bottom"/>
            <w:hideMark/>
          </w:tcPr>
          <w:p w:rsidRDefault="00B8649E" w:rsidP="00B8649E" w:rsidR="00B8649E" w:rsidRPr="001A4297">
            <w:pPr>
              <w:jc w:val="right"/>
              <w:rPr>
                <w:bCs/>
                <w:color w:val="000000"/>
              </w:rPr>
            </w:pPr>
            <w:r w:rsidRPr="001A4297">
              <w:rPr>
                <w:bCs/>
                <w:color w:val="000000"/>
              </w:rPr>
              <w:t>138.980,30</w:t>
            </w:r>
          </w:p>
        </w:tc>
      </w:tr>
      <w:tr w:rsidTr="00B8649E" w:rsidR="00B8649E" w:rsidRPr="001A4297">
        <w:trPr>
          <w:trHeight w:val="313"/>
          <w:jc w:val="center"/>
        </w:trPr>
        <w:tc>
          <w:tcPr>
            <w:tcW w:type="dxa" w:w="4820"/>
            <w:gridSpan w:val="3"/>
            <w:tcBorders>
              <w:top w:val="nil"/>
              <w:bottom w:val="nil"/>
              <w:right w:space="0" w:sz="4" w:color="000000" w:val="single"/>
            </w:tcBorders>
            <w:shd w:fill="auto" w:color="auto" w:val="clear"/>
            <w:noWrap/>
            <w:vAlign w:val="bottom"/>
            <w:hideMark/>
          </w:tcPr>
          <w:p w:rsidRDefault="00B8649E" w:rsidP="00B8649E" w:rsidR="00B8649E" w:rsidRPr="001A4297">
            <w:pPr>
              <w:jc w:val="center"/>
            </w:pPr>
            <w:r w:rsidRPr="001A4297">
              <w:t> </w:t>
            </w:r>
          </w:p>
        </w:tc>
        <w:tc>
          <w:tcPr>
            <w:tcW w:type="dxa" w:w="1297"/>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bCs/>
                <w:color w:val="000000"/>
              </w:rPr>
            </w:pPr>
            <w:r w:rsidRPr="001A4297">
              <w:rPr>
                <w:bCs/>
                <w:color w:val="000000"/>
              </w:rPr>
              <w:fldChar w:fldCharType="begin"/>
            </w:r>
            <w:r w:rsidRPr="001A4297">
              <w:rPr>
                <w:bCs/>
                <w:color w:val="000000"/>
              </w:rPr>
              <w:instrText xml:space="preserve"> =SUM(ABOVE) </w:instrText>
            </w:r>
            <w:r w:rsidRPr="001A4297">
              <w:rPr>
                <w:bCs/>
                <w:color w:val="000000"/>
              </w:rPr>
              <w:fldChar w:fldCharType="separate"/>
            </w:r>
            <w:r w:rsidRPr="001A4297">
              <w:rPr>
                <w:bCs/>
                <w:color w:val="000000"/>
              </w:rPr>
              <w:t>943.771,58</w:t>
            </w:r>
            <w:r w:rsidRPr="001A4297">
              <w:rPr>
                <w:bCs/>
                <w:color w:val="000000"/>
              </w:rPr>
              <w:fldChar w:fldCharType="end"/>
            </w:r>
          </w:p>
        </w:tc>
        <w:tc>
          <w:tcPr>
            <w:tcW w:type="dxa" w:w="1297"/>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bCs/>
                <w:color w:val="000000"/>
              </w:rPr>
            </w:pPr>
            <w:r w:rsidRPr="001A4297">
              <w:rPr>
                <w:bCs/>
                <w:color w:val="000000"/>
              </w:rPr>
              <w:t>8,36</w:t>
            </w:r>
          </w:p>
        </w:tc>
        <w:tc>
          <w:tcPr>
            <w:tcW w:type="dxa" w:w="1297"/>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bCs/>
                <w:color w:val="000000"/>
              </w:rPr>
            </w:pPr>
            <w:r w:rsidRPr="001A4297">
              <w:rPr>
                <w:bCs/>
                <w:color w:val="000000"/>
              </w:rPr>
              <w:fldChar w:fldCharType="begin"/>
            </w:r>
            <w:r w:rsidRPr="001A4297">
              <w:rPr>
                <w:bCs/>
                <w:color w:val="000000"/>
              </w:rPr>
              <w:instrText xml:space="preserve"> =SUM(ABOVE) </w:instrText>
            </w:r>
            <w:r w:rsidRPr="001A4297">
              <w:rPr>
                <w:bCs/>
                <w:color w:val="000000"/>
              </w:rPr>
              <w:fldChar w:fldCharType="separate"/>
            </w:r>
            <w:r w:rsidRPr="001A4297">
              <w:rPr>
                <w:bCs/>
                <w:color w:val="000000"/>
              </w:rPr>
              <w:t>377.517</w:t>
            </w:r>
            <w:r w:rsidRPr="001A4297">
              <w:rPr>
                <w:bCs/>
                <w:color w:val="000000"/>
              </w:rPr>
              <w:fldChar w:fldCharType="end"/>
            </w:r>
            <w:r w:rsidRPr="001A4297">
              <w:rPr>
                <w:bCs/>
                <w:color w:val="000000"/>
              </w:rPr>
              <w:t>,00</w:t>
            </w:r>
          </w:p>
        </w:tc>
        <w:tc>
          <w:tcPr>
            <w:tcW w:type="dxa" w:w="1302"/>
            <w:tcBorders>
              <w:top w:val="nil"/>
              <w:left w:val="nil"/>
              <w:bottom w:space="0" w:sz="4" w:color="auto" w:val="single"/>
              <w:right w:space="0" w:sz="4" w:color="auto" w:val="single"/>
            </w:tcBorders>
            <w:shd w:fill="auto" w:color="auto" w:val="clear"/>
            <w:noWrap/>
            <w:vAlign w:val="bottom"/>
            <w:hideMark/>
          </w:tcPr>
          <w:p w:rsidRDefault="00B8649E" w:rsidP="00B8649E" w:rsidR="00B8649E" w:rsidRPr="001A4297">
            <w:pPr>
              <w:jc w:val="right"/>
              <w:rPr>
                <w:bCs/>
                <w:color w:val="000000"/>
              </w:rPr>
            </w:pPr>
            <w:r w:rsidRPr="001A4297">
              <w:rPr>
                <w:bCs/>
                <w:color w:val="000000"/>
              </w:rPr>
              <w:fldChar w:fldCharType="begin"/>
            </w:r>
            <w:r w:rsidRPr="001A4297">
              <w:rPr>
                <w:bCs/>
                <w:color w:val="000000"/>
              </w:rPr>
              <w:instrText xml:space="preserve"> =SUM(ABOVE) </w:instrText>
            </w:r>
            <w:r w:rsidRPr="001A4297">
              <w:rPr>
                <w:bCs/>
                <w:color w:val="000000"/>
              </w:rPr>
              <w:fldChar w:fldCharType="separate"/>
            </w:r>
            <w:r w:rsidRPr="001A4297">
              <w:rPr>
                <w:bCs/>
                <w:color w:val="000000"/>
              </w:rPr>
              <w:t>566.262,94</w:t>
            </w:r>
            <w:r w:rsidRPr="001A4297">
              <w:rPr>
                <w:bCs/>
                <w:color w:val="000000"/>
              </w:rPr>
              <w:fldChar w:fldCharType="end"/>
            </w:r>
          </w:p>
        </w:tc>
      </w:tr>
    </w:tbl>
    <w:p w:rsidRDefault="00B8649E" w:rsidP="00B8649E" w:rsidR="00B8649E" w:rsidRPr="001A4297"/>
    <w:p w:rsidRDefault="00B8649E" w:rsidP="00B8649E" w:rsidR="00B8649E" w:rsidRPr="001A4297">
      <w:r w:rsidRPr="001A4297">
        <w:br w:type="page"/>
      </w:r>
    </w:p>
    <w:p w:rsidRDefault="00B8649E" w:rsidP="00B8649E" w:rsidR="00B8649E" w:rsidRPr="001A4297">
      <w:pPr>
        <w:pStyle w:val="Odlomakpopisa"/>
        <w:numPr>
          <w:ilvl w:val="0"/>
          <w:numId w:val="41"/>
        </w:numPr>
        <w:spacing w:lineRule="auto" w:line="276" w:after="200"/>
        <w:jc w:val="both"/>
      </w:pPr>
      <w:r w:rsidRPr="001A4297">
        <w:lastRenderedPageBreak/>
        <w:t>Nagodbene strane izričito i suglasno potvrđuju da su me</w:t>
      </w:r>
      <w:r w:rsidR="003C1F69">
        <w:t>đ</w:t>
      </w:r>
      <w:r w:rsidRPr="001A4297">
        <w:t>usobno dužničko – vjerovničke odnose koji su predmet ove predstečajne Nagodbe razriješili u cijelosti upravo potpisom ove Nagodbe, što ujedno presumira da po istom pravnom temelju nemaju drugih međusobnih potraživanja.</w:t>
      </w:r>
    </w:p>
    <w:p w:rsidRDefault="00B8649E" w:rsidP="00B8649E" w:rsidR="00B8649E" w:rsidRPr="001A4297">
      <w:pPr>
        <w:pStyle w:val="Odlomakpopisa"/>
        <w:numPr>
          <w:ilvl w:val="0"/>
          <w:numId w:val="41"/>
        </w:numPr>
        <w:spacing w:lineRule="auto" w:line="276" w:after="200"/>
        <w:jc w:val="both"/>
      </w:pPr>
      <w:r w:rsidRPr="001A4297">
        <w:t>Ova sudska Nagodba, sukladno odredbama čl. 66. st. 13. Zakona ima snagu ovršne isprave za sve vjerovnike čije su tražbine utvrđene i razlučne vjerovnike ako su se odrekli svog prava na odvojeno namirenje, te se na temelju ove Nagodbe može radi ostvarenja dužne činidbe nakon dospjelosti obveze, neposredno provesti ovrha na cjelokupnoj dužnikovoj pokretnoj i nepokretnoj imovini, uključujući i dužnikove tražbine prema bankama po bilo kojem računu i pologu, a sve radi neposrednog namirenja svog potraživanja.</w:t>
      </w:r>
    </w:p>
    <w:p w:rsidRDefault="00B8649E" w:rsidP="00B8649E" w:rsidR="00B8649E" w:rsidRPr="001A4297">
      <w:pPr>
        <w:pStyle w:val="Odlomakpopisa"/>
        <w:numPr>
          <w:ilvl w:val="0"/>
          <w:numId w:val="41"/>
        </w:numPr>
        <w:spacing w:lineRule="auto" w:line="276" w:after="200"/>
        <w:jc w:val="both"/>
      </w:pPr>
      <w:r w:rsidRPr="001A4297">
        <w:t>Nakon pravomoćnosti rješenja o potvrdi Nagodbe nije dopušteno pokretanje ovršnog, upravnog ili parničnog postupka protiv Dužnika radi utvrđenja i ostvarenja tražbine koja je nastala prije otvaranja postupka predstečajne nagodbe, a u tom postupku nije prijavljena od strane Vjerovnika niti je tu tražbinu Dužnik uvrstio u popis obveza prema Vjerovnicima.</w:t>
      </w:r>
    </w:p>
    <w:p w:rsidRDefault="00B8649E" w:rsidP="00B8649E" w:rsidR="00B8649E" w:rsidRPr="001A4297">
      <w:pPr>
        <w:pStyle w:val="Odlomakpopisa"/>
        <w:numPr>
          <w:ilvl w:val="0"/>
          <w:numId w:val="41"/>
        </w:numPr>
        <w:spacing w:lineRule="auto" w:line="276" w:after="200"/>
        <w:jc w:val="both"/>
      </w:pPr>
      <w:r w:rsidRPr="001A4297">
        <w:t>Bilo koja ovršna isprava koja se odnosi na tražbinu iz Nagodbe gubi u odnosu na Dužnika pravnu snagu.</w:t>
      </w:r>
    </w:p>
    <w:p w:rsidRDefault="00B8649E" w:rsidP="00B8649E" w:rsidR="00B8649E" w:rsidRPr="001A4297">
      <w:pPr>
        <w:pStyle w:val="Odlomakpopisa"/>
        <w:numPr>
          <w:ilvl w:val="0"/>
          <w:numId w:val="41"/>
        </w:numPr>
        <w:spacing w:lineRule="auto" w:line="276" w:after="200"/>
        <w:jc w:val="both"/>
      </w:pPr>
      <w:r w:rsidRPr="001A4297">
        <w:t>Tražbine Vjerovnika smatrat će se potpuno namirenim ako su namireni iznosi utvrđeni u Nagodbi.</w:t>
      </w:r>
    </w:p>
    <w:p w:rsidRDefault="00B8649E" w:rsidP="00B8649E" w:rsidR="00B8649E" w:rsidRPr="001A4297">
      <w:pPr>
        <w:pStyle w:val="Odlomakpopisa"/>
        <w:numPr>
          <w:ilvl w:val="0"/>
          <w:numId w:val="41"/>
        </w:numPr>
        <w:spacing w:lineRule="auto" w:line="276" w:after="200"/>
        <w:jc w:val="both"/>
      </w:pPr>
      <w:r w:rsidRPr="001A4297">
        <w:t>Nakon što su Nagodbene strane pročitale tekst Nagodbe, suglasnost s njenim sadržajem potvrđuju vlastoručnim potpisima, kojim činom se smatra da je nagodba sklopljena.</w:t>
      </w:r>
    </w:p>
    <w:p w:rsidRDefault="00B8649E" w:rsidP="00B8649E" w:rsidR="00B8649E" w:rsidRPr="001A4297"/>
    <w:p w:rsidRDefault="007568D8" w:rsidP="007568D8" w:rsidR="007568D8" w:rsidRPr="001A4297">
      <w:pPr>
        <w:rPr>
          <w:color w:val="00B0F0"/>
        </w:rPr>
      </w:pPr>
    </w:p>
    <w:p w:rsidRDefault="007568D8" w:rsidP="007568D8" w:rsidR="007568D8" w:rsidRPr="001A4297">
      <w:pPr>
        <w:widowControl w:val="false"/>
        <w:spacing w:after="80"/>
        <w:jc w:val="both"/>
      </w:pPr>
      <w:r w:rsidRPr="001A4297">
        <w:t>Nakon toga sud ističe i slijedeće:</w:t>
      </w:r>
    </w:p>
    <w:p w:rsidRDefault="007568D8" w:rsidP="007568D8" w:rsidR="007568D8" w:rsidRPr="001A4297">
      <w:pPr>
        <w:widowControl w:val="false"/>
        <w:spacing w:after="80"/>
        <w:jc w:val="both"/>
      </w:pPr>
      <w:r w:rsidRPr="001A4297">
        <w:t>Predstečajna nagodba ima snagu ovršne isprave za sve vjerovnike čije su tražbine utvrđene.</w:t>
      </w:r>
    </w:p>
    <w:p w:rsidRDefault="007568D8" w:rsidP="007568D8" w:rsidR="007568D8" w:rsidRPr="001A4297">
      <w:pPr>
        <w:widowControl w:val="false"/>
        <w:spacing w:after="80"/>
        <w:jc w:val="both"/>
      </w:pPr>
      <w:r w:rsidRPr="001A4297">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7568D8" w:rsidP="007568D8" w:rsidR="007568D8" w:rsidRPr="001A4297">
      <w:pPr>
        <w:widowControl w:val="false"/>
        <w:spacing w:after="80"/>
        <w:jc w:val="both"/>
      </w:pPr>
      <w:r w:rsidRPr="001A4297">
        <w:t>Predstečajna nagodba može se pobijati tužbom pod istim pretpostavkama koje su propisane za pobijanje sudske nagodbe.</w:t>
      </w:r>
    </w:p>
    <w:p w:rsidRDefault="007568D8" w:rsidP="007568D8" w:rsidR="007568D8" w:rsidRPr="001A4297">
      <w:pPr>
        <w:widowControl w:val="false"/>
        <w:spacing w:after="80"/>
        <w:jc w:val="both"/>
      </w:pPr>
      <w:r w:rsidRPr="001A4297">
        <w:t xml:space="preserve">Nakon pročitanog zapisnika o predstečajnoj nagodbi stranke potpisuju zapisnik. Temeljem čl. </w:t>
      </w:r>
      <w:smartTag w:element="metricconverter" w:uri="urn:schemas-microsoft-com:office:smarttags">
        <w:smartTagPr>
          <w:attr w:val="66. st" w:name="ProductID"/>
        </w:smartTagPr>
        <w:r w:rsidRPr="001A4297">
          <w:t>66. st</w:t>
        </w:r>
      </w:smartTag>
      <w:r w:rsidRPr="001A4297">
        <w:t>. 11. Zakona o financijskom poslovanju i predstečajnoj nagodbi, predstečajna nagodba je sklopljena kada je potpišu dužnik i vjerovnici čije tražbine čine potrebnu većinu.</w:t>
      </w:r>
    </w:p>
    <w:p w:rsidRDefault="007568D8" w:rsidP="007568D8" w:rsidR="007568D8">
      <w:pPr>
        <w:jc w:val="both"/>
      </w:pPr>
    </w:p>
    <w:p w:rsidRDefault="00267B53" w:rsidP="007568D8" w:rsidR="00267B53" w:rsidRPr="001A4297">
      <w:pPr>
        <w:jc w:val="both"/>
      </w:pPr>
    </w:p>
    <w:p w:rsidRDefault="00BC401B" w:rsidP="000171A3" w:rsidR="004B4ED8" w:rsidRPr="001A4297">
      <w:pPr>
        <w:jc w:val="center"/>
      </w:pPr>
      <w:r w:rsidRPr="001A4297">
        <w:t xml:space="preserve">Dovršeno u </w:t>
      </w:r>
      <w:r w:rsidR="00AE4548" w:rsidRPr="001A4297">
        <w:t>1</w:t>
      </w:r>
      <w:r w:rsidR="003C1F69">
        <w:t>0</w:t>
      </w:r>
      <w:r w:rsidR="00AE4548" w:rsidRPr="001A4297">
        <w:t>.</w:t>
      </w:r>
      <w:r w:rsidR="003C1F69">
        <w:t>45</w:t>
      </w:r>
      <w:r w:rsidR="004B4ED8" w:rsidRPr="001A4297">
        <w:t xml:space="preserve"> sati.</w:t>
      </w:r>
    </w:p>
    <w:p w:rsidRDefault="004B4ED8" w:rsidP="004B4ED8" w:rsidR="004B4ED8"/>
    <w:p w:rsidRDefault="001A4297" w:rsidP="004B4ED8" w:rsidR="001A4297"/>
    <w:p w:rsidRDefault="00267B53" w:rsidP="004B4ED8" w:rsidR="00267B53"/>
    <w:p w:rsidRDefault="00267B53" w:rsidP="004B4ED8" w:rsidR="00267B53"/>
    <w:p w:rsidRDefault="00267B53" w:rsidP="004B4ED8" w:rsidR="00267B53"/>
    <w:p w:rsidRDefault="00267B53" w:rsidP="004B4ED8" w:rsidR="00267B53" w:rsidRPr="001A4297"/>
    <w:p w:rsidRDefault="004B4ED8" w:rsidP="00224B33" w:rsidR="004B4ED8" w:rsidRPr="001A4297">
      <w:pPr>
        <w:jc w:val="center"/>
      </w:pPr>
      <w:r w:rsidRPr="001A4297">
        <w:lastRenderedPageBreak/>
        <w:t>SUDAC</w:t>
      </w:r>
    </w:p>
    <w:p w:rsidRDefault="001A4297" w:rsidP="004B4ED8" w:rsidR="004B4ED8">
      <w:r>
        <w:tab/>
      </w:r>
      <w:r>
        <w:tab/>
      </w:r>
      <w:r>
        <w:tab/>
      </w:r>
      <w:r>
        <w:tab/>
      </w:r>
      <w:r>
        <w:tab/>
        <w:t>Nikolina Dorić Hadžisejdić</w:t>
      </w:r>
    </w:p>
    <w:p w:rsidRDefault="001A4297" w:rsidP="004B4ED8" w:rsidR="001A4297"/>
    <w:p w:rsidRDefault="001A4297" w:rsidP="004B4ED8" w:rsidR="001A4297" w:rsidRPr="001A4297"/>
    <w:p w:rsidRDefault="004B4ED8" w:rsidP="004B4ED8" w:rsidR="004B4ED8" w:rsidRPr="001A4297"/>
    <w:p w:rsidRDefault="00A2094F" w:rsidP="00A2094F" w:rsidR="004B4ED8" w:rsidRPr="001A4297">
      <w:pPr>
        <w:jc w:val="center"/>
      </w:pPr>
      <w:r w:rsidRPr="001A4297">
        <w:t xml:space="preserve">   </w:t>
      </w:r>
      <w:r w:rsidR="004B4ED8" w:rsidRPr="001A4297">
        <w:t>ZAPISNIČAR</w:t>
      </w:r>
    </w:p>
    <w:p w:rsidRDefault="001A4297" w:rsidP="004B4ED8" w:rsidR="004B4ED8" w:rsidRPr="001A4297">
      <w:r>
        <w:tab/>
        <w:t xml:space="preserve">                    </w:t>
      </w:r>
      <w:r>
        <w:tab/>
      </w:r>
      <w:r>
        <w:tab/>
      </w:r>
      <w:r>
        <w:tab/>
        <w:t xml:space="preserve">     Karmela Dolenc</w:t>
      </w:r>
    </w:p>
    <w:p w:rsidRDefault="007568D8" w:rsidP="007568D8" w:rsidR="007568D8" w:rsidRPr="001A4297"/>
    <w:p w:rsidRDefault="007568D8" w:rsidP="007568D8" w:rsidR="007568D8" w:rsidRPr="001A4297"/>
    <w:p w:rsidRDefault="007568D8" w:rsidP="007568D8" w:rsidR="007568D8" w:rsidRPr="001A4297"/>
    <w:p w:rsidRDefault="004B4ED8" w:rsidP="007568D8" w:rsidR="004B4ED8" w:rsidRPr="001A4297">
      <w:r w:rsidRPr="001A4297">
        <w:t>DUŽNIK</w:t>
      </w:r>
      <w:r w:rsidR="001A4297">
        <w:t>:</w:t>
      </w:r>
    </w:p>
    <w:p w:rsidRDefault="001A4297" w:rsidP="004B4ED8" w:rsidR="004B4ED8">
      <w:r w:rsidRPr="001A4297">
        <w:t>BEDEM d.o.o., Zagreb, Zagrebačka cesta 190</w:t>
      </w:r>
    </w:p>
    <w:p w:rsidRDefault="001A4297" w:rsidP="004B4ED8" w:rsidR="001A4297" w:rsidRPr="001A4297"/>
    <w:p w:rsidRDefault="001A4297" w:rsidP="004B4ED8" w:rsidR="007568D8" w:rsidRPr="001A4297">
      <w:r>
        <w:t>______</w:t>
      </w:r>
      <w:r w:rsidR="007568D8" w:rsidRPr="001A4297">
        <w:t>___________________________________________________________</w:t>
      </w:r>
    </w:p>
    <w:p w:rsidRDefault="007568D8" w:rsidP="004B4ED8" w:rsidR="007568D8"/>
    <w:p w:rsidRDefault="001A4297" w:rsidP="004B4ED8" w:rsidR="001A4297"/>
    <w:p w:rsidRDefault="001A4297" w:rsidP="004B4ED8" w:rsidR="001A4297" w:rsidRPr="001A4297"/>
    <w:p w:rsidRDefault="004B4ED8" w:rsidP="004B4ED8" w:rsidR="004B4ED8" w:rsidRPr="001A4297">
      <w:r w:rsidRPr="001A4297">
        <w:t>VJEROVNICI:</w:t>
      </w:r>
    </w:p>
    <w:p w:rsidRDefault="004B4ED8" w:rsidP="004B4ED8" w:rsidR="004B4ED8" w:rsidRPr="001A4297"/>
    <w:p w:rsidRDefault="00854F29" w:rsidP="00854F29" w:rsidR="00854F29">
      <w:pPr>
        <w:jc w:val="both"/>
      </w:pPr>
    </w:p>
    <w:p w:rsidRDefault="00267B53" w:rsidP="00854F29" w:rsidR="00854F29" w:rsidRPr="001A4297">
      <w:pPr>
        <w:jc w:val="both"/>
      </w:pPr>
      <w:r>
        <w:t>1</w:t>
      </w:r>
      <w:r w:rsidR="00854F29">
        <w:t xml:space="preserve">. </w:t>
      </w:r>
      <w:r w:rsidR="00854F29" w:rsidRPr="001A4297">
        <w:t xml:space="preserve">ADRIATIC ZAGREB FACTORING d.o.o., Zagreb,– </w:t>
      </w:r>
    </w:p>
    <w:p w:rsidRDefault="00854F29" w:rsidP="00854F29" w:rsidR="00854F29">
      <w:pPr>
        <w:jc w:val="both"/>
      </w:pPr>
    </w:p>
    <w:p w:rsidRDefault="00854F29" w:rsidP="00854F29" w:rsidR="00854F29">
      <w:pPr>
        <w:jc w:val="both"/>
      </w:pPr>
      <w:r>
        <w:t>_____________________________________________________________</w:t>
      </w:r>
    </w:p>
    <w:p w:rsidRDefault="00854F29" w:rsidP="00854F29" w:rsidR="00854F29">
      <w:pPr>
        <w:jc w:val="both"/>
      </w:pPr>
    </w:p>
    <w:p w:rsidRDefault="00267B53" w:rsidP="00854F29" w:rsidR="00854F29" w:rsidRPr="001A4297">
      <w:pPr>
        <w:jc w:val="both"/>
      </w:pPr>
      <w:r>
        <w:t>2</w:t>
      </w:r>
      <w:r w:rsidR="00854F29">
        <w:t xml:space="preserve">. </w:t>
      </w:r>
      <w:r w:rsidR="00854F29" w:rsidRPr="001A4297">
        <w:t xml:space="preserve">ANTO IVIĆ, </w:t>
      </w:r>
      <w:r w:rsidR="00854F29">
        <w:t>Zagreb</w:t>
      </w:r>
      <w:r w:rsidR="00854F29" w:rsidRPr="001A4297">
        <w:t xml:space="preserve"> – </w:t>
      </w:r>
    </w:p>
    <w:p w:rsidRDefault="00854F29" w:rsidP="00854F29" w:rsidR="00854F29">
      <w:pPr>
        <w:jc w:val="both"/>
      </w:pPr>
    </w:p>
    <w:p w:rsidRDefault="00854F29" w:rsidP="00854F29" w:rsidR="00854F29">
      <w:pPr>
        <w:jc w:val="both"/>
      </w:pPr>
      <w:r>
        <w:t>_____________________________________________________________</w:t>
      </w:r>
    </w:p>
    <w:p w:rsidRDefault="00854F29" w:rsidP="00854F29" w:rsidR="00854F29">
      <w:pPr>
        <w:jc w:val="both"/>
      </w:pPr>
    </w:p>
    <w:p w:rsidRDefault="00267B53" w:rsidP="00854F29" w:rsidR="00854F29" w:rsidRPr="001A4297">
      <w:pPr>
        <w:jc w:val="both"/>
      </w:pPr>
      <w:r>
        <w:t>3</w:t>
      </w:r>
      <w:r w:rsidR="00854F29">
        <w:t xml:space="preserve">. </w:t>
      </w:r>
      <w:r w:rsidR="00854F29" w:rsidRPr="001A4297">
        <w:t xml:space="preserve">ZORKA IVIĆ, </w:t>
      </w:r>
      <w:r w:rsidR="00854F29">
        <w:t>Zagreb</w:t>
      </w:r>
      <w:r w:rsidR="00854F29" w:rsidRPr="001A4297">
        <w:t xml:space="preserve"> -</w:t>
      </w:r>
    </w:p>
    <w:p w:rsidRDefault="004B4ED8" w:rsidP="004B4ED8" w:rsidR="004B4ED8" w:rsidRPr="001A4297"/>
    <w:p w:rsidRDefault="00854F29" w:rsidP="004B4ED8" w:rsidR="00B31FA4" w:rsidRPr="001A4297">
      <w:r>
        <w:t>________________________________________________________________</w:t>
      </w:r>
    </w:p>
    <w:sectPr w:rsidSect="007568D8" w:rsidR="00B31FA4" w:rsidRPr="001A4297">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525" w:rsidP="007F4799" w:rsidR="00EF1525">
      <w:r>
        <w:separator/>
      </w:r>
    </w:p>
  </w:endnote>
  <w:endnote w:id="0" w:type="continuationSeparator">
    <w:p w:rsidRDefault="00EF1525" w:rsidP="007F4799" w:rsidR="00EF15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OpenSymbol">
    <w:charset w:val="00"/>
    <w:family w:val="auto"/>
    <w:pitch w:val="variable"/>
    <w:sig w:csb1="00000000" w:csb0="00000001" w:usb3="00000000" w:usb2="00000000" w:usb1="1001ECEA" w:usb0="800000AF"/>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525" w:rsidP="007F4799" w:rsidR="00EF1525">
      <w:r>
        <w:separator/>
      </w:r>
    </w:p>
  </w:footnote>
  <w:footnote w:id="0" w:type="continuationSeparator">
    <w:p w:rsidRDefault="00EF1525" w:rsidP="007F4799" w:rsidR="00EF15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1525" w:rsidP="007F4799" w:rsidR="00EF1525" w:rsidRPr="007F4799">
    <w:pPr>
      <w:pStyle w:val="Zaglavlje"/>
      <w:tabs>
        <w:tab w:pos="4536" w:val="center"/>
        <w:tab w:pos="6831" w:val="left"/>
      </w:tabs>
      <w:jc w:val="left"/>
      <w:rPr>
        <w:rFonts w:hAnsi="Times New Roman" w:ascii="Times New Roman"/>
        <w:sz w:val="24"/>
        <w:szCs w:val="24"/>
      </w:rPr>
    </w:pPr>
    <w:r>
      <w:tab/>
    </w:r>
    <w:sdt>
      <w:sdtPr>
        <w:id w:val="-1211189630"/>
        <w:docPartObj>
          <w:docPartGallery w:val="Page Numbers (Top of Page)"/>
          <w:docPartUnique/>
        </w:docPartObj>
      </w:sdtPr>
      <w:sdtEndPr>
        <w:rPr>
          <w:rFonts w:hAnsi="Times New Roman" w:ascii="Times New Roman"/>
          <w:sz w:val="24"/>
          <w:szCs w:val="24"/>
        </w:rPr>
      </w:sdtEndPr>
      <w:sdtContent>
        <w:r w:rsidRPr="007F4799">
          <w:rPr>
            <w:rFonts w:hAnsi="Times New Roman" w:ascii="Times New Roman"/>
            <w:sz w:val="24"/>
            <w:szCs w:val="24"/>
          </w:rPr>
          <w:fldChar w:fldCharType="begin"/>
        </w:r>
        <w:r w:rsidRPr="007F4799">
          <w:rPr>
            <w:rFonts w:hAnsi="Times New Roman" w:ascii="Times New Roman"/>
            <w:sz w:val="24"/>
            <w:szCs w:val="24"/>
          </w:rPr>
          <w:instrText>PAGE   \* MERGEFORMAT</w:instrText>
        </w:r>
        <w:r w:rsidRPr="007F4799">
          <w:rPr>
            <w:rFonts w:hAnsi="Times New Roman" w:ascii="Times New Roman"/>
            <w:sz w:val="24"/>
            <w:szCs w:val="24"/>
          </w:rPr>
          <w:fldChar w:fldCharType="separate"/>
        </w:r>
        <w:r w:rsidR="007C3E20">
          <w:rPr>
            <w:rFonts w:hAnsi="Times New Roman" w:ascii="Times New Roman"/>
            <w:noProof/>
            <w:sz w:val="24"/>
            <w:szCs w:val="24"/>
          </w:rPr>
          <w:t>11</w:t>
        </w:r>
        <w:r w:rsidRPr="007F4799">
          <w:rPr>
            <w:rFonts w:hAnsi="Times New Roman" w:ascii="Times New Roman"/>
            <w:sz w:val="24"/>
            <w:szCs w:val="24"/>
          </w:rPr>
          <w:fldChar w:fldCharType="end"/>
        </w:r>
      </w:sdtContent>
    </w:sdt>
    <w:r w:rsidRPr="007F4799">
      <w:rPr>
        <w:rFonts w:hAnsi="Times New Roman" w:ascii="Times New Roman"/>
        <w:sz w:val="24"/>
        <w:szCs w:val="24"/>
      </w:rPr>
      <w:tab/>
    </w:r>
    <w:r w:rsidRPr="007F4799">
      <w:rPr>
        <w:rFonts w:hAnsi="Times New Roman" w:ascii="Times New Roman"/>
        <w:sz w:val="24"/>
        <w:szCs w:val="24"/>
      </w:rPr>
      <w:tab/>
      <w:t>89. St-</w:t>
    </w:r>
    <w:r>
      <w:rPr>
        <w:rFonts w:hAnsi="Times New Roman" w:ascii="Times New Roman"/>
        <w:sz w:val="24"/>
        <w:szCs w:val="24"/>
      </w:rPr>
      <w:t>3681/16</w:t>
    </w:r>
    <w:r w:rsidRPr="007F4799">
      <w:rPr>
        <w:rFonts w:hAnsi="Times New Roman" w:ascii="Times New Roman"/>
        <w:sz w:val="24"/>
        <w:szCs w:val="24"/>
      </w:rPr>
      <w:t>-</w:t>
    </w:r>
  </w:p>
  <w:p w:rsidRDefault="00EF1525" w:rsidR="00EF152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8"/>
    <w:multiLevelType w:val="hybridMultilevel"/>
    <w:tmpl w:val="2CB6A4CE"/>
    <w:lvl w:tplc="156AC670"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
    <w:nsid w:val="0000000A"/>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
    <w:nsid w:val="0000000C"/>
    <w:multiLevelType w:val="multilevel"/>
    <w:tmpl w:val="89146780"/>
    <w:lvl w:ilvl="0">
      <w:start w:val="3"/>
      <w:numFmt w:val="decimal"/>
      <w:lvlText w:val="%1."/>
      <w:lvlJc w:val="left"/>
      <w:pPr>
        <w:ind w:hanging="360" w:left="360"/>
      </w:pPr>
      <w:rPr>
        <w:rFonts w:cs="Times New Roman" w:hint="default"/>
      </w:rPr>
    </w:lvl>
    <w:lvl w:ilvl="1">
      <w:start w:val="1"/>
      <w:numFmt w:val="decimal"/>
      <w:lvlText w:val="%1.%2."/>
      <w:lvlJc w:val="left"/>
      <w:pPr>
        <w:ind w:hanging="360" w:left="1080"/>
      </w:pPr>
      <w:rPr>
        <w:rFonts w:cs="Times New Roman" w:hint="eastAsia"/>
      </w:rPr>
    </w:lvl>
    <w:lvl w:ilvl="2">
      <w:start w:val="1"/>
      <w:numFmt w:val="decimal"/>
      <w:lvlText w:val="%1.%2.%3."/>
      <w:lvlJc w:val="left"/>
      <w:pPr>
        <w:ind w:hanging="720" w:left="2160"/>
      </w:pPr>
      <w:rPr>
        <w:rFonts w:cs="Times New Roman" w:hint="eastAsia"/>
        <w:b w:val="false"/>
      </w:rPr>
    </w:lvl>
    <w:lvl w:ilvl="3">
      <w:start w:val="1"/>
      <w:numFmt w:val="decimal"/>
      <w:lvlText w:val="%1.%2.%3.%4."/>
      <w:lvlJc w:val="left"/>
      <w:pPr>
        <w:ind w:hanging="720" w:left="2880"/>
      </w:pPr>
      <w:rPr>
        <w:rFonts w:cs="Times New Roman" w:hint="eastAsia"/>
      </w:rPr>
    </w:lvl>
    <w:lvl w:ilvl="4">
      <w:start w:val="1"/>
      <w:numFmt w:val="decimal"/>
      <w:lvlText w:val="%1.%2.%3.%4.%5."/>
      <w:lvlJc w:val="left"/>
      <w:pPr>
        <w:ind w:hanging="1080" w:left="3960"/>
      </w:pPr>
      <w:rPr>
        <w:rFonts w:cs="Times New Roman" w:hint="eastAsia"/>
      </w:rPr>
    </w:lvl>
    <w:lvl w:ilvl="5">
      <w:start w:val="1"/>
      <w:numFmt w:val="decimal"/>
      <w:lvlText w:val="%1.%2.%3.%4.%5.%6."/>
      <w:lvlJc w:val="left"/>
      <w:pPr>
        <w:ind w:hanging="1080" w:left="4680"/>
      </w:pPr>
      <w:rPr>
        <w:rFonts w:cs="Times New Roman" w:hint="eastAsia"/>
      </w:rPr>
    </w:lvl>
    <w:lvl w:ilvl="6">
      <w:start w:val="1"/>
      <w:numFmt w:val="decimal"/>
      <w:lvlText w:val="%1.%2.%3.%4.%5.%6.%7."/>
      <w:lvlJc w:val="left"/>
      <w:pPr>
        <w:ind w:hanging="1440" w:left="5760"/>
      </w:pPr>
      <w:rPr>
        <w:rFonts w:cs="Times New Roman" w:hint="eastAsia"/>
      </w:rPr>
    </w:lvl>
    <w:lvl w:ilvl="7">
      <w:start w:val="1"/>
      <w:numFmt w:val="decimal"/>
      <w:lvlText w:val="%1.%2.%3.%4.%5.%6.%7.%8."/>
      <w:lvlJc w:val="left"/>
      <w:pPr>
        <w:ind w:hanging="1440" w:left="6480"/>
      </w:pPr>
      <w:rPr>
        <w:rFonts w:cs="Times New Roman" w:hint="eastAsia"/>
      </w:rPr>
    </w:lvl>
    <w:lvl w:ilvl="8">
      <w:start w:val="1"/>
      <w:numFmt w:val="decimal"/>
      <w:lvlText w:val="%1.%2.%3.%4.%5.%6.%7.%8.%9."/>
      <w:lvlJc w:val="left"/>
      <w:pPr>
        <w:ind w:hanging="1800" w:left="7560"/>
      </w:pPr>
      <w:rPr>
        <w:rFonts w:cs="Times New Roman" w:hint="eastAsia"/>
      </w:rPr>
    </w:lvl>
  </w:abstractNum>
  <w:abstractNum w:abstractNumId="4">
    <w:nsid w:val="0000000D"/>
    <w:multiLevelType w:val="multilevel"/>
    <w:tmpl w:val="22B4C9FE"/>
    <w:lvl w:ilvl="0">
      <w:start w:val="4"/>
      <w:numFmt w:val="decimal"/>
      <w:lvlText w:val="%1."/>
      <w:lvlJc w:val="left"/>
      <w:pPr>
        <w:ind w:hanging="720" w:left="720"/>
      </w:pPr>
      <w:rPr>
        <w:rFonts w:cs="Times New Roman" w:hint="default"/>
        <w:b w:val="false"/>
      </w:rPr>
    </w:lvl>
    <w:lvl w:ilvl="1">
      <w:start w:val="1"/>
      <w:numFmt w:val="decimal"/>
      <w:lvlText w:val="%1.%2."/>
      <w:lvlJc w:val="left"/>
      <w:pPr>
        <w:ind w:hanging="720" w:left="960"/>
      </w:pPr>
      <w:rPr>
        <w:rFonts w:cs="Times New Roman" w:hint="eastAsia"/>
        <w:b w:val="false"/>
      </w:rPr>
    </w:lvl>
    <w:lvl w:ilvl="2">
      <w:start w:val="2"/>
      <w:numFmt w:val="decimal"/>
      <w:lvlText w:val="%1.%2.%3."/>
      <w:lvlJc w:val="left"/>
      <w:pPr>
        <w:ind w:hanging="720" w:left="1200"/>
      </w:pPr>
      <w:rPr>
        <w:rFonts w:cs="Times New Roman" w:hint="cs"/>
        <w:b w:val="false"/>
      </w:rPr>
    </w:lvl>
    <w:lvl w:ilvl="3">
      <w:start w:val="1"/>
      <w:numFmt w:val="decimal"/>
      <w:lvlText w:val="%1.%2.%3.%4."/>
      <w:lvlJc w:val="left"/>
      <w:pPr>
        <w:ind w:hanging="720" w:left="1440"/>
      </w:pPr>
      <w:rPr>
        <w:rFonts w:cs="Times New Roman" w:hint="eastAsia"/>
        <w:b w:val="false"/>
      </w:rPr>
    </w:lvl>
    <w:lvl w:ilvl="4">
      <w:start w:val="1"/>
      <w:numFmt w:val="decimal"/>
      <w:lvlText w:val="%1.%2.%3.%4.%5."/>
      <w:lvlJc w:val="left"/>
      <w:pPr>
        <w:ind w:hanging="1080" w:left="2040"/>
      </w:pPr>
      <w:rPr>
        <w:rFonts w:cs="Times New Roman" w:hint="eastAsia"/>
        <w:b w:val="false"/>
      </w:rPr>
    </w:lvl>
    <w:lvl w:ilvl="5">
      <w:start w:val="1"/>
      <w:numFmt w:val="decimal"/>
      <w:lvlText w:val="%1.%2.%3.%4.%5.%6."/>
      <w:lvlJc w:val="left"/>
      <w:pPr>
        <w:ind w:hanging="1080" w:left="2280"/>
      </w:pPr>
      <w:rPr>
        <w:rFonts w:cs="Times New Roman" w:hint="eastAsia"/>
        <w:b w:val="false"/>
      </w:rPr>
    </w:lvl>
    <w:lvl w:ilvl="6">
      <w:start w:val="1"/>
      <w:numFmt w:val="decimal"/>
      <w:lvlText w:val="%1.%2.%3.%4.%5.%6.%7."/>
      <w:lvlJc w:val="left"/>
      <w:pPr>
        <w:ind w:hanging="1440" w:left="2880"/>
      </w:pPr>
      <w:rPr>
        <w:rFonts w:cs="Times New Roman" w:hint="eastAsia"/>
        <w:b w:val="false"/>
      </w:rPr>
    </w:lvl>
    <w:lvl w:ilvl="7">
      <w:start w:val="1"/>
      <w:numFmt w:val="decimal"/>
      <w:lvlText w:val="%1.%2.%3.%4.%5.%6.%7.%8."/>
      <w:lvlJc w:val="left"/>
      <w:pPr>
        <w:ind w:hanging="1440" w:left="3120"/>
      </w:pPr>
      <w:rPr>
        <w:rFonts w:cs="Times New Roman" w:hint="eastAsia"/>
        <w:b w:val="false"/>
      </w:rPr>
    </w:lvl>
    <w:lvl w:ilvl="8">
      <w:start w:val="1"/>
      <w:numFmt w:val="decimal"/>
      <w:lvlText w:val="%1.%2.%3.%4.%5.%6.%7.%8.%9."/>
      <w:lvlJc w:val="left"/>
      <w:pPr>
        <w:ind w:hanging="1800" w:left="3720"/>
      </w:pPr>
      <w:rPr>
        <w:rFonts w:cs="Times New Roman" w:hint="eastAsia"/>
        <w:b w:val="false"/>
      </w:rPr>
    </w:lvl>
  </w:abstractNum>
  <w:abstractNum w:abstractNumId="5">
    <w:nsid w:val="009575EF"/>
    <w:multiLevelType w:val="multilevel"/>
    <w:tmpl w:val="1414A634"/>
    <w:lvl w:ilvl="0">
      <w:start w:val="6"/>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6">
    <w:nsid w:val="00DC1ABE"/>
    <w:multiLevelType w:val="multilevel"/>
    <w:tmpl w:val="63BCB0AE"/>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4"/>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7">
    <w:nsid w:val="0334164D"/>
    <w:multiLevelType w:val="multilevel"/>
    <w:tmpl w:val="98B4E19A"/>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9"/>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8">
    <w:nsid w:val="03F050BB"/>
    <w:multiLevelType w:val="hybridMultilevel"/>
    <w:tmpl w:val="9E26B278"/>
    <w:lvl w:tplc="25DE1128" w:ilvl="0">
      <w:start w:val="16"/>
      <w:numFmt w:val="bullet"/>
      <w:lvlText w:val="-"/>
      <w:lvlJc w:val="left"/>
      <w:pPr>
        <w:ind w:hanging="360" w:left="660"/>
      </w:pPr>
      <w:rPr>
        <w:rFonts w:cs="Times New Roman" w:eastAsia="Times New Roman" w:hAnsi="Times New Roman" w:ascii="Times New Roman" w:hint="default"/>
      </w:rPr>
    </w:lvl>
    <w:lvl w:tentative="true" w:tplc="041A0003" w:ilvl="1">
      <w:start w:val="1"/>
      <w:numFmt w:val="bullet"/>
      <w:lvlText w:val="o"/>
      <w:lvlJc w:val="left"/>
      <w:pPr>
        <w:ind w:hanging="360" w:left="1380"/>
      </w:pPr>
      <w:rPr>
        <w:rFonts w:cs="Courier New" w:hAnsi="Courier New" w:ascii="Courier New" w:hint="default"/>
      </w:rPr>
    </w:lvl>
    <w:lvl w:tentative="true" w:tplc="041A0005" w:ilvl="2">
      <w:start w:val="1"/>
      <w:numFmt w:val="bullet"/>
      <w:lvlText w:val=""/>
      <w:lvlJc w:val="left"/>
      <w:pPr>
        <w:ind w:hanging="360" w:left="2100"/>
      </w:pPr>
      <w:rPr>
        <w:rFonts w:hAnsi="Wingdings" w:ascii="Wingdings" w:hint="default"/>
      </w:rPr>
    </w:lvl>
    <w:lvl w:tentative="true" w:tplc="041A0001" w:ilvl="3">
      <w:start w:val="1"/>
      <w:numFmt w:val="bullet"/>
      <w:lvlText w:val=""/>
      <w:lvlJc w:val="left"/>
      <w:pPr>
        <w:ind w:hanging="360" w:left="2820"/>
      </w:pPr>
      <w:rPr>
        <w:rFonts w:hAnsi="Symbol" w:ascii="Symbol" w:hint="default"/>
      </w:rPr>
    </w:lvl>
    <w:lvl w:tentative="true" w:tplc="041A0003" w:ilvl="4">
      <w:start w:val="1"/>
      <w:numFmt w:val="bullet"/>
      <w:lvlText w:val="o"/>
      <w:lvlJc w:val="left"/>
      <w:pPr>
        <w:ind w:hanging="360" w:left="3540"/>
      </w:pPr>
      <w:rPr>
        <w:rFonts w:cs="Courier New" w:hAnsi="Courier New" w:ascii="Courier New" w:hint="default"/>
      </w:rPr>
    </w:lvl>
    <w:lvl w:tentative="true" w:tplc="041A0005" w:ilvl="5">
      <w:start w:val="1"/>
      <w:numFmt w:val="bullet"/>
      <w:lvlText w:val=""/>
      <w:lvlJc w:val="left"/>
      <w:pPr>
        <w:ind w:hanging="360" w:left="4260"/>
      </w:pPr>
      <w:rPr>
        <w:rFonts w:hAnsi="Wingdings" w:ascii="Wingdings" w:hint="default"/>
      </w:rPr>
    </w:lvl>
    <w:lvl w:tentative="true" w:tplc="041A0001" w:ilvl="6">
      <w:start w:val="1"/>
      <w:numFmt w:val="bullet"/>
      <w:lvlText w:val=""/>
      <w:lvlJc w:val="left"/>
      <w:pPr>
        <w:ind w:hanging="360" w:left="4980"/>
      </w:pPr>
      <w:rPr>
        <w:rFonts w:hAnsi="Symbol" w:ascii="Symbol" w:hint="default"/>
      </w:rPr>
    </w:lvl>
    <w:lvl w:tentative="true" w:tplc="041A0003" w:ilvl="7">
      <w:start w:val="1"/>
      <w:numFmt w:val="bullet"/>
      <w:lvlText w:val="o"/>
      <w:lvlJc w:val="left"/>
      <w:pPr>
        <w:ind w:hanging="360" w:left="5700"/>
      </w:pPr>
      <w:rPr>
        <w:rFonts w:cs="Courier New" w:hAnsi="Courier New" w:ascii="Courier New" w:hint="default"/>
      </w:rPr>
    </w:lvl>
    <w:lvl w:tentative="true" w:tplc="041A0005" w:ilvl="8">
      <w:start w:val="1"/>
      <w:numFmt w:val="bullet"/>
      <w:lvlText w:val=""/>
      <w:lvlJc w:val="left"/>
      <w:pPr>
        <w:ind w:hanging="360" w:left="6420"/>
      </w:pPr>
      <w:rPr>
        <w:rFonts w:hAnsi="Wingdings" w:ascii="Wingdings" w:hint="default"/>
      </w:rPr>
    </w:lvl>
  </w:abstractNum>
  <w:abstractNum w:abstractNumId="9">
    <w:nsid w:val="05FF3B84"/>
    <w:multiLevelType w:val="multilevel"/>
    <w:tmpl w:val="D69EF458"/>
    <w:lvl w:ilvl="0">
      <w:start w:val="7"/>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0">
    <w:nsid w:val="06342A21"/>
    <w:multiLevelType w:val="multilevel"/>
    <w:tmpl w:val="F2B46A7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4"/>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1">
    <w:nsid w:val="077A7AF2"/>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12">
    <w:nsid w:val="095B0C10"/>
    <w:multiLevelType w:val="multilevel"/>
    <w:tmpl w:val="C83889D4"/>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3"/>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3">
    <w:nsid w:val="1B6F3043"/>
    <w:multiLevelType w:val="hybridMultilevel"/>
    <w:tmpl w:val="04E667DE"/>
    <w:lvl w:tplc="28D4D644"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1C11615"/>
    <w:multiLevelType w:val="hybridMultilevel"/>
    <w:tmpl w:val="11CE882C"/>
    <w:lvl w:tplc="A880A48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570632A"/>
    <w:multiLevelType w:val="multilevel"/>
    <w:tmpl w:val="09847B9C"/>
    <w:lvl w:ilvl="0">
      <w:start w:val="8"/>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16">
    <w:nsid w:val="26735076"/>
    <w:multiLevelType w:val="multilevel"/>
    <w:tmpl w:val="5AA27B0E"/>
    <w:lvl w:ilvl="0">
      <w:start w:val="5"/>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7">
    <w:nsid w:val="284646C0"/>
    <w:multiLevelType w:val="multilevel"/>
    <w:tmpl w:val="C9DC6FB6"/>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1"/>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18">
    <w:nsid w:val="2A4377D2"/>
    <w:multiLevelType w:val="hybridMultilevel"/>
    <w:tmpl w:val="372E5646"/>
    <w:lvl w:tplc="B890DF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2AF775C0"/>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0">
    <w:nsid w:val="31F660F0"/>
    <w:multiLevelType w:val="multilevel"/>
    <w:tmpl w:val="39469DB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8"/>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1">
    <w:nsid w:val="360771A0"/>
    <w:multiLevelType w:val="hybridMultilevel"/>
    <w:tmpl w:val="11CE882C"/>
    <w:lvl w:tplc="A880A48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4F524D8"/>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3">
    <w:nsid w:val="47A4114A"/>
    <w:multiLevelType w:val="hybridMultilevel"/>
    <w:tmpl w:val="66926C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A957E3E"/>
    <w:multiLevelType w:val="multilevel"/>
    <w:tmpl w:val="D4BE0F9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8"/>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5">
    <w:nsid w:val="4C006870"/>
    <w:multiLevelType w:val="multilevel"/>
    <w:tmpl w:val="AB5A4BF2"/>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6"/>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6">
    <w:nsid w:val="4E4B559E"/>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7">
    <w:nsid w:val="522C280B"/>
    <w:multiLevelType w:val="multilevel"/>
    <w:tmpl w:val="588ECA76"/>
    <w:lvl w:ilvl="0">
      <w:start w:val="6"/>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b w:val="false"/>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28">
    <w:nsid w:val="54E21EA9"/>
    <w:multiLevelType w:val="hybridMultilevel"/>
    <w:tmpl w:val="5560CA2A"/>
    <w:lvl w:tplc="B770BD22"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9">
    <w:nsid w:val="576B795F"/>
    <w:multiLevelType w:val="multilevel"/>
    <w:tmpl w:val="11CC21B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1"/>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0">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C5163A5"/>
    <w:multiLevelType w:val="multilevel"/>
    <w:tmpl w:val="DD4AFE7C"/>
    <w:lvl w:ilvl="0">
      <w:start w:val="6"/>
      <w:numFmt w:val="decimal"/>
      <w:lvlText w:val="%1."/>
      <w:lvlJc w:val="left"/>
      <w:pPr>
        <w:ind w:hanging="720" w:left="720"/>
      </w:pPr>
      <w:rPr>
        <w:rFonts w:hint="default"/>
        <w:b w:val="false"/>
      </w:rPr>
    </w:lvl>
    <w:lvl w:ilvl="1">
      <w:start w:val="2"/>
      <w:numFmt w:val="decimal"/>
      <w:lvlText w:val="%1.%2."/>
      <w:lvlJc w:val="left"/>
      <w:pPr>
        <w:ind w:hanging="720" w:left="960"/>
      </w:pPr>
      <w:rPr>
        <w:rFonts w:hint="default"/>
        <w:b w:val="false"/>
      </w:rPr>
    </w:lvl>
    <w:lvl w:ilvl="2">
      <w:start w:val="5"/>
      <w:numFmt w:val="decimal"/>
      <w:lvlText w:val="%1.%2.%3."/>
      <w:lvlJc w:val="left"/>
      <w:pPr>
        <w:ind w:hanging="720" w:left="1200"/>
      </w:pPr>
      <w:rPr>
        <w:rFonts w:hint="default"/>
        <w:b w:val="false"/>
      </w:rPr>
    </w:lvl>
    <w:lvl w:ilvl="3">
      <w:start w:val="1"/>
      <w:numFmt w:val="decimal"/>
      <w:lvlText w:val="%1.%2.%3.%4."/>
      <w:lvlJc w:val="left"/>
      <w:pPr>
        <w:ind w:hanging="720" w:left="1440"/>
      </w:pPr>
      <w:rPr>
        <w:rFonts w:hint="default"/>
        <w:b w:val="false"/>
      </w:rPr>
    </w:lvl>
    <w:lvl w:ilvl="4">
      <w:start w:val="1"/>
      <w:numFmt w:val="decimal"/>
      <w:lvlText w:val="%1.%2.%3.%4.%5."/>
      <w:lvlJc w:val="left"/>
      <w:pPr>
        <w:ind w:hanging="1080" w:left="2040"/>
      </w:pPr>
      <w:rPr>
        <w:rFonts w:hint="default"/>
        <w:b w:val="false"/>
      </w:rPr>
    </w:lvl>
    <w:lvl w:ilvl="5">
      <w:start w:val="1"/>
      <w:numFmt w:val="decimal"/>
      <w:lvlText w:val="%1.%2.%3.%4.%5.%6."/>
      <w:lvlJc w:val="left"/>
      <w:pPr>
        <w:ind w:hanging="1080" w:left="2280"/>
      </w:pPr>
      <w:rPr>
        <w:rFonts w:hint="default"/>
        <w:b w:val="false"/>
      </w:rPr>
    </w:lvl>
    <w:lvl w:ilvl="6">
      <w:start w:val="1"/>
      <w:numFmt w:val="decimal"/>
      <w:lvlText w:val="%1.%2.%3.%4.%5.%6.%7."/>
      <w:lvlJc w:val="left"/>
      <w:pPr>
        <w:ind w:hanging="1440" w:left="2880"/>
      </w:pPr>
      <w:rPr>
        <w:rFonts w:hint="default"/>
        <w:b w:val="false"/>
      </w:rPr>
    </w:lvl>
    <w:lvl w:ilvl="7">
      <w:start w:val="1"/>
      <w:numFmt w:val="decimal"/>
      <w:lvlText w:val="%1.%2.%3.%4.%5.%6.%7.%8."/>
      <w:lvlJc w:val="left"/>
      <w:pPr>
        <w:ind w:hanging="1440" w:left="3120"/>
      </w:pPr>
      <w:rPr>
        <w:rFonts w:hint="default"/>
        <w:b w:val="false"/>
      </w:rPr>
    </w:lvl>
    <w:lvl w:ilvl="8">
      <w:start w:val="1"/>
      <w:numFmt w:val="decimal"/>
      <w:lvlText w:val="%1.%2.%3.%4.%5.%6.%7.%8.%9."/>
      <w:lvlJc w:val="left"/>
      <w:pPr>
        <w:ind w:hanging="1800" w:left="3720"/>
      </w:pPr>
      <w:rPr>
        <w:rFonts w:hint="default"/>
        <w:b w:val="false"/>
      </w:rPr>
    </w:lvl>
  </w:abstractNum>
  <w:abstractNum w:abstractNumId="32">
    <w:nsid w:val="61572499"/>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3">
    <w:nsid w:val="61AB19C8"/>
    <w:multiLevelType w:val="multilevel"/>
    <w:tmpl w:val="64CC46A6"/>
    <w:lvl w:ilvl="0">
      <w:start w:val="4"/>
      <w:numFmt w:val="decimal"/>
      <w:lvlText w:val="%1."/>
      <w:lvlJc w:val="left"/>
      <w:pPr>
        <w:ind w:hanging="720" w:left="720"/>
      </w:pPr>
      <w:rPr>
        <w:rFonts w:hint="default"/>
        <w:color w:val="FF0000"/>
      </w:rPr>
    </w:lvl>
    <w:lvl w:ilvl="1">
      <w:start w:val="1"/>
      <w:numFmt w:val="decimal"/>
      <w:lvlText w:val="%1.%2."/>
      <w:lvlJc w:val="left"/>
      <w:pPr>
        <w:ind w:hanging="720" w:left="960"/>
      </w:pPr>
      <w:rPr>
        <w:rFonts w:hint="default"/>
        <w:color w:val="FF0000"/>
      </w:rPr>
    </w:lvl>
    <w:lvl w:ilvl="2">
      <w:start w:val="1"/>
      <w:numFmt w:val="decimal"/>
      <w:lvlText w:val="%1.%2.%3."/>
      <w:lvlJc w:val="left"/>
      <w:pPr>
        <w:ind w:hanging="720" w:left="1200"/>
      </w:pPr>
      <w:rPr>
        <w:rFonts w:hint="default"/>
        <w:color w:val="auto"/>
      </w:rPr>
    </w:lvl>
    <w:lvl w:ilvl="3">
      <w:start w:val="1"/>
      <w:numFmt w:val="decimal"/>
      <w:lvlText w:val="%1.%2.%3.%4."/>
      <w:lvlJc w:val="left"/>
      <w:pPr>
        <w:ind w:hanging="720" w:left="1440"/>
      </w:pPr>
      <w:rPr>
        <w:rFonts w:hint="default"/>
        <w:b w:val="false"/>
        <w:color w:val="auto"/>
      </w:rPr>
    </w:lvl>
    <w:lvl w:ilvl="4">
      <w:start w:val="1"/>
      <w:numFmt w:val="decimal"/>
      <w:lvlText w:val="%1.%2.%3.%4.%5."/>
      <w:lvlJc w:val="left"/>
      <w:pPr>
        <w:ind w:hanging="1080" w:left="2040"/>
      </w:pPr>
      <w:rPr>
        <w:rFonts w:hint="default"/>
        <w:color w:val="FF0000"/>
      </w:rPr>
    </w:lvl>
    <w:lvl w:ilvl="5">
      <w:start w:val="1"/>
      <w:numFmt w:val="decimal"/>
      <w:lvlText w:val="%1.%2.%3.%4.%5.%6."/>
      <w:lvlJc w:val="left"/>
      <w:pPr>
        <w:ind w:hanging="1080" w:left="2280"/>
      </w:pPr>
      <w:rPr>
        <w:rFonts w:hint="default"/>
        <w:color w:val="FF0000"/>
      </w:rPr>
    </w:lvl>
    <w:lvl w:ilvl="6">
      <w:start w:val="1"/>
      <w:numFmt w:val="decimal"/>
      <w:lvlText w:val="%1.%2.%3.%4.%5.%6.%7."/>
      <w:lvlJc w:val="left"/>
      <w:pPr>
        <w:ind w:hanging="1440" w:left="2880"/>
      </w:pPr>
      <w:rPr>
        <w:rFonts w:hint="default"/>
        <w:color w:val="FF0000"/>
      </w:rPr>
    </w:lvl>
    <w:lvl w:ilvl="7">
      <w:start w:val="1"/>
      <w:numFmt w:val="decimal"/>
      <w:lvlText w:val="%1.%2.%3.%4.%5.%6.%7.%8."/>
      <w:lvlJc w:val="left"/>
      <w:pPr>
        <w:ind w:hanging="1440" w:left="3120"/>
      </w:pPr>
      <w:rPr>
        <w:rFonts w:hint="default"/>
        <w:color w:val="FF0000"/>
      </w:rPr>
    </w:lvl>
    <w:lvl w:ilvl="8">
      <w:start w:val="1"/>
      <w:numFmt w:val="decimal"/>
      <w:lvlText w:val="%1.%2.%3.%4.%5.%6.%7.%8.%9."/>
      <w:lvlJc w:val="left"/>
      <w:pPr>
        <w:ind w:hanging="1800" w:left="3720"/>
      </w:pPr>
      <w:rPr>
        <w:rFonts w:hint="default"/>
        <w:color w:val="FF0000"/>
      </w:rPr>
    </w:lvl>
  </w:abstractNum>
  <w:abstractNum w:abstractNumId="34">
    <w:nsid w:val="64265332"/>
    <w:multiLevelType w:val="multilevel"/>
    <w:tmpl w:val="BA1693C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0"/>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5">
    <w:nsid w:val="646D71D5"/>
    <w:multiLevelType w:val="multilevel"/>
    <w:tmpl w:val="91CEF170"/>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6">
    <w:nsid w:val="6D855992"/>
    <w:multiLevelType w:val="multilevel"/>
    <w:tmpl w:val="0658D4D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7"/>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7">
    <w:nsid w:val="707D4730"/>
    <w:multiLevelType w:val="multilevel"/>
    <w:tmpl w:val="9C9A4BEE"/>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6"/>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8">
    <w:nsid w:val="71CF6A49"/>
    <w:multiLevelType w:val="multilevel"/>
    <w:tmpl w:val="981C0032"/>
    <w:lvl w:ilvl="0">
      <w:start w:val="7"/>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39">
    <w:nsid w:val="72AC77B6"/>
    <w:multiLevelType w:val="hybridMultilevel"/>
    <w:tmpl w:val="E67CC4A0"/>
    <w:lvl w:tplc="431639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5E237B9"/>
    <w:multiLevelType w:val="multilevel"/>
    <w:tmpl w:val="C498871C"/>
    <w:lvl w:ilvl="0">
      <w:start w:val="4"/>
      <w:numFmt w:val="decimal"/>
      <w:lvlText w:val="%1."/>
      <w:lvlJc w:val="left"/>
      <w:pPr>
        <w:ind w:hanging="720" w:left="720"/>
      </w:pPr>
      <w:rPr>
        <w:rFonts w:hint="default"/>
        <w:b w:val="false"/>
      </w:rPr>
    </w:lvl>
    <w:lvl w:ilvl="1">
      <w:start w:val="1"/>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41">
    <w:nsid w:val="77490723"/>
    <w:multiLevelType w:val="hybridMultilevel"/>
    <w:tmpl w:val="11CE882C"/>
    <w:lvl w:tplc="A880A48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A8C1B2C"/>
    <w:multiLevelType w:val="multilevel"/>
    <w:tmpl w:val="30E639E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2"/>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43">
    <w:nsid w:val="7A9A26AF"/>
    <w:multiLevelType w:val="multilevel"/>
    <w:tmpl w:val="6E148E78"/>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5"/>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44">
    <w:nsid w:val="7E933402"/>
    <w:multiLevelType w:val="multilevel"/>
    <w:tmpl w:val="FA98507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7"/>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num w:numId="1">
    <w:abstractNumId w:val="30"/>
  </w:num>
  <w:num w:numId="2">
    <w:abstractNumId w:val="0"/>
  </w:num>
  <w:num w:numId="3">
    <w:abstractNumId w:val="18"/>
  </w:num>
  <w:num w:numId="4">
    <w:abstractNumId w:val="1"/>
  </w:num>
  <w:num w:numId="5">
    <w:abstractNumId w:val="2"/>
  </w:num>
  <w:num w:numId="6">
    <w:abstractNumId w:val="13"/>
  </w:num>
  <w:num w:numId="7">
    <w:abstractNumId w:val="32"/>
  </w:num>
  <w:num w:numId="8">
    <w:abstractNumId w:val="26"/>
  </w:num>
  <w:num w:numId="9">
    <w:abstractNumId w:val="11"/>
  </w:num>
  <w:num w:numId="10">
    <w:abstractNumId w:val="3"/>
  </w:num>
  <w:num w:numId="11">
    <w:abstractNumId w:val="4"/>
    <w:lvlOverride w:ilvl="0">
      <w:lvl w:ilvl="0">
        <w:start w:val="4"/>
        <w:numFmt w:val="decimal"/>
        <w:lvlText w:val="%1."/>
        <w:lvlJc w:val="left"/>
        <w:pPr>
          <w:ind w:hanging="720" w:left="720"/>
        </w:pPr>
        <w:rPr>
          <w:rFonts w:cs="Times New Roman" w:hint="default"/>
          <w:b w:val="false"/>
          <w:color w:val="0000FF"/>
          <w:u w:val="double"/>
        </w:rPr>
      </w:lvl>
    </w:lvlOverride>
    <w:lvlOverride w:ilvl="1">
      <w:lvl w:ilvl="1">
        <w:start w:val="1"/>
        <w:numFmt w:val="decimal"/>
        <w:lvlText w:val="%1.%2."/>
        <w:lvlJc w:val="left"/>
        <w:pPr>
          <w:ind w:hanging="720" w:left="960"/>
        </w:pPr>
        <w:rPr>
          <w:rFonts w:cs="Times New Roman" w:hint="eastAsia"/>
          <w:b w:val="false"/>
          <w:color w:val="auto"/>
          <w:u w:val="none"/>
        </w:rPr>
      </w:lvl>
    </w:lvlOverride>
    <w:lvlOverride w:ilvl="2">
      <w:lvl w:ilvl="2">
        <w:start w:val="2"/>
        <w:numFmt w:val="decimal"/>
        <w:lvlText w:val="%1.%2.%3."/>
        <w:lvlJc w:val="left"/>
        <w:pPr>
          <w:ind w:hanging="720" w:left="1200"/>
        </w:pPr>
        <w:rPr>
          <w:rFonts w:cs="Times New Roman" w:hint="cs"/>
          <w:b w:val="false"/>
          <w:color w:val="0000FF"/>
          <w:u w:val="double"/>
        </w:rPr>
      </w:lvl>
    </w:lvlOverride>
    <w:lvlOverride w:ilvl="3">
      <w:lvl w:ilvl="3">
        <w:start w:val="1"/>
        <w:numFmt w:val="decimal"/>
        <w:lvlText w:val="%1.%2.%3.%4."/>
        <w:lvlJc w:val="left"/>
        <w:pPr>
          <w:ind w:hanging="720" w:left="1855"/>
        </w:pPr>
        <w:rPr>
          <w:rFonts w:cs="Times New Roman" w:hint="eastAsia"/>
          <w:b w:val="false"/>
          <w:color w:val="auto"/>
          <w:u w:val="none"/>
        </w:rPr>
      </w:lvl>
    </w:lvlOverride>
    <w:lvlOverride w:ilvl="4">
      <w:lvl w:ilvl="4">
        <w:start w:val="1"/>
        <w:numFmt w:val="decimal"/>
        <w:lvlText w:val="%1.%2.%3.%4.%5."/>
        <w:lvlJc w:val="left"/>
        <w:pPr>
          <w:ind w:hanging="1080" w:left="2040"/>
        </w:pPr>
        <w:rPr>
          <w:rFonts w:cs="Times New Roman" w:hint="eastAsia"/>
          <w:b w:val="false"/>
          <w:color w:val="0000FF"/>
          <w:u w:val="double"/>
        </w:rPr>
      </w:lvl>
    </w:lvlOverride>
    <w:lvlOverride w:ilvl="5">
      <w:lvl w:ilvl="5">
        <w:start w:val="1"/>
        <w:numFmt w:val="decimal"/>
        <w:lvlText w:val="%1.%2.%3.%4.%5.%6."/>
        <w:lvlJc w:val="left"/>
        <w:pPr>
          <w:ind w:hanging="1080" w:left="2280"/>
        </w:pPr>
        <w:rPr>
          <w:rFonts w:cs="Times New Roman" w:hint="eastAsia"/>
          <w:b w:val="false"/>
          <w:color w:val="0000FF"/>
          <w:u w:val="double"/>
        </w:rPr>
      </w:lvl>
    </w:lvlOverride>
    <w:lvlOverride w:ilvl="6">
      <w:lvl w:ilvl="6">
        <w:start w:val="1"/>
        <w:numFmt w:val="decimal"/>
        <w:lvlText w:val="%1.%2.%3.%4.%5.%6.%7."/>
        <w:lvlJc w:val="left"/>
        <w:pPr>
          <w:ind w:hanging="1440" w:left="2880"/>
        </w:pPr>
        <w:rPr>
          <w:rFonts w:cs="Times New Roman" w:hint="eastAsia"/>
          <w:b w:val="false"/>
          <w:color w:val="0000FF"/>
          <w:u w:val="double"/>
        </w:rPr>
      </w:lvl>
    </w:lvlOverride>
    <w:lvlOverride w:ilvl="7">
      <w:lvl w:ilvl="7">
        <w:start w:val="1"/>
        <w:numFmt w:val="decimal"/>
        <w:lvlText w:val="%1.%2.%3.%4.%5.%6.%7.%8."/>
        <w:lvlJc w:val="left"/>
        <w:pPr>
          <w:ind w:hanging="1440" w:left="3120"/>
        </w:pPr>
        <w:rPr>
          <w:rFonts w:cs="Times New Roman" w:hint="eastAsia"/>
          <w:b w:val="false"/>
          <w:color w:val="0000FF"/>
          <w:u w:val="double"/>
        </w:rPr>
      </w:lvl>
    </w:lvlOverride>
    <w:lvlOverride w:ilvl="8">
      <w:lvl w:ilvl="8">
        <w:start w:val="1"/>
        <w:numFmt w:val="decimal"/>
        <w:lvlText w:val="%1.%2.%3.%4.%5.%6.%7.%8.%9."/>
        <w:lvlJc w:val="left"/>
        <w:pPr>
          <w:ind w:hanging="1800" w:left="3720"/>
        </w:pPr>
        <w:rPr>
          <w:rFonts w:cs="Times New Roman" w:hint="eastAsia"/>
          <w:b w:val="false"/>
          <w:color w:val="0000FF"/>
          <w:u w:val="double"/>
        </w:rPr>
      </w:lvl>
    </w:lvlOverride>
  </w:num>
  <w:num w:numId="12">
    <w:abstractNumId w:val="33"/>
  </w:num>
  <w:num w:numId="13">
    <w:abstractNumId w:val="40"/>
  </w:num>
  <w:num w:numId="14">
    <w:abstractNumId w:val="22"/>
  </w:num>
  <w:num w:numId="15">
    <w:abstractNumId w:val="19"/>
  </w:num>
  <w:num w:numId="16">
    <w:abstractNumId w:val="16"/>
  </w:num>
  <w:num w:numId="17">
    <w:abstractNumId w:val="27"/>
  </w:num>
  <w:num w:numId="18">
    <w:abstractNumId w:val="5"/>
  </w:num>
  <w:num w:numId="19">
    <w:abstractNumId w:val="17"/>
  </w:num>
  <w:num w:numId="20">
    <w:abstractNumId w:val="35"/>
  </w:num>
  <w:num w:numId="21">
    <w:abstractNumId w:val="6"/>
  </w:num>
  <w:num w:numId="22">
    <w:abstractNumId w:val="31"/>
  </w:num>
  <w:num w:numId="23">
    <w:abstractNumId w:val="25"/>
  </w:num>
  <w:num w:numId="24">
    <w:abstractNumId w:val="44"/>
  </w:num>
  <w:num w:numId="25">
    <w:abstractNumId w:val="24"/>
  </w:num>
  <w:num w:numId="26">
    <w:abstractNumId w:val="7"/>
  </w:num>
  <w:num w:numId="27">
    <w:abstractNumId w:val="34"/>
  </w:num>
  <w:num w:numId="28">
    <w:abstractNumId w:val="29"/>
  </w:num>
  <w:num w:numId="29">
    <w:abstractNumId w:val="42"/>
  </w:num>
  <w:num w:numId="30">
    <w:abstractNumId w:val="12"/>
  </w:num>
  <w:num w:numId="31">
    <w:abstractNumId w:val="10"/>
  </w:num>
  <w:num w:numId="32">
    <w:abstractNumId w:val="43"/>
  </w:num>
  <w:num w:numId="33">
    <w:abstractNumId w:val="37"/>
  </w:num>
  <w:num w:numId="34">
    <w:abstractNumId w:val="36"/>
  </w:num>
  <w:num w:numId="35">
    <w:abstractNumId w:val="20"/>
  </w:num>
  <w:num w:numId="36">
    <w:abstractNumId w:val="38"/>
  </w:num>
  <w:num w:numId="37">
    <w:abstractNumId w:val="9"/>
  </w:num>
  <w:num w:numId="38">
    <w:abstractNumId w:val="15"/>
  </w:num>
  <w:num w:numId="39">
    <w:abstractNumId w:val="28"/>
  </w:num>
  <w:num w:numId="40">
    <w:abstractNumId w:val="39"/>
  </w:num>
  <w:num w:numId="41">
    <w:abstractNumId w:val="41"/>
  </w:num>
  <w:num w:numId="42">
    <w:abstractNumId w:val="23"/>
  </w:num>
  <w:num w:numId="43">
    <w:abstractNumId w:val="21"/>
  </w:num>
  <w:num w:numId="44">
    <w:abstractNumId w:val="14"/>
  </w:num>
  <w:num w:numId="4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71A3"/>
    <w:rsid w:val="000416E9"/>
    <w:rsid w:val="000B652C"/>
    <w:rsid w:val="000F3204"/>
    <w:rsid w:val="00102683"/>
    <w:rsid w:val="001279FA"/>
    <w:rsid w:val="0013022A"/>
    <w:rsid w:val="00137A6F"/>
    <w:rsid w:val="00142BC2"/>
    <w:rsid w:val="00160367"/>
    <w:rsid w:val="00185E79"/>
    <w:rsid w:val="001A4297"/>
    <w:rsid w:val="001D32BE"/>
    <w:rsid w:val="001F16D0"/>
    <w:rsid w:val="00220256"/>
    <w:rsid w:val="00224B33"/>
    <w:rsid w:val="00236360"/>
    <w:rsid w:val="002646BB"/>
    <w:rsid w:val="00267B53"/>
    <w:rsid w:val="00287B88"/>
    <w:rsid w:val="002E7018"/>
    <w:rsid w:val="002F2A3D"/>
    <w:rsid w:val="002F6223"/>
    <w:rsid w:val="00316722"/>
    <w:rsid w:val="00384FA0"/>
    <w:rsid w:val="00397CF6"/>
    <w:rsid w:val="003C1F69"/>
    <w:rsid w:val="00417C69"/>
    <w:rsid w:val="00452111"/>
    <w:rsid w:val="004571B0"/>
    <w:rsid w:val="0047233D"/>
    <w:rsid w:val="00480963"/>
    <w:rsid w:val="0048387A"/>
    <w:rsid w:val="00492B31"/>
    <w:rsid w:val="004A30E4"/>
    <w:rsid w:val="004B4ED8"/>
    <w:rsid w:val="00541C4A"/>
    <w:rsid w:val="005D3DC4"/>
    <w:rsid w:val="005D5C1D"/>
    <w:rsid w:val="005E2458"/>
    <w:rsid w:val="005F2416"/>
    <w:rsid w:val="005F4A28"/>
    <w:rsid w:val="0060240D"/>
    <w:rsid w:val="006112BA"/>
    <w:rsid w:val="00617B5D"/>
    <w:rsid w:val="0066310F"/>
    <w:rsid w:val="00665541"/>
    <w:rsid w:val="00665B79"/>
    <w:rsid w:val="00685D31"/>
    <w:rsid w:val="00693049"/>
    <w:rsid w:val="006B4299"/>
    <w:rsid w:val="006B6C27"/>
    <w:rsid w:val="00715BF3"/>
    <w:rsid w:val="00721A52"/>
    <w:rsid w:val="007249B9"/>
    <w:rsid w:val="00750799"/>
    <w:rsid w:val="007568D8"/>
    <w:rsid w:val="00787B08"/>
    <w:rsid w:val="007A26BA"/>
    <w:rsid w:val="007C3E20"/>
    <w:rsid w:val="007F4799"/>
    <w:rsid w:val="00801FFD"/>
    <w:rsid w:val="00854E26"/>
    <w:rsid w:val="00854F29"/>
    <w:rsid w:val="008A43B1"/>
    <w:rsid w:val="008C0B3F"/>
    <w:rsid w:val="008C3780"/>
    <w:rsid w:val="008F14AF"/>
    <w:rsid w:val="009467EC"/>
    <w:rsid w:val="0095755A"/>
    <w:rsid w:val="00973474"/>
    <w:rsid w:val="009746A7"/>
    <w:rsid w:val="0099798D"/>
    <w:rsid w:val="009A2D87"/>
    <w:rsid w:val="009B5B72"/>
    <w:rsid w:val="009C3348"/>
    <w:rsid w:val="009F029C"/>
    <w:rsid w:val="00A14E7B"/>
    <w:rsid w:val="00A2094F"/>
    <w:rsid w:val="00A375BF"/>
    <w:rsid w:val="00A53B05"/>
    <w:rsid w:val="00A71911"/>
    <w:rsid w:val="00A740C2"/>
    <w:rsid w:val="00A76A65"/>
    <w:rsid w:val="00A9737D"/>
    <w:rsid w:val="00AA576C"/>
    <w:rsid w:val="00AB18B0"/>
    <w:rsid w:val="00AE4548"/>
    <w:rsid w:val="00AE5CD7"/>
    <w:rsid w:val="00B142C6"/>
    <w:rsid w:val="00B151E2"/>
    <w:rsid w:val="00B31FA4"/>
    <w:rsid w:val="00B60567"/>
    <w:rsid w:val="00B6244B"/>
    <w:rsid w:val="00B8649E"/>
    <w:rsid w:val="00BC401B"/>
    <w:rsid w:val="00BD3878"/>
    <w:rsid w:val="00BE1D21"/>
    <w:rsid w:val="00C04929"/>
    <w:rsid w:val="00C263EF"/>
    <w:rsid w:val="00C56C21"/>
    <w:rsid w:val="00C60F52"/>
    <w:rsid w:val="00C91B7D"/>
    <w:rsid w:val="00CB4BE0"/>
    <w:rsid w:val="00CD261A"/>
    <w:rsid w:val="00CD5345"/>
    <w:rsid w:val="00CF4970"/>
    <w:rsid w:val="00D0384A"/>
    <w:rsid w:val="00D22023"/>
    <w:rsid w:val="00D23CFB"/>
    <w:rsid w:val="00D7748E"/>
    <w:rsid w:val="00D80B19"/>
    <w:rsid w:val="00D84558"/>
    <w:rsid w:val="00DB25A3"/>
    <w:rsid w:val="00DC59E7"/>
    <w:rsid w:val="00DC7416"/>
    <w:rsid w:val="00DD60BF"/>
    <w:rsid w:val="00DF623E"/>
    <w:rsid w:val="00E05CA8"/>
    <w:rsid w:val="00E11052"/>
    <w:rsid w:val="00E11B8C"/>
    <w:rsid w:val="00E31B09"/>
    <w:rsid w:val="00E34585"/>
    <w:rsid w:val="00E47F9C"/>
    <w:rsid w:val="00E523CB"/>
    <w:rsid w:val="00E6754F"/>
    <w:rsid w:val="00E945C9"/>
    <w:rsid w:val="00EA1278"/>
    <w:rsid w:val="00EA4705"/>
    <w:rsid w:val="00EB1E0F"/>
    <w:rsid w:val="00EE1BF5"/>
    <w:rsid w:val="00EF1525"/>
    <w:rsid w:val="00F86320"/>
    <w:rsid w:val="00FB5351"/>
    <w:rsid w:val="00FC3D40"/>
    <w:rsid w:val="00FC43EE"/>
    <w:rsid w:val="00FC4657"/>
    <w:rsid w:val="00FC4E85"/>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9" w:name="heading 2"/>
    <w:lsdException w:qFormat="true" w:unhideWhenUsed="true" w:semiHidden="true" w:uiPriority="9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annotation text"/>
    <w:lsdException w:uiPriority="99" w:name="header"/>
    <w:lsdException w:uiPriority="99" w:name="footer"/>
    <w:lsdException w:qFormat="true" w:unhideWhenUsed="true" w:semiHidden="true" w:uiPriority="35" w:name="caption"/>
    <w:lsdException w:uiPriority="99" w:name="annotation reference"/>
    <w:lsdException w:uiPriority="99" w:name="List"/>
    <w:lsdException w:qFormat="true" w:name="Title"/>
    <w:lsdException w:uiPriority="99" w:name="Body Text"/>
    <w:lsdException w:qFormat="true" w:name="Subtitle"/>
    <w:lsdException w:uiPriority="99" w:name="Hyperlink"/>
    <w:lsdException w:uiPriority="99" w:name="FollowedHyperlink"/>
    <w:lsdException w:qFormat="true" w:name="Strong"/>
    <w:lsdException w:qFormat="true" w:name="Emphasis"/>
    <w:lsdException w:uiPriority="99" w:name="Document Map"/>
    <w:lsdException w:uiPriority="99" w:name="annotation subject"/>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
    <w:qFormat/>
    <w:rsid w:val="00750799"/>
    <w:pPr>
      <w:keepNext/>
      <w:autoSpaceDE w:val="false"/>
      <w:autoSpaceDN w:val="false"/>
      <w:adjustRightInd w:val="false"/>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uiPriority w:val="99"/>
    <w:rsid w:val="00801FFD"/>
    <w:rPr>
      <w:rFonts w:hAnsi="Tahoma" w:ascii="Tahoma"/>
      <w:kern w:val="1"/>
    </w:rPr>
  </w:style>
  <w:style w:styleId="Popis" w:type="paragraph">
    <w:name w:val="List"/>
    <w:basedOn w:val="Tijeloteksta"/>
    <w:uiPriority w:val="99"/>
    <w:rsid w:val="00801FFD"/>
  </w:style>
  <w:style w:styleId="Opisslike" w:type="paragraph">
    <w:name w:val="caption"/>
    <w:basedOn w:val="Normal"/>
    <w:uiPriority w:val="35"/>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uiPriority w:val="99"/>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uiPriority w:val="99"/>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uiPriority w:val="99"/>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uiPriority w:val="99"/>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uiPriority w:val="99"/>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uiPriority w:val="99"/>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uiPriority w:val="99"/>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A71911"/>
    <w:rPr>
      <w:color w:val="808080"/>
      <w:bdr w:space="0" w:sz="0" w:color="auto" w:val="none"/>
      <w:shd w:fill="auto" w:color="auto" w:val="clear"/>
    </w:rPr>
  </w:style>
  <w:style w:customStyle="true" w:styleId="eSPISCCParagraphDefaultFont" w:type="character">
    <w:name w:val="eSPIS_CC_Paragraph Default Font"/>
    <w:basedOn w:val="Zadanifontodlomka"/>
    <w:rsid w:val="00A71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911"/>
    <w:rPr>
      <w:bdr w:space="0" w:sz="0" w:color="auto" w:val="none"/>
      <w:shd w:fill="FFFFCC" w:color="auto" w:val="clear"/>
      <w:lang w:val="hr-HR"/>
    </w:rPr>
  </w:style>
  <w:style w:customStyle="true" w:styleId="PozadinaSvijetloCrvena" w:type="character">
    <w:name w:val="Pozadina_SvijetloCrvena"/>
    <w:basedOn w:val="eSPISCCParagraphDefaultFont"/>
    <w:rsid w:val="00A71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911"/>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uiPriority w:val="9"/>
    <w:rsid w:val="00750799"/>
    <w:rPr>
      <w:rFonts w:eastAsiaTheme="minorEastAsia"/>
      <w:i/>
      <w:sz w:val="18"/>
      <w:szCs w:val="24"/>
      <w:lang w:val="en-US"/>
    </w:rPr>
  </w:style>
  <w:style w:styleId="Reetkatablice" w:type="table">
    <w:name w:val="Table Grid"/>
    <w:basedOn w:val="Obinatablica"/>
    <w:uiPriority w:val="59"/>
    <w:rsid w:val="0075079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rsid w:val="00750799"/>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750799"/>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750799"/>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750799"/>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DeltaViewInsertion" w:type="character">
    <w:name w:val="DeltaView Insertion"/>
    <w:uiPriority w:val="99"/>
    <w:rsid w:val="00750799"/>
    <w:rPr>
      <w:color w:val="0000FF"/>
      <w:u w:val="double"/>
    </w:rPr>
  </w:style>
  <w:style w:customStyle="true" w:styleId="DeltaViewDeletion" w:type="character">
    <w:name w:val="DeltaView Deletion"/>
    <w:uiPriority w:val="99"/>
    <w:rsid w:val="00750799"/>
    <w:rPr>
      <w:strike/>
      <w:color w:val="FF0000"/>
    </w:rPr>
  </w:style>
  <w:style w:customStyle="true" w:styleId="DeltaViewMoveSource" w:type="character">
    <w:name w:val="DeltaView Move Source"/>
    <w:uiPriority w:val="99"/>
    <w:rsid w:val="00750799"/>
    <w:rPr>
      <w:strike/>
      <w:color w:val="00C000"/>
    </w:rPr>
  </w:style>
  <w:style w:customStyle="true" w:styleId="DeltaViewMoveDestination" w:type="character">
    <w:name w:val="DeltaView Move Destination"/>
    <w:uiPriority w:val="99"/>
    <w:rsid w:val="00750799"/>
    <w:rPr>
      <w:color w:val="00C000"/>
      <w:u w:val="double"/>
    </w:rPr>
  </w:style>
  <w:style w:customStyle="true" w:styleId="DeltaViewChangeNumber" w:type="character">
    <w:name w:val="DeltaView Change Number"/>
    <w:uiPriority w:val="99"/>
    <w:rsid w:val="00750799"/>
    <w:rPr>
      <w:color w:val="000000"/>
      <w:vertAlign w:val="superscript"/>
    </w:rPr>
  </w:style>
  <w:style w:customStyle="true"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750799"/>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750799"/>
    <w:rPr>
      <w:color w:val="000000"/>
    </w:rPr>
  </w:style>
  <w:style w:customStyle="true" w:styleId="DeltaViewMovedDeletion" w:type="character">
    <w:name w:val="DeltaView Moved Deletion"/>
    <w:uiPriority w:val="99"/>
    <w:rsid w:val="00750799"/>
    <w:rPr>
      <w:strike/>
      <w:color w:val="C08080"/>
    </w:rPr>
  </w:style>
  <w:style w:customStyle="true" w:styleId="DeltaViewComment" w:type="character">
    <w:name w:val="DeltaView Comment"/>
    <w:basedOn w:val="Zadanifontodlomka"/>
    <w:uiPriority w:val="99"/>
    <w:rsid w:val="00750799"/>
    <w:rPr>
      <w:color w:val="000000"/>
    </w:rPr>
  </w:style>
  <w:style w:customStyle="true" w:styleId="DeltaViewStyleChangeText" w:type="character">
    <w:name w:val="DeltaView Style Change Text"/>
    <w:uiPriority w:val="99"/>
    <w:rsid w:val="00750799"/>
    <w:rPr>
      <w:color w:val="000000"/>
      <w:u w:val="double"/>
    </w:rPr>
  </w:style>
  <w:style w:customStyle="true" w:styleId="DeltaViewStyleChangeLabel" w:type="character">
    <w:name w:val="DeltaView Style Change Label"/>
    <w:uiPriority w:val="99"/>
    <w:rsid w:val="00750799"/>
    <w:rPr>
      <w:color w:val="000000"/>
    </w:rPr>
  </w:style>
  <w:style w:customStyle="true" w:styleId="DeltaViewInsertedComment" w:type="character">
    <w:name w:val="DeltaView Inserted Comment"/>
    <w:basedOn w:val="DeltaViewComment"/>
    <w:uiPriority w:val="99"/>
    <w:rsid w:val="00750799"/>
    <w:rPr>
      <w:color w:val="0000FF"/>
      <w:u w:val="double"/>
    </w:rPr>
  </w:style>
  <w:style w:customStyle="true" w:styleId="DeltaViewDeletedComment" w:type="character">
    <w:name w:val="DeltaView Deleted Comment"/>
    <w:basedOn w:val="DeltaViewComment"/>
    <w:uiPriority w:val="99"/>
    <w:rsid w:val="00750799"/>
    <w:rPr>
      <w:strike/>
      <w:color w:val="FF0000"/>
    </w:rPr>
  </w:style>
  <w:style w:styleId="Bezproreda" w:type="paragraph">
    <w:name w:val="No Spacing"/>
    <w:link w:val="BezproredaChar"/>
    <w:uiPriority w:val="1"/>
    <w:qFormat/>
    <w:rsid w:val="00B8649E"/>
    <w:rPr>
      <w:rFonts w:cstheme="minorBidi" w:eastAsiaTheme="minorEastAsia" w:hAnsiTheme="minorHAnsi" w:asciiTheme="minorHAnsi"/>
      <w:sz w:val="22"/>
      <w:szCs w:val="22"/>
      <w:lang w:eastAsia="ja-JP" w:val="en-US"/>
    </w:rPr>
  </w:style>
  <w:style w:customStyle="true" w:styleId="BezproredaChar" w:type="character">
    <w:name w:val="Bez proreda Char"/>
    <w:basedOn w:val="Zadanifontodlomka"/>
    <w:link w:val="Bezproreda"/>
    <w:uiPriority w:val="1"/>
    <w:rsid w:val="00B8649E"/>
    <w:rPr>
      <w:rFonts w:cstheme="minorBidi" w:eastAsiaTheme="minorEastAsia" w:hAnsiTheme="minorHAnsi" w:asciiTheme="minorHAnsi"/>
      <w:sz w:val="22"/>
      <w:szCs w:val="22"/>
      <w:lang w:eastAsia="ja-JP"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9" w:unhideWhenUsed="1"/>
    <w:lsdException w:name="heading 3" w:qFormat="1" w:semiHidden="1" w:uiPriority="9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annotation text" w:uiPriority="99"/>
    <w:lsdException w:name="header" w:uiPriority="99"/>
    <w:lsdException w:name="footer" w:uiPriority="99"/>
    <w:lsdException w:name="caption" w:qFormat="1" w:semiHidden="1" w:uiPriority="35" w:unhideWhenUsed="1"/>
    <w:lsdException w:name="annotation reference" w:uiPriority="99"/>
    <w:lsdException w:name="List"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Document Map"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uiPriority w:val="35"/>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
    <w:rsid w:val="00750799"/>
    <w:rPr>
      <w:rFonts w:eastAsiaTheme="minorEastAsia"/>
      <w:i/>
      <w:sz w:val="18"/>
      <w:szCs w:val="24"/>
      <w:lang w:val="en-US"/>
    </w:rPr>
  </w:style>
  <w:style w:styleId="Reetkatablice" w:type="table">
    <w:name w:val="Table Grid"/>
    <w:basedOn w:val="Obinatablica"/>
    <w:uiPriority w:val="59"/>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 w:styleId="Bezproreda" w:type="paragraph">
    <w:name w:val="No Spacing"/>
    <w:link w:val="BezproredaChar"/>
    <w:uiPriority w:val="1"/>
    <w:qFormat/>
    <w:rsid w:val="00B8649E"/>
    <w:rPr>
      <w:rFonts w:asciiTheme="minorHAnsi" w:cstheme="minorBidi" w:eastAsiaTheme="minorEastAsia" w:hAnsiTheme="minorHAnsi"/>
      <w:sz w:val="22"/>
      <w:szCs w:val="22"/>
      <w:lang w:eastAsia="ja-JP" w:val="en-US"/>
    </w:rPr>
  </w:style>
  <w:style w:customStyle="1" w:styleId="BezproredaChar" w:type="character">
    <w:name w:val="Bez proreda Char"/>
    <w:basedOn w:val="Zadanifontodlomka"/>
    <w:link w:val="Bezproreda"/>
    <w:uiPriority w:val="1"/>
    <w:rsid w:val="00B8649E"/>
    <w:rPr>
      <w:rFonts w:asciiTheme="minorHAnsi" w:cstheme="minorBidi" w:eastAsiaTheme="minorEastAsia" w:hAnsiTheme="minorHAnsi"/>
      <w:sz w:val="22"/>
      <w:szCs w:val="22"/>
      <w:lang w:eastAsia="ja-JP"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na zapisniku</izvorni_sadrzaj>
    <derivirana_varijabla naziv="DomainObject.Primjedba_1">rješenje na zapisniku</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3681</izvorni_sadrzaj>
    <derivirana_varijabla naziv="DomainObject.Predmet.Broj_1">3681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St-3681/2016</izvorni_sadrzaj>
    <derivirana_varijabla naziv="DomainObject.Predmet.OznakaBroj_1">St-3681/2016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BEDEM d.o.o. zastupanog po punomoćniku ANTO IVIĆ</izvorni_sadrzaj>
    <derivirana_varijabla naziv="DomainObject.Predmet.ProtustrankaFormated_1">  BEDEM d.o.o. zastupanog po punomoćniku ANTO IVIĆ</derivirana_varijabla>
  </DomainObject.Predmet.ProtustrankaFormated>
  <DomainObject.Predmet.ProtustrankaFormatedOIB>
    <izvorni_sadrzaj>  BEDEM d.o.o., OIB 03461719887 zastupanog po punomoćniku ANTO IVIĆ</izvorni_sadrzaj>
    <derivirana_varijabla naziv="DomainObject.Predmet.ProtustrankaFormatedOIB_1">  BEDEM d.o.o., OIB 03461719887 zastupanog po punomoćniku ANTO IVIĆ</derivirana_varijabla>
  </DomainObject.Predmet.ProtustrankaFormatedOIB>
  <DomainObject.Predmet.ProtustrankaFormatedWithAdress>
    <izvorni_sadrzaj> BEDEM d.o.o., Zagrebačka cesta 190, 10000 Zagreb zastupanog po punomoćniku ANTO IVIĆ</izvorni_sadrzaj>
    <derivirana_varijabla naziv="DomainObject.Predmet.ProtustrankaFormatedWithAdress_1"> BEDEM d.o.o., Zagrebačka cesta 190, 10000 Zagreb zastupanog po punomoćniku ANTO IVIĆ</derivirana_varijabla>
  </DomainObject.Predmet.ProtustrankaFormatedWithAdress>
  <DomainObject.Predmet.ProtustrankaFormatedWithAdressOIB>
    <izvorni_sadrzaj> BEDEM d.o.o., OIB 03461719887, Zagrebačka cesta 190, 10000 Zagreb zastupanog po punomoćniku ANTO IVIĆ</izvorni_sadrzaj>
    <derivirana_varijabla naziv="DomainObject.Predmet.ProtustrankaFormatedWithAdressOIB_1"> BEDEM d.o.o., OIB 03461719887, Zagrebačka cesta 190, 10000 Zagreb zastupanog po punomoćniku ANTO IVIĆ</derivirana_varijabla>
  </DomainObject.Predmet.ProtustrankaFormatedWithAdressOIB>
  <DomainObject.Predmet.ProtustrankaWithAdress>
    <izvorni_sadrzaj>BEDEM d.o.o. Zagrebačka cesta 190, 10000 Zagreb</izvorni_sadrzaj>
    <derivirana_varijabla naziv="DomainObject.Predmet.ProtustrankaWithAdress_1">BEDEM d.o.o. Zagrebačka cesta 190, 10000 Zagreb</derivirana_varijabla>
  </DomainObject.Predmet.ProtustrankaWithAdress>
  <DomainObject.Predmet.ProtustrankaWithAdressOIB>
    <izvorni_sadrzaj>BEDEM d.o.o., OIB 03461719887, Zagrebačka cesta 190, 10000 Zagreb</izvorni_sadrzaj>
    <derivirana_varijabla naziv="DomainObject.Predmet.ProtustrankaWithAdressOIB_1">BEDEM d.o.o., OIB 03461719887, Zagrebačka cesta 190, 10000 Zagreb</derivirana_varijabla>
  </DomainObject.Predmet.ProtustrankaWithAdressOIB>
  <DomainObject.Predmet.ProtustrankaNazivFormated>
    <izvorni_sadrzaj>BEDEM d.o.o.</izvorni_sadrzaj>
    <derivirana_varijabla naziv="DomainObject.Predmet.ProtustrankaNazivFormated_1">BEDEM d.o.o.</derivirana_varijabla>
  </DomainObject.Predmet.ProtustrankaNazivFormated>
  <DomainObject.Predmet.ProtustrankaNazivFormatedOIB>
    <izvorni_sadrzaj>BEDEM d.o.o., OIB 03461719887</izvorni_sadrzaj>
    <derivirana_varijabla naziv="DomainObject.Predmet.ProtustrankaNazivFormatedOIB_1">BEDEM d.o.o., OIB 03461719887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BEDEM d.o.o.</izvorni_sadrzaj>
    <derivirana_varijabla naziv="DomainObject.Predmet.StrankaFormated_1">  BEDEM d.o.o.</derivirana_varijabla>
  </DomainObject.Predmet.StrankaFormated>
  <DomainObject.Predmet.StrankaFormatedOIB>
    <izvorni_sadrzaj>  BEDEM d.o.o., OIB 03461719887</izvorni_sadrzaj>
    <derivirana_varijabla naziv="DomainObject.Predmet.StrankaFormatedOIB_1">  BEDEM d.o.o., OIB 03461719887</derivirana_varijabla>
  </DomainObject.Predmet.StrankaFormatedOIB>
  <DomainObject.Predmet.StrankaFormatedWithAdress>
    <izvorni_sadrzaj> BEDEM d.o.o., Zagrebačka cesta 190, 10000 Zagreb</izvorni_sadrzaj>
    <derivirana_varijabla naziv="DomainObject.Predmet.StrankaFormatedWithAdress_1"> BEDEM d.o.o., Zagrebačka cesta 190, 10000 Zagreb</derivirana_varijabla>
  </DomainObject.Predmet.StrankaFormatedWithAdress>
  <DomainObject.Predmet.StrankaFormatedWithAdressOIB>
    <izvorni_sadrzaj> BEDEM d.o.o., OIB 03461719887, Zagrebačka cesta 190, 10000 Zagreb</izvorni_sadrzaj>
    <derivirana_varijabla naziv="DomainObject.Predmet.StrankaFormatedWithAdressOIB_1"> BEDEM d.o.o., OIB 03461719887, Zagrebačka cesta 190, 10000 Zagreb</derivirana_varijabla>
  </DomainObject.Predmet.StrankaFormatedWithAdressOIB>
  <DomainObject.Predmet.StrankaWithAdress>
    <izvorni_sadrzaj>BEDEM d.o.o. Zagrebačka cesta 190,10000 Zagreb</izvorni_sadrzaj>
    <derivirana_varijabla naziv="DomainObject.Predmet.StrankaWithAdress_1">BEDEM d.o.o. Zagrebačka cesta 190,10000 Zagreb</derivirana_varijabla>
  </DomainObject.Predmet.StrankaWithAdress>
  <DomainObject.Predmet.StrankaWithAdressOIB>
    <izvorni_sadrzaj>BEDEM d.o.o., OIB 03461719887, Zagrebačka cesta 190,10000 Zagreb</izvorni_sadrzaj>
    <derivirana_varijabla naziv="DomainObject.Predmet.StrankaWithAdressOIB_1">BEDEM d.o.o., OIB 03461719887, Zagrebačka cesta 190,10000 Zagreb</derivirana_varijabla>
  </DomainObject.Predmet.StrankaWithAdressOIB>
  <DomainObject.Predmet.StrankaNazivFormated>
    <izvorni_sadrzaj>BEDEM d.o.o.</izvorni_sadrzaj>
    <derivirana_varijabla naziv="DomainObject.Predmet.StrankaNazivFormated_1">BEDEM d.o.o.</derivirana_varijabla>
  </DomainObject.Predmet.StrankaNazivFormated>
  <DomainObject.Predmet.StrankaNazivFormatedOIB>
    <izvorni_sadrzaj>BEDEM d.o.o., OIB 03461719887</izvorni_sadrzaj>
    <derivirana_varijabla naziv="DomainObject.Predmet.StrankaNazivFormatedOIB_1">BEDEM d.o.o., OIB 03461719887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BEDEM d.o.o.</item>
    </izvorni_sadrzaj>
    <derivirana_varijabla naziv="DomainObject.Predmet.StrankaListFormated_1">
      <item>BEDEM d.o.o.</item>
    </derivirana_varijabla>
  </DomainObject.Predmet.StrankaListFormated>
  <DomainObject.Predmet.StrankaListFormatedOIB>
    <izvorni_sadrzaj>
      <item>BEDEM d.o.o., OIB 03461719887</item>
    </izvorni_sadrzaj>
    <derivirana_varijabla naziv="DomainObject.Predmet.StrankaListFormatedOIB_1">
      <item>BEDEM d.o.o., OIB 03461719887</item>
    </derivirana_varijabla>
  </DomainObject.Predmet.StrankaListFormatedOIB>
  <DomainObject.Predmet.StrankaListFormatedWithAdress>
    <izvorni_sadrzaj>
      <item>BEDEM d.o.o., Zagrebačka cesta 190, 10000 Zagreb</item>
    </izvorni_sadrzaj>
    <derivirana_varijabla naziv="DomainObject.Predmet.StrankaListFormatedWithAdress_1">
      <item>BEDEM d.o.o., Zagrebačka cesta 190, 10000 Zagreb</item>
    </derivirana_varijabla>
  </DomainObject.Predmet.StrankaListFormatedWithAdress>
  <DomainObject.Predmet.StrankaListFormatedWithAdressOIB>
    <izvorni_sadrzaj>
      <item>BEDEM d.o.o., OIB 03461719887, Zagrebačka cesta 190, 10000 Zagreb</item>
    </izvorni_sadrzaj>
    <derivirana_varijabla naziv="DomainObject.Predmet.StrankaListFormatedWithAdressOIB_1">
      <item>BEDEM d.o.o., OIB 03461719887, Zagrebačka cesta 190, 10000 Zagreb</item>
    </derivirana_varijabla>
  </DomainObject.Predmet.StrankaListFormatedWithAdressOIB>
  <DomainObject.Predmet.StrankaListNazivFormated>
    <izvorni_sadrzaj>
      <item>BEDEM d.o.o.</item>
    </izvorni_sadrzaj>
    <derivirana_varijabla naziv="DomainObject.Predmet.StrankaListNazivFormated_1">
      <item>BEDEM d.o.o.</item>
    </derivirana_varijabla>
  </DomainObject.Predmet.StrankaListNazivFormated>
  <DomainObject.Predmet.StrankaListNazivFormatedOIB>
    <izvorni_sadrzaj>
      <item>BEDEM d.o.o., OIB 03461719887</item>
    </izvorni_sadrzaj>
    <derivirana_varijabla naziv="DomainObject.Predmet.StrankaListNazivFormatedOIB_1">
      <item>BEDEM d.o.o., OIB 03461719887</item>
    </derivirana_varijabla>
  </DomainObject.Predmet.StrankaListNazivFormatedOIB>
  <DomainObject.Predmet.ProtuStrankaListFormated>
    <izvorni_sadrzaj>
      <item>BEDEM d.o.o. zastupanog po punomoćniku ANTO IVIĆ</item>
    </izvorni_sadrzaj>
    <derivirana_varijabla naziv="DomainObject.Predmet.ProtuStrankaListFormated_1">
      <item>BEDEM d.o.o. zastupanog po punomoćniku ANTO IVIĆ</item>
    </derivirana_varijabla>
  </DomainObject.Predmet.ProtuStrankaListFormated>
  <DomainObject.Predmet.ProtuStrankaListFormatedOIB>
    <izvorni_sadrzaj>
      <item>BEDEM d.o.o., OIB 03461719887 zastupanog po punomoćniku ANTO IVIĆ</item>
    </izvorni_sadrzaj>
    <derivirana_varijabla naziv="DomainObject.Predmet.ProtuStrankaListFormatedOIB_1">
      <item>BEDEM d.o.o., OIB 03461719887 zastupanog po punomoćniku ANTO IVIĆ</item>
    </derivirana_varijabla>
  </DomainObject.Predmet.ProtuStrankaListFormatedOIB>
  <DomainObject.Predmet.ProtuStrankaListFormatedWithAdress>
    <izvorni_sadrzaj>
      <item>BEDEM d.o.o., Zagrebačka cesta 190, 10000 Zagreb zastupanog po punomoćniku ANTO IVIĆ</item>
    </izvorni_sadrzaj>
    <derivirana_varijabla naziv="DomainObject.Predmet.ProtuStrankaListFormatedWithAdress_1">
      <item>BEDEM d.o.o., Zagrebačka cesta 190, 10000 Zagreb zastupanog po punomoćniku ANTO IVIĆ</item>
    </derivirana_varijabla>
  </DomainObject.Predmet.ProtuStrankaListFormatedWithAdress>
  <DomainObject.Predmet.ProtuStrankaListFormatedWithAdressOIB>
    <izvorni_sadrzaj>
      <item>BEDEM d.o.o., OIB 03461719887, Zagrebačka cesta 190, 10000 Zagreb zastupanog po punomoćniku ANTO IVIĆ</item>
    </izvorni_sadrzaj>
    <derivirana_varijabla naziv="DomainObject.Predmet.ProtuStrankaListFormatedWithAdressOIB_1">
      <item>BEDEM d.o.o., OIB 03461719887, Zagrebačka cesta 190, 10000 Zagreb zastupanog po punomoćniku ANTO IVIĆ</item>
    </derivirana_varijabla>
  </DomainObject.Predmet.ProtuStrankaListFormatedWithAdressOIB>
  <DomainObject.Predmet.ProtuStrankaListNazivFormated>
    <izvorni_sadrzaj>
      <item>BEDEM d.o.o.</item>
    </izvorni_sadrzaj>
    <derivirana_varijabla naziv="DomainObject.Predmet.ProtuStrankaListNazivFormated_1">
      <item>BEDEM d.o.o.</item>
    </derivirana_varijabla>
  </DomainObject.Predmet.ProtuStrankaListNazivFormated>
  <DomainObject.Predmet.ProtuStrankaListNazivFormatedOIB>
    <izvorni_sadrzaj>
      <item>BEDEM d.o.o., OIB 03461719887</item>
    </izvorni_sadrzaj>
    <derivirana_varijabla naziv="DomainObject.Predmet.ProtuStrankaListNazivFormatedOIB_1">
      <item>BEDEM d.o.o., OIB 03461719887</item>
    </derivirana_varijabla>
  </DomainObject.Predmet.ProtuStrankaListNazivFormatedOIB>
  <DomainObject.Predmet.OstaliListFormated>
    <izvorni_sadrzaj>
      <item>ANTO IVIĆ punomoćnik sudionika u postupku BEDEM d.o.o.</item>
    </izvorni_sadrzaj>
    <derivirana_varijabla naziv="DomainObject.Predmet.OstaliListFormated_1">
      <item>ANTO IVIĆ punomoćnik sudionika u postupku BEDEM d.o.o.</item>
    </derivirana_varijabla>
  </DomainObject.Predmet.OstaliListFormated>
  <DomainObject.Predmet.OstaliListFormatedOIB>
    <izvorni_sadrzaj>
      <item>ANTO IVIĆ, OIB 81916160981 punomoćnik sudionika u postupku BEDEM d.o.o.</item>
    </izvorni_sadrzaj>
    <derivirana_varijabla naziv="DomainObject.Predmet.OstaliListFormatedOIB_1">
      <item>ANTO IVIĆ, OIB 81916160981 punomoćnik sudionika u postupku BEDEM d.o.o.</item>
    </derivirana_varijabla>
  </DomainObject.Predmet.OstaliListFormatedOIB>
  <DomainObject.Predmet.OstaliListFormatedWithAdress>
    <izvorni_sadrzaj>
      <item>ANTO IVIĆ, Šipkovica 50, 10090 Zagreb punomoćnik sudionika u postupku BEDEM d.o.o.</item>
    </izvorni_sadrzaj>
    <derivirana_varijabla naziv="DomainObject.Predmet.OstaliListFormatedWithAdress_1">
      <item>ANTO IVIĆ, Šipkovica 50, 10090 Zagreb punomoćnik sudionika u postupku BEDEM d.o.o.</item>
    </derivirana_varijabla>
  </DomainObject.Predmet.OstaliListFormatedWithAdress>
  <DomainObject.Predmet.OstaliListFormatedWithAdressOIB>
    <izvorni_sadrzaj>
      <item>ANTO IVIĆ, OIB 81916160981, Šipkovica 50, 10090 Zagreb punomoćnik sudionika u postupku BEDEM d.o.o.</item>
    </izvorni_sadrzaj>
    <derivirana_varijabla naziv="DomainObject.Predmet.OstaliListFormatedWithAdressOIB_1">
      <item>ANTO IVIĆ, OIB 81916160981, Šipkovica 50, 10090 Zagreb punomoćnik sudionika u postupku BEDEM d.o.o.</item>
    </derivirana_varijabla>
  </DomainObject.Predmet.OstaliListFormatedWithAdressOIB>
  <DomainObject.Predmet.OstaliListNazivFormated>
    <izvorni_sadrzaj>
      <item>ANTO IVIĆ</item>
    </izvorni_sadrzaj>
    <derivirana_varijabla naziv="DomainObject.Predmet.OstaliListNazivFormated_1">
      <item>ANTO IVIĆ</item>
    </derivirana_varijabla>
  </DomainObject.Predmet.OstaliListNazivFormated>
  <DomainObject.Predmet.OstaliListNazivFormatedOIB>
    <izvorni_sadrzaj>
      <item>ANTO IVIĆ, OIB 81916160981</item>
    </izvorni_sadrzaj>
    <derivirana_varijabla naziv="DomainObject.Predmet.OstaliListNazivFormatedOIB_1">
      <item>ANTO IVIĆ, OIB 81916160981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BEDEM d.o.o.</izvorni_sadrzaj>
    <derivirana_varijabla naziv="DomainObject.Predmet.StrankaIDrugi_1">BEDEM d.o.o.</derivirana_varijabla>
  </DomainObject.Predmet.StrankaIDrugi>
  <DomainObject.Predmet.ProtustrankaIDrugi>
    <izvorni_sadrzaj>BEDEM d.o.o.</izvorni_sadrzaj>
    <derivirana_varijabla naziv="DomainObject.Predmet.ProtustrankaIDrugi_1">BEDEM d.o.o.</derivirana_varijabla>
  </DomainObject.Predmet.ProtustrankaIDrugi>
  <DomainObject.Predmet.StrankaIDrugiAdressOIB>
    <izvorni_sadrzaj>BEDEM d.o.o., OIB 03461719887, Zagrebačka cesta 190, 10000 Zagreb</izvorni_sadrzaj>
    <derivirana_varijabla naziv="DomainObject.Predmet.StrankaIDrugiAdressOIB_1">BEDEM d.o.o., OIB 03461719887, Zagrebačka cesta 190, 10000 Zagreb</derivirana_varijabla>
  </DomainObject.Predmet.StrankaIDrugiAdressOIB>
  <DomainObject.Predmet.ProtustrankaIDrugiAdressOIB>
    <izvorni_sadrzaj>BEDEM d.o.o., OIB 03461719887, Zagrebačka cesta 190, 10000 Zagreb</izvorni_sadrzaj>
    <derivirana_varijabla naziv="DomainObject.Predmet.ProtustrankaIDrugiAdressOIB_1">BEDEM d.o.o., OIB 03461719887, Zagrebačka cesta 190,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BEDEM d.o.o.</item>
      <item>BEDEM d.o.o.</item>
      <item>ANTO IVIĆ</item>
    </izvorni_sadrzaj>
    <derivirana_varijabla naziv="DomainObject.Predmet.SudioniciListNaziv_1">
      <item>BEDEM d.o.o.</item>
      <item>BEDEM d.o.o.</item>
      <item>ANTO IVIĆ</item>
    </derivirana_varijabla>
  </DomainObject.Predmet.SudioniciListNaziv>
  <DomainObject.Predmet.SudioniciListAdressOIB>
    <izvorni_sadrzaj>
      <item>BEDEM d.o.o., OIB 03461719887, Zagrebačka cesta 190,10000 Zagreb</item>
      <item>BEDEM d.o.o., OIB 03461719887, Zagrebačka cesta 190,10000 Zagreb</item>
      <item>ANTO IVIĆ, OIB 81916160981, Šipkovica 50,10090 Zagreb</item>
    </izvorni_sadrzaj>
    <derivirana_varijabla naziv="DomainObject.Predmet.SudioniciListAdressOIB_1">
      <item>BEDEM d.o.o., OIB 03461719887, Zagrebačka cesta 190,10000 Zagreb</item>
      <item>BEDEM d.o.o., OIB 03461719887, Zagrebačka cesta 190,10000 Zagreb</item>
      <item>ANTO IVIĆ, OIB 81916160981, Šipkovica 50,10090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03461719887</item>
      <item>, OIB 03461719887</item>
      <item>, OIB 81916160981</item>
    </izvorni_sadrzaj>
    <derivirana_varijabla naziv="DomainObject.Predmet.SudioniciListNazivOIB_1">
      <item>, OIB 03461719887</item>
      <item>, OIB 03461719887</item>
      <item>, OIB 81916160981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BF0F32-9666-4219-A9B9-81C6EE28B8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2879</properties:Words>
  <properties:Characters>17463</properties:Characters>
  <properties:Lines>966</properties:Lines>
  <properties:Paragraphs>690</properties:Paragraphs>
  <properties:TotalTime>404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2016-03-17T13:33:00Z</dcterms:created>
  <dc:creator>gzubak</dc:creator>
  <cp:lastModifiedBy>Karmela Dolenc</cp:lastModifiedBy>
  <cp:lastPrinted>2017-04-26T08:39:00Z</cp:lastPrinted>
  <dcterms:modified xmlns:xsi="http://www.w3.org/2001/XMLSchema-instance" xsi:type="dcterms:W3CDTF">2017-04-26T08:54:00Z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11</vt:i4>
  </prop:property>
</prop:Properties>
</file>