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3d01" w14:paraId="8493d01" w:rsidRDefault="00A86584" w:rsidP="00A86584" w:rsidR="00A86584">
      <w:pPr>
        <w:widowControl w:val="false"/>
        <w:spacing w:after="0"/>
        <w:jc w:val="both"/>
        <w15:collapsed w:val="false"/>
        <w:rPr>
          <w:snapToGrid w:val="false"/>
        </w:rPr>
      </w:pPr>
      <w:bookmarkStart w:name="_GoBack" w:id="0"/>
      <w:bookmarkEnd w:id="0"/>
      <w:r>
        <w:rPr>
          <w:bCs/>
          <w:snapToGrid w:val="false"/>
        </w:rPr>
        <w:t xml:space="preserve">                     </w:t>
      </w:r>
      <w:r>
        <w:rPr>
          <w:noProof/>
          <w:lang w:eastAsia="hr-HR"/>
        </w:rPr>
        <w:drawing>
          <wp:inline distR="0" distL="0" distB="0" distT="0">
            <wp:extent cy="723265" cx="548640"/>
            <wp:effectExtent b="635" r="381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8640"/>
                    </a:xfrm>
                    <a:prstGeom prst="rect">
                      <a:avLst/>
                    </a:prstGeom>
                    <a:noFill/>
                    <a:ln>
                      <a:noFill/>
                    </a:ln>
                  </pic:spPr>
                </pic:pic>
              </a:graphicData>
            </a:graphic>
          </wp:inline>
        </w:drawing>
      </w:r>
      <w:r>
        <w:rPr>
          <w:bCs/>
          <w:snapToGrid w:val="false"/>
        </w:rPr>
        <w:tab/>
      </w:r>
      <w:r>
        <w:rPr>
          <w:bCs/>
          <w:snapToGrid w:val="false"/>
        </w:rPr>
        <w:tab/>
        <w:t xml:space="preserve">                             </w:t>
      </w:r>
    </w:p>
    <w:p w:rsidRDefault="00A86584" w:rsidP="00A86584" w:rsidR="00A86584">
      <w:pPr>
        <w:widowControl w:val="false"/>
        <w:spacing w:after="0"/>
        <w:jc w:val="both"/>
        <w:rPr>
          <w:snapToGrid w:val="false"/>
        </w:rPr>
      </w:pPr>
      <w:r>
        <w:rPr>
          <w:snapToGrid w:val="false"/>
        </w:rPr>
        <w:t xml:space="preserve">       REPUBLIKA HRVATSKA</w:t>
      </w:r>
    </w:p>
    <w:p w:rsidRDefault="00A86584" w:rsidP="00A86584" w:rsidR="00A86584">
      <w:pPr>
        <w:widowControl w:val="false"/>
        <w:spacing w:after="0"/>
        <w:jc w:val="both"/>
        <w:rPr>
          <w:snapToGrid w:val="false"/>
        </w:rPr>
      </w:pPr>
      <w:r>
        <w:rPr>
          <w:snapToGrid w:val="false"/>
        </w:rPr>
        <w:t>TRGOVAČKI SUD U VARAŽDINU</w:t>
      </w:r>
    </w:p>
    <w:p w:rsidRDefault="00A86584" w:rsidP="00A86584" w:rsidR="00A86584">
      <w:pPr>
        <w:widowControl w:val="false"/>
        <w:spacing w:after="0"/>
        <w:rPr>
          <w:bCs/>
          <w:snapToGrid w:val="false"/>
        </w:rPr>
      </w:pPr>
      <w:r>
        <w:rPr>
          <w:snapToGrid w:val="false"/>
        </w:rPr>
        <w:t xml:space="preserve">                  B. Radić 2</w:t>
      </w:r>
      <w:r>
        <w:rPr>
          <w:bCs/>
          <w:snapToGrid w:val="false"/>
        </w:rPr>
        <w:t xml:space="preserve">                   </w:t>
      </w:r>
      <w:r>
        <w:rPr>
          <w:bCs/>
          <w:snapToGrid w:val="false"/>
        </w:rPr>
        <w:tab/>
      </w:r>
      <w:r>
        <w:rPr>
          <w:bCs/>
          <w:snapToGrid w:val="false"/>
        </w:rPr>
        <w:tab/>
      </w:r>
      <w:r>
        <w:rPr>
          <w:bCs/>
          <w:snapToGrid w:val="false"/>
        </w:rPr>
        <w:tab/>
      </w:r>
    </w:p>
    <w:p w:rsidRDefault="00A86584" w:rsidP="00A86584" w:rsidR="00A86584">
      <w:pPr>
        <w:spacing w:after="0"/>
        <w:rPr>
          <w:lang w:eastAsia="hr-HR"/>
        </w:rPr>
      </w:pPr>
    </w:p>
    <w:p w:rsidRDefault="00A86584" w:rsidP="00A86584" w:rsidR="00A86584">
      <w:pPr>
        <w:spacing w:after="0"/>
        <w:rPr>
          <w:lang w:eastAsia="hr-HR"/>
        </w:rPr>
      </w:pPr>
    </w:p>
    <w:p w:rsidRDefault="00A86584" w:rsidP="00A86584" w:rsidR="00A86584">
      <w:pPr>
        <w:spacing w:after="0"/>
        <w:jc w:val="center"/>
      </w:pPr>
      <w:r>
        <w:t>U  I M E  R E P U B L I K E  H R V A T S K E</w:t>
      </w:r>
    </w:p>
    <w:p w:rsidRDefault="00A86584" w:rsidP="00A86584" w:rsidR="00A86584">
      <w:pPr>
        <w:spacing w:after="0"/>
      </w:pPr>
    </w:p>
    <w:p w:rsidRDefault="00A86584" w:rsidP="00A86584" w:rsidR="00A86584">
      <w:pPr>
        <w:spacing w:after="0"/>
        <w:jc w:val="center"/>
      </w:pPr>
      <w:r>
        <w:t>R J E Š E NJ E</w:t>
      </w:r>
    </w:p>
    <w:p w:rsidRDefault="00AF0CE6" w:rsidP="00A86584" w:rsidR="00AF0CE6">
      <w:pPr>
        <w:spacing w:after="0"/>
        <w:jc w:val="center"/>
      </w:pPr>
    </w:p>
    <w:p w:rsidRDefault="00905EA3" w:rsidP="00B97AC1" w:rsidR="00B97AC1">
      <w:pPr>
        <w:spacing w:after="0"/>
        <w:ind w:firstLine="708"/>
        <w:jc w:val="both"/>
      </w:pPr>
      <w:r>
        <w:t>Trgovački sud u Varaždinu, po sutkinji toga suda Meliti Poljanec Bubaš, povodom prijedloga predlagatelja Financijska agencija, Regionalni centar Zagreb, Podružnica Varaždin za provedbu skraćenog stečajnog postupka nad dužnikom DUX-GRAĐENJE d.o.o., OIB: 60134050368 sa sjedištem u Buzovečka 67, Čakovec, dana 2. lipnja 2017.</w:t>
      </w:r>
    </w:p>
    <w:p w:rsidRDefault="00905EA3" w:rsidP="00B97AC1" w:rsidR="00905EA3">
      <w:pPr>
        <w:spacing w:after="0"/>
        <w:ind w:firstLine="708"/>
        <w:jc w:val="both"/>
        <w:rPr>
          <w:lang w:val="en-US"/>
        </w:rPr>
      </w:pPr>
    </w:p>
    <w:p w:rsidRDefault="00A86584" w:rsidP="00A86584" w:rsidR="00A86584">
      <w:pPr>
        <w:spacing w:after="0"/>
        <w:jc w:val="center"/>
      </w:pPr>
      <w:r>
        <w:t>r i j e š i o  j e</w:t>
      </w:r>
    </w:p>
    <w:p w:rsidRDefault="00A86584" w:rsidP="00A86584" w:rsidR="00A86584">
      <w:pPr>
        <w:spacing w:after="0"/>
      </w:pPr>
    </w:p>
    <w:p w:rsidRDefault="00BF6141" w:rsidP="00A86584" w:rsidR="00BF6141">
      <w:pPr>
        <w:spacing w:after="0"/>
        <w:jc w:val="both"/>
      </w:pPr>
    </w:p>
    <w:p w:rsidRDefault="00905EA3" w:rsidP="00905EA3" w:rsidR="00905EA3">
      <w:pPr>
        <w:spacing w:after="0"/>
        <w:ind w:firstLine="708"/>
        <w:jc w:val="both"/>
      </w:pPr>
      <w:r>
        <w:t>I/</w:t>
      </w:r>
      <w:r w:rsidR="00BF6141">
        <w:t xml:space="preserve"> </w:t>
      </w:r>
      <w:r w:rsidR="00A86584">
        <w:t>O</w:t>
      </w:r>
      <w:r w:rsidR="00F9358A">
        <w:t>dbacuje</w:t>
      </w:r>
      <w:r w:rsidR="00A86584">
        <w:t xml:space="preserve"> se</w:t>
      </w:r>
      <w:r w:rsidR="00D63C2C">
        <w:t xml:space="preserve"> prijedlog predlagatelja Financijske agencije Regionalni centar Zagreb, Podružnica Varaždin, Augusta Cesarca 2, Varaždin za otvaranje </w:t>
      </w:r>
      <w:r>
        <w:t>skraćenog stečajnog postupka nad dužnikom DUX-GRAĐENJE d.o.o., OIB: 60134050368 sa sjedištem u Buzovečka 67, Čakovec.</w:t>
      </w:r>
    </w:p>
    <w:p w:rsidRDefault="00905EA3" w:rsidP="00905EA3" w:rsidR="00A86584">
      <w:pPr>
        <w:spacing w:after="0"/>
        <w:ind w:firstLine="708" w:left="708"/>
        <w:jc w:val="both"/>
      </w:pPr>
      <w:r>
        <w:t xml:space="preserve"> </w:t>
      </w:r>
    </w:p>
    <w:p w:rsidRDefault="00A86584" w:rsidP="00A86584" w:rsidR="00A86584">
      <w:pPr>
        <w:spacing w:after="0"/>
        <w:jc w:val="center"/>
      </w:pPr>
      <w:r>
        <w:t>Obrazloženje</w:t>
      </w:r>
    </w:p>
    <w:p w:rsidRDefault="00A86584" w:rsidP="00A86584" w:rsidR="00A86584">
      <w:pPr>
        <w:spacing w:after="0"/>
      </w:pPr>
    </w:p>
    <w:p w:rsidRDefault="00BF6141" w:rsidP="00A86584" w:rsidR="00905EA3">
      <w:pPr>
        <w:spacing w:after="0"/>
        <w:jc w:val="both"/>
      </w:pPr>
      <w:r>
        <w:tab/>
        <w:t xml:space="preserve">Predlagatelj je dana </w:t>
      </w:r>
      <w:r w:rsidR="00905EA3">
        <w:t xml:space="preserve">4.12.2015. </w:t>
      </w:r>
      <w:r w:rsidR="00A86584">
        <w:t xml:space="preserve">podnio zahtjev za </w:t>
      </w:r>
      <w:r w:rsidR="006A2ACE">
        <w:t>otvaranje</w:t>
      </w:r>
      <w:r w:rsidR="00A86584">
        <w:t xml:space="preserve"> </w:t>
      </w:r>
      <w:r w:rsidR="00905EA3">
        <w:t xml:space="preserve">skraćenog </w:t>
      </w:r>
      <w:r w:rsidR="00A86584">
        <w:t>stečajnog postupka nad dužnikom navedenim u izreci</w:t>
      </w:r>
      <w:r w:rsidR="00905EA3">
        <w:t>.</w:t>
      </w:r>
      <w:r w:rsidR="00FE48CA">
        <w:t xml:space="preserve"> </w:t>
      </w:r>
    </w:p>
    <w:p w:rsidRDefault="00905EA3" w:rsidP="00A86584" w:rsidR="00905EA3">
      <w:pPr>
        <w:spacing w:after="0"/>
        <w:jc w:val="both"/>
      </w:pPr>
    </w:p>
    <w:p w:rsidRDefault="00905EA3" w:rsidP="00905EA3" w:rsidR="00905EA3">
      <w:pPr>
        <w:spacing w:after="0"/>
        <w:ind w:firstLine="708"/>
        <w:jc w:val="both"/>
      </w:pPr>
      <w:r>
        <w:t xml:space="preserve">Kako je prije zaprimanja ovog prijedloga na ovom sudu već bio zaprimljen prijedlog radi otvaranja stečajnog postupka nad istim trgovačkim društvom, podnijet od strane istog predlagatelja povodom kojeg se vodio postupak pod brojem St-888/15, to je sud ocjenjujući da je odluka o prvom prijedlogu prethodno pitanje za ocjenu dopustivosti prijedloga u ovom predmetu, odredio prekid postupka do pravomoćnosti odluke u predmetu St-888/15. </w:t>
      </w:r>
    </w:p>
    <w:p w:rsidRDefault="00905EA3" w:rsidP="00A86584" w:rsidR="00905EA3">
      <w:pPr>
        <w:spacing w:after="0"/>
        <w:jc w:val="both"/>
      </w:pPr>
    </w:p>
    <w:p w:rsidRDefault="00905EA3" w:rsidP="00905EA3" w:rsidR="00BF6141">
      <w:pPr>
        <w:spacing w:after="0"/>
        <w:jc w:val="both"/>
      </w:pPr>
      <w:r>
        <w:tab/>
      </w:r>
      <w:r w:rsidR="00634C38">
        <w:t>Budući da je</w:t>
      </w:r>
      <w:r w:rsidR="00B67414">
        <w:t xml:space="preserve"> </w:t>
      </w:r>
      <w:r w:rsidR="009B49EB">
        <w:t>dužnik</w:t>
      </w:r>
      <w:r w:rsidR="00BF6141">
        <w:t xml:space="preserve"> ovosudnim Rješenjem broj </w:t>
      </w:r>
      <w:r>
        <w:t>Tt-11/1441-2,</w:t>
      </w:r>
      <w:r w:rsidR="00BF6141">
        <w:t xml:space="preserve"> </w:t>
      </w:r>
      <w:r>
        <w:t>donijetog temeljem rješenja u ovosudnom predmetu St-888/15, b</w:t>
      </w:r>
      <w:r w:rsidR="00BF6141">
        <w:t xml:space="preserve">risan iz sudskog registra Trgovačkog suda u Varaždinu, to je zbog nedostatka pravnog interesa predlagatelja za vođenje stečajnog postupka njegov prijedlog valjalo odbaciti. </w:t>
      </w:r>
    </w:p>
    <w:p w:rsidRDefault="00D63C2C" w:rsidP="00D63C2C" w:rsidR="00D63C2C">
      <w:pPr>
        <w:spacing w:after="0"/>
        <w:jc w:val="both"/>
      </w:pPr>
    </w:p>
    <w:p w:rsidRDefault="00A86584" w:rsidP="00A86584" w:rsidR="00A86584">
      <w:pPr>
        <w:spacing w:after="0"/>
        <w:jc w:val="center"/>
      </w:pPr>
      <w:r>
        <w:t>U Varaž</w:t>
      </w:r>
      <w:r w:rsidR="004F0BC6">
        <w:t>dinu 2</w:t>
      </w:r>
      <w:r>
        <w:t xml:space="preserve">. </w:t>
      </w:r>
      <w:r w:rsidR="00FE48CA">
        <w:t>l</w:t>
      </w:r>
      <w:r w:rsidR="00905EA3">
        <w:t>ipnja 2017</w:t>
      </w:r>
      <w:r>
        <w:t>.</w:t>
      </w:r>
    </w:p>
    <w:p w:rsidRDefault="00A86584" w:rsidP="00A86584" w:rsidR="00070983">
      <w:pPr>
        <w:spacing w:after="0"/>
      </w:pPr>
      <w:r>
        <w:t xml:space="preserve">                                                                              </w:t>
      </w:r>
    </w:p>
    <w:p w:rsidRDefault="00A86584" w:rsidP="00A86584" w:rsidR="00A86584">
      <w:pPr>
        <w:spacing w:after="0"/>
      </w:pPr>
      <w:r>
        <w:t xml:space="preserve">                         </w:t>
      </w:r>
    </w:p>
    <w:p w:rsidRDefault="00A86584" w:rsidP="00A86584" w:rsidR="00A86584">
      <w:pPr>
        <w:spacing w:after="0"/>
      </w:pPr>
      <w:r>
        <w:tab/>
      </w:r>
      <w:r>
        <w:tab/>
      </w:r>
      <w:r>
        <w:tab/>
      </w:r>
      <w:r>
        <w:tab/>
      </w:r>
      <w:r>
        <w:tab/>
      </w:r>
      <w:r>
        <w:tab/>
      </w:r>
      <w:r>
        <w:tab/>
      </w:r>
      <w:r>
        <w:tab/>
      </w:r>
      <w:r>
        <w:tab/>
        <w:t xml:space="preserve"> </w:t>
      </w:r>
      <w:r w:rsidR="007373FF">
        <w:t xml:space="preserve">  </w:t>
      </w:r>
      <w:r w:rsidR="0018549D">
        <w:t xml:space="preserve"> </w:t>
      </w:r>
      <w:r w:rsidR="00AF0CE6">
        <w:t>Sutkinja</w:t>
      </w:r>
    </w:p>
    <w:p w:rsidRDefault="00A86584" w:rsidP="00695708" w:rsidR="0094633F">
      <w:pPr>
        <w:spacing w:after="0"/>
      </w:pPr>
      <w:r>
        <w:t xml:space="preserve">            </w:t>
      </w:r>
      <w:r>
        <w:tab/>
      </w:r>
      <w:r>
        <w:tab/>
      </w:r>
      <w:r>
        <w:tab/>
      </w:r>
      <w:r>
        <w:tab/>
      </w:r>
      <w:r>
        <w:tab/>
      </w:r>
      <w:r>
        <w:tab/>
        <w:t xml:space="preserve"> </w:t>
      </w:r>
      <w:r w:rsidR="0018549D">
        <w:t xml:space="preserve">              </w:t>
      </w:r>
      <w:r w:rsidR="007373FF">
        <w:t xml:space="preserve"> Melita Poljanec-Bubaš</w:t>
      </w:r>
      <w:r w:rsidR="00F06EC8">
        <w:t>, v.r.</w:t>
      </w:r>
    </w:p>
    <w:p w:rsidRDefault="009B49EB" w:rsidP="00A86584" w:rsidR="009B49EB">
      <w:pPr>
        <w:spacing w:after="0"/>
      </w:pPr>
    </w:p>
    <w:p w:rsidRDefault="00F2398A" w:rsidP="00A86584" w:rsidR="00F2398A">
      <w:pPr>
        <w:spacing w:after="0"/>
      </w:pPr>
    </w:p>
    <w:p w:rsidRDefault="00A86584" w:rsidP="00A86584" w:rsidR="00A86584">
      <w:pPr>
        <w:spacing w:after="0"/>
      </w:pPr>
      <w:r>
        <w:lastRenderedPageBreak/>
        <w:t>Uputa o pravnom lijeku:</w:t>
      </w:r>
    </w:p>
    <w:p w:rsidRDefault="00A86584" w:rsidP="00A86584" w:rsidR="00A86584">
      <w:pPr>
        <w:spacing w:after="0"/>
        <w:jc w:val="both"/>
      </w:pPr>
      <w:r>
        <w:tab/>
        <w:t xml:space="preserve">Protiv ovoga rješenja može se podnijeti žalba u roku od osam dana nakon isteka osam dana od njegove objave na e-oglasnoj ploči suda, pisano u četiri primjerka, putem ovoga suda, Visokom trgovačkom sudu RH. </w:t>
      </w:r>
    </w:p>
    <w:p w:rsidRDefault="00A86584" w:rsidP="00A86584" w:rsidR="00A86584">
      <w:pPr>
        <w:spacing w:after="0"/>
        <w:jc w:val="both"/>
      </w:pPr>
      <w:r>
        <w:tab/>
      </w:r>
    </w:p>
    <w:p w:rsidRDefault="00A86584" w:rsidP="00A86584" w:rsidR="00A86584">
      <w:pPr>
        <w:spacing w:after="0"/>
      </w:pPr>
    </w:p>
    <w:p w:rsidRDefault="00A86584" w:rsidP="00A86584" w:rsidR="00A86584">
      <w:pPr>
        <w:spacing w:after="0"/>
      </w:pPr>
      <w:r>
        <w:t>DNA:</w:t>
      </w:r>
    </w:p>
    <w:p w:rsidRDefault="00160A9E" w:rsidP="00A86584" w:rsidR="00A86584" w:rsidRPr="009B49EB">
      <w:pPr>
        <w:numPr>
          <w:ilvl w:val="0"/>
          <w:numId w:val="47"/>
        </w:numPr>
        <w:spacing w:after="0"/>
        <w:jc w:val="both"/>
        <w:rPr>
          <w:szCs w:val="20"/>
        </w:rPr>
      </w:pPr>
      <w:r>
        <w:t>Pre</w:t>
      </w:r>
      <w:r w:rsidR="009B49EB">
        <w:t>dlagatelju, FINA Varaždin</w:t>
      </w:r>
    </w:p>
    <w:p w:rsidRDefault="0094633F" w:rsidP="00A86584" w:rsidR="00462130" w:rsidRPr="00462130">
      <w:pPr>
        <w:numPr>
          <w:ilvl w:val="0"/>
          <w:numId w:val="47"/>
        </w:numPr>
        <w:spacing w:after="0"/>
        <w:jc w:val="both"/>
      </w:pPr>
      <w:r>
        <w:t xml:space="preserve">dužniku, </w:t>
      </w:r>
      <w:r w:rsidR="00FE48CA">
        <w:t>putem e-Oglasne ploče suda</w:t>
      </w:r>
    </w:p>
    <w:p w:rsidRDefault="00A86584" w:rsidP="00A86584" w:rsidR="00AE649C" w:rsidRPr="00B76F3C">
      <w:pPr>
        <w:numPr>
          <w:ilvl w:val="0"/>
          <w:numId w:val="47"/>
        </w:numPr>
        <w:spacing w:after="0"/>
        <w:jc w:val="both"/>
      </w:pPr>
      <w:r>
        <w:t>e-oglasna ploča suda</w:t>
      </w:r>
      <w:r w:rsidR="0094633F">
        <w:t xml:space="preserve"> </w:t>
      </w:r>
    </w:p>
    <w:p w:rsidRDefault="00F2398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F003E" w:rsidR="00DA0242">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0AA8" w:rsidP="00537B78" w:rsidR="00F10AA8">
      <w:r>
        <w:separator/>
      </w:r>
    </w:p>
  </w:endnote>
  <w:endnote w:id="0" w:type="continuationSeparator">
    <w:p w:rsidRDefault="00F10AA8" w:rsidP="00537B78" w:rsidR="00F10A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0AA8" w:rsidP="00537B78" w:rsidR="00F10AA8">
      <w:r>
        <w:separator/>
      </w:r>
    </w:p>
  </w:footnote>
  <w:footnote w:id="0" w:type="continuationSeparator">
    <w:p w:rsidRDefault="00F10AA8" w:rsidP="00537B78" w:rsidR="00F10A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667057"/>
      <w:docPartObj>
        <w:docPartGallery w:val="Page Numbers (Top of Page)"/>
        <w:docPartUnique/>
      </w:docPartObj>
    </w:sdtPr>
    <w:sdtEndPr/>
    <w:sdtContent>
      <w:p w:rsidRDefault="003F003E" w:rsidP="003F003E" w:rsidR="003F003E">
        <w:pPr>
          <w:pStyle w:val="Zaglavlje"/>
          <w:spacing w:after="0"/>
          <w:jc w:val="center"/>
        </w:pPr>
        <w:r>
          <w:fldChar w:fldCharType="begin"/>
        </w:r>
        <w:r>
          <w:instrText>PAGE   \* MERGEFORMAT</w:instrText>
        </w:r>
        <w:r>
          <w:fldChar w:fldCharType="separate"/>
        </w:r>
        <w:r w:rsidR="00F2398A">
          <w:t>2</w:t>
        </w:r>
        <w:r>
          <w:fldChar w:fldCharType="end"/>
        </w:r>
      </w:p>
      <w:p w:rsidRDefault="00905EA3" w:rsidP="00905EA3" w:rsidR="00905EA3">
        <w:pPr>
          <w:pStyle w:val="Zaglavlje"/>
          <w:spacing w:after="0"/>
        </w:pPr>
        <w:r>
          <w:rPr>
            <w:rStyle w:val="PozadinaSvijetloCrvena"/>
            <w:shd w:fill="auto" w:color="auto" w:val="clear"/>
          </w:rPr>
          <w:t>Poslovni broj: 2 St-314/17-2</w:t>
        </w:r>
      </w:p>
      <w:p w:rsidRDefault="00F2398A" w:rsidP="003F003E" w:rsidR="008333A9">
        <w:pPr>
          <w:pStyle w:val="Zaglavlje"/>
          <w:spacing w:after="0"/>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ACE" w:rsidP="003F003E" w:rsidR="003F003E">
    <w:pPr>
      <w:pStyle w:val="Zaglavlje"/>
      <w:spacing w:after="0"/>
    </w:pPr>
    <w:r>
      <w:rPr>
        <w:rStyle w:val="PozadinaSvijetloCrvena"/>
        <w:shd w:fill="auto" w:color="auto" w:val="clear"/>
      </w:rPr>
      <w:t>Poslovni broj: 2 St-</w:t>
    </w:r>
    <w:r w:rsidR="00905EA3">
      <w:rPr>
        <w:rStyle w:val="PozadinaSvijetloCrvena"/>
        <w:shd w:fill="auto" w:color="auto" w:val="clear"/>
      </w:rPr>
      <w:t>314/17-2</w:t>
    </w:r>
  </w:p>
  <w:p w:rsidRDefault="003F003E" w:rsidP="003F003E" w:rsidR="003F003E">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1305AF"/>
    <w:multiLevelType w:val="hybridMultilevel"/>
    <w:tmpl w:val="EFE834BA"/>
    <w:lvl w:tplc="C5446B8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7C8"/>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0983"/>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0A9E"/>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49D"/>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2A3D"/>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19DF"/>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03E"/>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AF8"/>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2130"/>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BC6"/>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FA5"/>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4C38"/>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708"/>
    <w:rsid w:val="00695A87"/>
    <w:rsid w:val="00695B25"/>
    <w:rsid w:val="00696729"/>
    <w:rsid w:val="0069794C"/>
    <w:rsid w:val="006A0514"/>
    <w:rsid w:val="006A25B4"/>
    <w:rsid w:val="006A2ACE"/>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373FF"/>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6AA6"/>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0919"/>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EA3"/>
    <w:rsid w:val="0090770C"/>
    <w:rsid w:val="00911ECE"/>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633F"/>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49EB"/>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F27"/>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6584"/>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0CE6"/>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414"/>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7AC1"/>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141"/>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591C"/>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3C2C"/>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76B6"/>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3374"/>
    <w:rsid w:val="00E04F96"/>
    <w:rsid w:val="00E07F5C"/>
    <w:rsid w:val="00E10494"/>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EC8"/>
    <w:rsid w:val="00F10562"/>
    <w:rsid w:val="00F10AA8"/>
    <w:rsid w:val="00F11825"/>
    <w:rsid w:val="00F11BE8"/>
    <w:rsid w:val="00F132E7"/>
    <w:rsid w:val="00F1426A"/>
    <w:rsid w:val="00F150F6"/>
    <w:rsid w:val="00F1615C"/>
    <w:rsid w:val="00F16E66"/>
    <w:rsid w:val="00F200B2"/>
    <w:rsid w:val="00F20699"/>
    <w:rsid w:val="00F20ACF"/>
    <w:rsid w:val="00F210D6"/>
    <w:rsid w:val="00F21F60"/>
    <w:rsid w:val="00F2398A"/>
    <w:rsid w:val="00F2471D"/>
    <w:rsid w:val="00F277A4"/>
    <w:rsid w:val="00F326D9"/>
    <w:rsid w:val="00F333D8"/>
    <w:rsid w:val="00F35297"/>
    <w:rsid w:val="00F35543"/>
    <w:rsid w:val="00F36E6F"/>
    <w:rsid w:val="00F37221"/>
    <w:rsid w:val="00F37489"/>
    <w:rsid w:val="00F376E6"/>
    <w:rsid w:val="00F378E4"/>
    <w:rsid w:val="00F37ECB"/>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358A"/>
    <w:rsid w:val="00F944F1"/>
    <w:rsid w:val="00FA0671"/>
    <w:rsid w:val="00FA2826"/>
    <w:rsid w:val="00FA3515"/>
    <w:rsid w:val="00FA523A"/>
    <w:rsid w:val="00FA5B5E"/>
    <w:rsid w:val="00FA6041"/>
    <w:rsid w:val="00FA72D0"/>
    <w:rsid w:val="00FA7599"/>
    <w:rsid w:val="00FB03C3"/>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48CA"/>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2033511">
      <w:bodyDiv w:val="true"/>
      <w:marLeft w:val="0"/>
      <w:marRight w:val="0"/>
      <w:marTop w:val="0"/>
      <w:marBottom w:val="0"/>
      <w:divBdr>
        <w:top w:space="0" w:sz="0" w:color="auto" w:val="none"/>
        <w:left w:space="0" w:sz="0" w:color="auto" w:val="none"/>
        <w:bottom w:space="0" w:sz="0" w:color="auto" w:val="none"/>
        <w:right w:space="0" w:sz="0" w:color="auto" w:val="none"/>
      </w:divBdr>
    </w:div>
    <w:div w:id="448823273">
      <w:bodyDiv w:val="true"/>
      <w:marLeft w:val="0"/>
      <w:marRight w:val="0"/>
      <w:marTop w:val="0"/>
      <w:marBottom w:val="0"/>
      <w:divBdr>
        <w:top w:space="0" w:sz="0" w:color="auto" w:val="none"/>
        <w:left w:space="0" w:sz="0" w:color="auto" w:val="none"/>
        <w:bottom w:space="0" w:sz="0" w:color="auto" w:val="none"/>
        <w:right w:space="0" w:sz="0" w:color="auto" w:val="none"/>
      </w:divBdr>
    </w:div>
    <w:div w:id="709231693">
      <w:bodyDiv w:val="true"/>
      <w:marLeft w:val="0"/>
      <w:marRight w:val="0"/>
      <w:marTop w:val="0"/>
      <w:marBottom w:val="0"/>
      <w:divBdr>
        <w:top w:space="0" w:sz="0" w:color="auto" w:val="none"/>
        <w:left w:space="0" w:sz="0" w:color="auto" w:val="none"/>
        <w:bottom w:space="0" w:sz="0" w:color="auto" w:val="none"/>
        <w:right w:space="0" w:sz="0" w:color="auto" w:val="none"/>
      </w:divBdr>
    </w:div>
    <w:div w:id="1595631355">
      <w:bodyDiv w:val="true"/>
      <w:marLeft w:val="0"/>
      <w:marRight w:val="0"/>
      <w:marTop w:val="0"/>
      <w:marBottom w:val="0"/>
      <w:divBdr>
        <w:top w:space="0" w:sz="0" w:color="auto" w:val="none"/>
        <w:left w:space="0" w:sz="0" w:color="auto" w:val="none"/>
        <w:bottom w:space="0" w:sz="0" w:color="auto" w:val="none"/>
        <w:right w:space="0" w:sz="0" w:color="auto" w:val="none"/>
      </w:divBdr>
    </w:div>
    <w:div w:id="1845053916">
      <w:bodyDiv w:val="true"/>
      <w:marLeft w:val="0"/>
      <w:marRight w:val="0"/>
      <w:marTop w:val="0"/>
      <w:marBottom w:val="0"/>
      <w:divBdr>
        <w:top w:space="0" w:sz="0" w:color="auto" w:val="none"/>
        <w:left w:space="0" w:sz="0" w:color="auto" w:val="none"/>
        <w:bottom w:space="0" w:sz="0" w:color="auto" w:val="none"/>
        <w:right w:space="0" w:sz="0" w:color="auto" w:val="none"/>
      </w:divBdr>
    </w:div>
    <w:div w:id="19318908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St-314/2017</izvorni_sadrzaj>
    <derivirana_varijabla naziv="DomainObject.Predmet.OznakaBroj_1">St-314/2017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DUX-GRAĐENJE društvo s ograničenom odgovornošću za pružanje usluga</izvorni_sadrzaj>
    <derivirana_varijabla naziv="DomainObject.Predmet.ProtustrankaFormated_1">  DUX-GRAĐENJE društvo s ograničenom odgovornošću za pružanje usluga</derivirana_varijabla>
  </DomainObject.Predmet.ProtustrankaFormated>
  <DomainObject.Predmet.ProtustrankaFormatedOIB>
    <izvorni_sadrzaj>  DUX-GRAĐENJE društvo s ograničenom odgovornošću za pružanje usluga, OIB 60134050368</izvorni_sadrzaj>
    <derivirana_varijabla naziv="DomainObject.Predmet.ProtustrankaFormatedOIB_1">  DUX-GRAĐENJE društvo s ograničenom odgovornošću za pružanje usluga, OIB 60134050368</derivirana_varijabla>
  </DomainObject.Predmet.ProtustrankaFormatedOIB>
  <DomainObject.Predmet.ProtustrankaFormatedWithAdress>
    <izvorni_sadrzaj> DUX-GRAĐENJE društvo s ograničenom odgovornošću za pružanje usluga, Buzovečka 67, 40000 Čakovec</izvorni_sadrzaj>
    <derivirana_varijabla naziv="DomainObject.Predmet.ProtustrankaFormatedWithAdress_1"> DUX-GRAĐENJE društvo s ograničenom odgovornošću za pružanje usluga, Buzovečka 67, 40000 Čakovec</derivirana_varijabla>
  </DomainObject.Predmet.ProtustrankaFormatedWithAdress>
  <DomainObject.Predmet.ProtustrankaFormatedWithAdressOIB>
    <izvorni_sadrzaj> DUX-GRAĐENJE društvo s ograničenom odgovornošću za pružanje usluga, OIB 60134050368, Buzovečka 67, 40000 Čakovec</izvorni_sadrzaj>
    <derivirana_varijabla naziv="DomainObject.Predmet.ProtustrankaFormatedWithAdressOIB_1"> DUX-GRAĐENJE društvo s ograničenom odgovornošću za pružanje usluga, OIB 60134050368, Buzovečka 67, 40000 Čakovec</derivirana_varijabla>
  </DomainObject.Predmet.ProtustrankaFormatedWithAdressOIB>
  <DomainObject.Predmet.ProtustrankaWithAdress>
    <izvorni_sadrzaj>DUX-GRAĐENJE društvo s ograničenom odgovornošću za pružanje usluga Buzovečka 67, 40000 Čakovec</izvorni_sadrzaj>
    <derivirana_varijabla naziv="DomainObject.Predmet.ProtustrankaWithAdress_1">DUX-GRAĐENJE društvo s ograničenom odgovornošću za pružanje usluga Buzovečka 67, 40000 Čakovec</derivirana_varijabla>
  </DomainObject.Predmet.ProtustrankaWithAdress>
  <DomainObject.Predmet.ProtustrankaWithAdressOIB>
    <izvorni_sadrzaj>DUX-GRAĐENJE društvo s ograničenom odgovornošću za pružanje usluga, OIB 60134050368, Buzovečka 67, 40000 Čakovec</izvorni_sadrzaj>
    <derivirana_varijabla naziv="DomainObject.Predmet.ProtustrankaWithAdressOIB_1">DUX-GRAĐENJE društvo s ograničenom odgovornošću za pružanje usluga, OIB 60134050368, Buzovečka 67, 40000 Čakovec</derivirana_varijabla>
  </DomainObject.Predmet.ProtustrankaWithAdressOIB>
  <DomainObject.Predmet.ProtustrankaNazivFormated>
    <izvorni_sadrzaj>DUX-GRAĐENJE društvo s ograničenom odgovornošću za pružanje usluga</izvorni_sadrzaj>
    <derivirana_varijabla naziv="DomainObject.Predmet.ProtustrankaNazivFormated_1">DUX-GRAĐENJE društvo s ograničenom odgovornošću za pružanje usluga</derivirana_varijabla>
  </DomainObject.Predmet.ProtustrankaNazivFormated>
  <DomainObject.Predmet.ProtustrankaNazivFormatedOIB>
    <izvorni_sadrzaj>DUX-GRAĐENJE društvo s ograničenom odgovornošću za pružanje usluga, OIB 60134050368</izvorni_sadrzaj>
    <derivirana_varijabla naziv="DomainObject.Predmet.ProtustrankaNazivFormatedOIB_1">DUX-GRAĐENJE društvo s ograničenom odgovornošću za pružanje usluga, OIB 60134050368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DUX-GRAĐENJE društvo s ograničenom odgovornošću za pružanje usluga</item>
    </izvorni_sadrzaj>
    <derivirana_varijabla naziv="DomainObject.Predmet.ProtuStrankaListFormated_1">
      <item>DUX-GRAĐENJE društvo s ograničenom odgovornošću za pružanje usluga</item>
    </derivirana_varijabla>
  </DomainObject.Predmet.ProtuStrankaListFormated>
  <DomainObject.Predmet.ProtuStrankaListFormatedOIB>
    <izvorni_sadrzaj>
      <item>DUX-GRAĐENJE društvo s ograničenom odgovornošću za pružanje usluga, OIB 60134050368</item>
    </izvorni_sadrzaj>
    <derivirana_varijabla naziv="DomainObject.Predmet.ProtuStrankaListFormatedOIB_1">
      <item>DUX-GRAĐENJE društvo s ograničenom odgovornošću za pružanje usluga, OIB 60134050368</item>
    </derivirana_varijabla>
  </DomainObject.Predmet.ProtuStrankaListFormatedOIB>
  <DomainObject.Predmet.ProtuStrankaListFormatedWithAdress>
    <izvorni_sadrzaj>
      <item>DUX-GRAĐENJE društvo s ograničenom odgovornošću za pružanje usluga, Buzovečka 67, 40000 Čakovec</item>
    </izvorni_sadrzaj>
    <derivirana_varijabla naziv="DomainObject.Predmet.ProtuStrankaListFormatedWithAdress_1">
      <item>DUX-GRAĐENJE društvo s ograničenom odgovornošću za pružanje usluga, Buzovečka 67, 40000 Čakovec</item>
    </derivirana_varijabla>
  </DomainObject.Predmet.ProtuStrankaListFormatedWithAdress>
  <DomainObject.Predmet.ProtuStrankaListFormatedWithAdressOIB>
    <izvorni_sadrzaj>
      <item>DUX-GRAĐENJE društvo s ograničenom odgovornošću za pružanje usluga, OIB 60134050368, Buzovečka 67, 40000 Čakovec</item>
    </izvorni_sadrzaj>
    <derivirana_varijabla naziv="DomainObject.Predmet.ProtuStrankaListFormatedWithAdressOIB_1">
      <item>DUX-GRAĐENJE društvo s ograničenom odgovornošću za pružanje usluga, OIB 60134050368, Buzovečka 67, 40000 Čakovec</item>
    </derivirana_varijabla>
  </DomainObject.Predmet.ProtuStrankaListFormatedWithAdressOIB>
  <DomainObject.Predmet.ProtuStrankaListNazivFormated>
    <izvorni_sadrzaj>
      <item>DUX-GRAĐENJE društvo s ograničenom odgovornošću za pružanje usluga</item>
    </izvorni_sadrzaj>
    <derivirana_varijabla naziv="DomainObject.Predmet.ProtuStrankaListNazivFormated_1">
      <item>DUX-GRAĐENJE društvo s ograničenom odgovornošću za pružanje usluga</item>
    </derivirana_varijabla>
  </DomainObject.Predmet.ProtuStrankaListNazivFormated>
  <DomainObject.Predmet.ProtuStrankaListNazivFormatedOIB>
    <izvorni_sadrzaj>
      <item>DUX-GRAĐENJE društvo s ograničenom odgovornošću za pružanje usluga, OIB 60134050368</item>
    </izvorni_sadrzaj>
    <derivirana_varijabla naziv="DomainObject.Predmet.ProtuStrankaListNazivFormatedOIB_1">
      <item>DUX-GRAĐENJE društvo s ograničenom odgovornošću za pružanje usluga, OIB 60134050368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DUX-GRAĐENJE društvo s ograničenom odgovornošću za pružanje usluga</izvorni_sadrzaj>
    <derivirana_varijabla naziv="DomainObject.Predmet.ProtustrankaIDrugi_1">DUX-GRAĐENJE društvo s ograničenom odgovornošću za pružanje usluga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DUX-GRAĐENJE društvo s ograničenom odgovornošću za pružanje usluga, OIB 60134050368, Buzovečka 67, 40000 Čakovec</izvorni_sadrzaj>
    <derivirana_varijabla naziv="DomainObject.Predmet.ProtustrankaIDrugiAdressOIB_1">DUX-GRAĐENJE društvo s ograničenom odgovornošću za pružanje usluga, OIB 60134050368, Buzovečka 67,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DUX-GRAĐENJE društvo s ograničenom odgovornošću za pružanje usluga</item>
      <item>Financijska agencija</item>
    </izvorni_sadrzaj>
    <derivirana_varijabla naziv="DomainObject.Predmet.SudioniciListNaziv_1">
      <item>DUX-GRAĐENJE društvo s ograničenom odgovornošću za pružanje usluga</item>
      <item>Financijska agencija</item>
    </derivirana_varijabla>
  </DomainObject.Predmet.SudioniciListNaziv>
  <DomainObject.Predmet.SudioniciListAdressOIB>
    <izvorni_sadrzaj>
      <item>DUX-GRAĐENJE društvo s ograničenom odgovornošću za pružanje usluga, OIB 60134050368, Buzovečka 67,40000 Čakovec</item>
      <item>Financijska agencija, OIB 85821130368, A. Cesarca 2,42000 Varaždin</item>
    </izvorni_sadrzaj>
    <derivirana_varijabla naziv="DomainObject.Predmet.SudioniciListAdressOIB_1">
      <item>DUX-GRAĐENJE društvo s ograničenom odgovornošću za pružanje usluga, OIB 60134050368, Buzovečka 67,40000 Čakovec</item>
      <item>Financijska agencija, OIB 85821130368, A. Cesarca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B34A1D-C147-4F48-BCD6-4560B81A80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300</properties:Words>
  <properties:Characters>1678</properties:Characters>
  <properties:Lines>61</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2017-06-02T12:40:00Z</dcterms:created>
  <dc:creator>Ratko Gospodnetić, ZI5 d.o.o. Zagreb</dc:creator>
  <dc:description>Ovaj predložak služi kao osnova za kreiranje novih eSPIS predložaka tijekom obrade sudskih dokumenata.</dc:description>
  <cp:lastModifiedBy>Marko Makaj</cp:lastModifiedBy>
  <cp:lastPrinted>2017-06-02T12:41:00Z</cp:lastPrinted>
  <dcterms:modified xmlns:xsi="http://www.w3.org/2001/XMLSchema-instance" xsi:type="dcterms:W3CDTF">2017-06-02T12:43:00Z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